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DAC" w:rsidRDefault="00D32DAC" w:rsidP="00D32DAC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F74BE2">
        <w:rPr>
          <w:rFonts w:ascii="Times New Roman" w:eastAsia="等线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ure legends</w:t>
      </w:r>
    </w:p>
    <w:p w:rsidR="00E54018" w:rsidRPr="00D32DAC" w:rsidRDefault="00D32DAC" w:rsidP="00D32DAC">
      <w:pPr>
        <w:spacing w:line="480" w:lineRule="auto"/>
      </w:pPr>
      <w:r w:rsidRPr="00F74BE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Supplementary Fig. 1. </w:t>
      </w:r>
      <w:r w:rsidRPr="00F74BE2">
        <w:rPr>
          <w:rFonts w:ascii="Times New Roman" w:eastAsia="等线" w:hAnsi="Times New Roman" w:cs="Times New Roman"/>
          <w:sz w:val="24"/>
          <w:szCs w:val="24"/>
        </w:rPr>
        <w:t xml:space="preserve">Adjusted OR and 95% CI for MACE according to </w:t>
      </w:r>
      <w:proofErr w:type="spellStart"/>
      <w:r w:rsidRPr="00F74BE2">
        <w:rPr>
          <w:rFonts w:ascii="Times New Roman" w:eastAsia="等线" w:hAnsi="Times New Roman" w:cs="Times New Roman"/>
          <w:sz w:val="24"/>
          <w:szCs w:val="24"/>
        </w:rPr>
        <w:t>hs</w:t>
      </w:r>
      <w:proofErr w:type="spellEnd"/>
      <w:r w:rsidRPr="00F74BE2">
        <w:rPr>
          <w:rFonts w:ascii="Times New Roman" w:eastAsia="等线" w:hAnsi="Times New Roman" w:cs="Times New Roman"/>
          <w:sz w:val="24"/>
          <w:szCs w:val="24"/>
        </w:rPr>
        <w:t xml:space="preserve">-CRP quartile in the overall study population (A), in patients with AMI and hyperlipidemia (B), and in patients with AMI and non-hyperlipidemia (C). The ORs were adjusted for age, sex, BMI, </w:t>
      </w:r>
      <w:proofErr w:type="spellStart"/>
      <w:r w:rsidRPr="00F74BE2">
        <w:rPr>
          <w:rFonts w:ascii="Times New Roman" w:eastAsia="等线" w:hAnsi="Times New Roman" w:cs="Times New Roman"/>
          <w:sz w:val="24"/>
          <w:szCs w:val="24"/>
        </w:rPr>
        <w:t>cTnI</w:t>
      </w:r>
      <w:proofErr w:type="spellEnd"/>
      <w:r w:rsidRPr="00F74BE2">
        <w:rPr>
          <w:rFonts w:ascii="Times New Roman" w:eastAsia="等线" w:hAnsi="Times New Roman" w:cs="Times New Roman"/>
          <w:sz w:val="24"/>
          <w:szCs w:val="24"/>
        </w:rPr>
        <w:t>, hypertension, diabetes, previous MI, smoking, LVEF (≤ or &gt; 40%), eGFR (≤ or &gt; 60 ml/min/1.73 m2), type of AMI (STEMI vs. NSTEMI).</w:t>
      </w:r>
    </w:p>
    <w:sectPr w:rsidR="00E54018" w:rsidRPr="00D32DAC" w:rsidSect="00D32DAC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AC"/>
    <w:rsid w:val="00D32DAC"/>
    <w:rsid w:val="00E5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3E34B-8943-44DA-AB13-44D3307D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DAC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8</Lines>
  <Paragraphs>2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hao</dc:creator>
  <cp:keywords/>
  <dc:description/>
  <cp:lastModifiedBy>zhang hao</cp:lastModifiedBy>
  <cp:revision>1</cp:revision>
  <dcterms:created xsi:type="dcterms:W3CDTF">2023-02-15T11:32:00Z</dcterms:created>
  <dcterms:modified xsi:type="dcterms:W3CDTF">2023-02-15T11:34:00Z</dcterms:modified>
</cp:coreProperties>
</file>