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FBF93" w14:textId="77777777" w:rsidR="00B32EC6" w:rsidRPr="00D4739B" w:rsidRDefault="00B32EC6" w:rsidP="00B32EC6">
      <w:pPr>
        <w:rPr>
          <w:rFonts w:ascii="Geneva" w:hAnsi="Geneva"/>
          <w:b/>
          <w:color w:val="000000" w:themeColor="text1"/>
        </w:rPr>
      </w:pPr>
      <w:r w:rsidRPr="00D4739B">
        <w:rPr>
          <w:rFonts w:ascii="Geneva" w:hAnsi="Geneva"/>
          <w:b/>
          <w:color w:val="000000" w:themeColor="text1"/>
        </w:rPr>
        <w:t>Supplemental Information</w:t>
      </w:r>
    </w:p>
    <w:p w14:paraId="00F539E8" w14:textId="77777777" w:rsidR="00B32EC6" w:rsidRPr="00D4739B" w:rsidRDefault="00B32EC6" w:rsidP="00B32EC6">
      <w:pPr>
        <w:rPr>
          <w:rFonts w:ascii="Geneva" w:hAnsi="Geneva"/>
          <w:b/>
          <w:color w:val="000000" w:themeColor="text1"/>
        </w:rPr>
      </w:pPr>
    </w:p>
    <w:p w14:paraId="5ABB220A" w14:textId="77777777" w:rsidR="00B32EC6" w:rsidRPr="00D4739B" w:rsidRDefault="00B32EC6" w:rsidP="00B32EC6">
      <w:pPr>
        <w:rPr>
          <w:rFonts w:ascii="Geneva" w:hAnsi="Geneva" w:cs="Arial"/>
          <w:b/>
          <w:color w:val="000000" w:themeColor="text1"/>
        </w:rPr>
      </w:pPr>
      <w:r w:rsidRPr="00D4739B">
        <w:rPr>
          <w:rFonts w:ascii="Geneva" w:hAnsi="Geneva" w:cs="Arial"/>
          <w:b/>
          <w:color w:val="000000" w:themeColor="text1"/>
        </w:rPr>
        <w:t xml:space="preserve">Supplementary Figure </w:t>
      </w:r>
    </w:p>
    <w:p w14:paraId="1298F4A7" w14:textId="7712BF40" w:rsidR="00B32EC6" w:rsidRPr="00657021" w:rsidRDefault="00B32EC6" w:rsidP="00B32EC6">
      <w:pPr>
        <w:spacing w:line="360" w:lineRule="auto"/>
        <w:outlineLvl w:val="0"/>
        <w:rPr>
          <w:rFonts w:ascii="Geneva" w:hAnsi="Geneva"/>
          <w:b/>
          <w:color w:val="000000" w:themeColor="text1"/>
        </w:rPr>
      </w:pPr>
      <w:r w:rsidRPr="00D4739B">
        <w:rPr>
          <w:rFonts w:ascii="Geneva" w:hAnsi="Geneva" w:cs="Arial"/>
          <w:b/>
          <w:color w:val="000000" w:themeColor="text1"/>
        </w:rPr>
        <w:t>Supplementary Fig</w:t>
      </w:r>
      <w:r w:rsidRPr="00F67CE0">
        <w:rPr>
          <w:rFonts w:ascii="Geneva" w:hAnsi="Geneva" w:cs="Arial"/>
          <w:b/>
          <w:color w:val="000000" w:themeColor="text1"/>
        </w:rPr>
        <w:t xml:space="preserve">.1 </w:t>
      </w:r>
      <w:r w:rsidRPr="00B32EC6">
        <w:rPr>
          <w:rFonts w:ascii="Geneva" w:hAnsi="Geneva"/>
          <w:b/>
          <w:bCs/>
          <w:color w:val="000000" w:themeColor="text1"/>
        </w:rPr>
        <w:t xml:space="preserve">Proteomics </w:t>
      </w:r>
      <w:proofErr w:type="spellStart"/>
      <w:r w:rsidR="00C41EA4">
        <w:rPr>
          <w:rFonts w:ascii="Geneva" w:hAnsi="Geneva"/>
          <w:b/>
          <w:bCs/>
          <w:color w:val="000000" w:themeColor="text1"/>
        </w:rPr>
        <w:t>anaysis</w:t>
      </w:r>
      <w:proofErr w:type="spellEnd"/>
      <w:r w:rsidRPr="00B32EC6">
        <w:rPr>
          <w:rFonts w:ascii="Geneva" w:hAnsi="Geneva"/>
          <w:b/>
          <w:bCs/>
          <w:color w:val="000000" w:themeColor="text1"/>
        </w:rPr>
        <w:t xml:space="preserve"> revealed significant increases in the expression of </w:t>
      </w:r>
      <w:r>
        <w:rPr>
          <w:rFonts w:ascii="Geneva" w:hAnsi="Geneva"/>
          <w:b/>
          <w:bCs/>
          <w:color w:val="000000" w:themeColor="text1"/>
        </w:rPr>
        <w:t>amino acid transporters.</w:t>
      </w:r>
    </w:p>
    <w:p w14:paraId="221E3751" w14:textId="5DEA4053" w:rsidR="00406D32" w:rsidRDefault="00B32EC6" w:rsidP="008D1E8B">
      <w:pPr>
        <w:spacing w:line="360" w:lineRule="auto"/>
        <w:rPr>
          <w:rFonts w:ascii="Geneva" w:hAnsi="Geneva" w:cs="Arial"/>
          <w:color w:val="000000" w:themeColor="text1"/>
        </w:rPr>
      </w:pPr>
      <w:r w:rsidRPr="00F67CE0">
        <w:rPr>
          <w:rFonts w:ascii="Geneva" w:hAnsi="Geneva" w:cs="Arial"/>
          <w:b/>
          <w:color w:val="000000" w:themeColor="text1"/>
        </w:rPr>
        <w:t>a</w:t>
      </w:r>
      <w:r w:rsidRPr="00F67CE0">
        <w:rPr>
          <w:rFonts w:ascii="Geneva" w:hAnsi="Geneva" w:cs="Arial"/>
          <w:color w:val="000000" w:themeColor="text1"/>
        </w:rPr>
        <w:t xml:space="preserve">, </w:t>
      </w:r>
      <w:r w:rsidRPr="00657021">
        <w:rPr>
          <w:rFonts w:ascii="Geneva" w:hAnsi="Geneva" w:cs="Arial"/>
          <w:color w:val="000000" w:themeColor="text1"/>
        </w:rPr>
        <w:t xml:space="preserve">Overview of the </w:t>
      </w:r>
      <w:r>
        <w:rPr>
          <w:rFonts w:ascii="Geneva" w:hAnsi="Geneva" w:cs="Arial"/>
          <w:color w:val="000000" w:themeColor="text1"/>
        </w:rPr>
        <w:t>serine biosynthesis pathway</w:t>
      </w:r>
      <w:r w:rsidRPr="00657021">
        <w:rPr>
          <w:rFonts w:ascii="Geneva" w:hAnsi="Geneva" w:cs="Arial"/>
          <w:color w:val="000000" w:themeColor="text1"/>
        </w:rPr>
        <w:t xml:space="preserve">. </w:t>
      </w:r>
      <w:r>
        <w:rPr>
          <w:rFonts w:ascii="Geneva" w:hAnsi="Geneva" w:cs="Arial"/>
          <w:b/>
          <w:color w:val="000000" w:themeColor="text1"/>
        </w:rPr>
        <w:t>b</w:t>
      </w:r>
      <w:r w:rsidRPr="00F67CE0">
        <w:rPr>
          <w:rFonts w:ascii="Geneva" w:hAnsi="Geneva" w:cs="Arial"/>
          <w:color w:val="000000" w:themeColor="text1"/>
        </w:rPr>
        <w:t xml:space="preserve">, </w:t>
      </w:r>
      <w:r>
        <w:rPr>
          <w:rFonts w:ascii="Geneva" w:hAnsi="Geneva" w:cs="Arial"/>
          <w:color w:val="000000" w:themeColor="text1"/>
        </w:rPr>
        <w:t>H</w:t>
      </w:r>
      <w:r w:rsidRPr="00657021">
        <w:rPr>
          <w:rFonts w:ascii="Geneva" w:hAnsi="Geneva" w:cs="Arial"/>
          <w:color w:val="000000" w:themeColor="text1"/>
        </w:rPr>
        <w:t>eatmap depict the protein expression</w:t>
      </w:r>
      <w:r>
        <w:rPr>
          <w:rFonts w:ascii="Geneva" w:hAnsi="Geneva" w:cs="Arial"/>
          <w:color w:val="000000" w:themeColor="text1"/>
        </w:rPr>
        <w:t xml:space="preserve"> of amino acid transporters. Four biological replicate was prepared for proteomics analysis.</w:t>
      </w:r>
    </w:p>
    <w:p w14:paraId="102F013B" w14:textId="764EEDE7" w:rsidR="00B32EC6" w:rsidRDefault="00B32EC6" w:rsidP="00B32EC6">
      <w:pPr>
        <w:rPr>
          <w:rFonts w:ascii="Geneva" w:hAnsi="Geneva" w:cs="Arial"/>
          <w:color w:val="000000" w:themeColor="text1"/>
        </w:rPr>
      </w:pPr>
    </w:p>
    <w:p w14:paraId="4E19F7E7" w14:textId="0E44E1EB" w:rsidR="00B32EC6" w:rsidRPr="00657021" w:rsidRDefault="00B32EC6" w:rsidP="00B32EC6">
      <w:pPr>
        <w:spacing w:line="360" w:lineRule="auto"/>
        <w:outlineLvl w:val="0"/>
        <w:rPr>
          <w:rFonts w:ascii="Geneva" w:hAnsi="Geneva"/>
          <w:b/>
          <w:color w:val="000000" w:themeColor="text1"/>
        </w:rPr>
      </w:pPr>
      <w:r w:rsidRPr="00D4739B">
        <w:rPr>
          <w:rFonts w:ascii="Geneva" w:hAnsi="Geneva" w:cs="Arial"/>
          <w:b/>
          <w:color w:val="000000" w:themeColor="text1"/>
        </w:rPr>
        <w:t>Supplementary Fig</w:t>
      </w:r>
      <w:r w:rsidRPr="00F67CE0">
        <w:rPr>
          <w:rFonts w:ascii="Geneva" w:hAnsi="Geneva" w:cs="Arial"/>
          <w:b/>
          <w:color w:val="000000" w:themeColor="text1"/>
        </w:rPr>
        <w:t>.</w:t>
      </w:r>
      <w:r>
        <w:rPr>
          <w:rFonts w:ascii="Geneva" w:hAnsi="Geneva" w:cs="Arial"/>
          <w:b/>
          <w:color w:val="000000" w:themeColor="text1"/>
        </w:rPr>
        <w:t>2</w:t>
      </w:r>
      <w:r w:rsidRPr="00F67CE0">
        <w:rPr>
          <w:rFonts w:ascii="Geneva" w:hAnsi="Geneva" w:cs="Arial"/>
          <w:b/>
          <w:color w:val="000000" w:themeColor="text1"/>
        </w:rPr>
        <w:t xml:space="preserve"> </w:t>
      </w:r>
      <w:r w:rsidR="008D1E8B" w:rsidRPr="008D1E8B">
        <w:rPr>
          <w:rFonts w:ascii="Geneva" w:hAnsi="Geneva"/>
          <w:b/>
          <w:bCs/>
          <w:color w:val="000000" w:themeColor="text1"/>
        </w:rPr>
        <w:t xml:space="preserve">T-cell activation dynamically changes </w:t>
      </w:r>
      <w:r w:rsidR="008D1E8B">
        <w:rPr>
          <w:rFonts w:ascii="Geneva" w:hAnsi="Geneva"/>
          <w:b/>
          <w:bCs/>
          <w:color w:val="000000" w:themeColor="text1"/>
        </w:rPr>
        <w:t xml:space="preserve">lipid metabolism </w:t>
      </w:r>
      <w:r w:rsidR="008D1E8B" w:rsidRPr="008D1E8B">
        <w:rPr>
          <w:rFonts w:ascii="Geneva" w:hAnsi="Geneva"/>
          <w:b/>
          <w:bCs/>
          <w:color w:val="000000" w:themeColor="text1"/>
        </w:rPr>
        <w:t>accompanied by</w:t>
      </w:r>
      <w:r w:rsidR="008D1E8B">
        <w:rPr>
          <w:rFonts w:ascii="Geneva" w:hAnsi="Geneva"/>
          <w:b/>
          <w:bCs/>
          <w:color w:val="000000" w:themeColor="text1"/>
        </w:rPr>
        <w:t xml:space="preserve"> </w:t>
      </w:r>
      <w:r w:rsidR="008D1E8B" w:rsidRPr="008D1E8B">
        <w:rPr>
          <w:rFonts w:ascii="Geneva" w:hAnsi="Geneva"/>
          <w:b/>
          <w:bCs/>
          <w:color w:val="000000" w:themeColor="text1"/>
        </w:rPr>
        <w:t xml:space="preserve">the </w:t>
      </w:r>
      <w:r w:rsidR="008D1E8B">
        <w:rPr>
          <w:rFonts w:ascii="Geneva" w:hAnsi="Geneva"/>
          <w:b/>
          <w:bCs/>
          <w:color w:val="000000" w:themeColor="text1"/>
        </w:rPr>
        <w:t>changes in the protein expression related to lipid metabolism.</w:t>
      </w:r>
    </w:p>
    <w:p w14:paraId="4D099CF8" w14:textId="32202633" w:rsidR="00B32EC6" w:rsidRDefault="00B32EC6" w:rsidP="00717AFC">
      <w:pPr>
        <w:spacing w:line="360" w:lineRule="auto"/>
        <w:rPr>
          <w:rFonts w:ascii="Geneva" w:hAnsi="Geneva" w:cs="Arial"/>
          <w:color w:val="000000" w:themeColor="text1"/>
        </w:rPr>
      </w:pPr>
      <w:proofErr w:type="gramStart"/>
      <w:r w:rsidRPr="00F67CE0">
        <w:rPr>
          <w:rFonts w:ascii="Geneva" w:hAnsi="Geneva" w:cs="Arial"/>
          <w:b/>
          <w:color w:val="000000" w:themeColor="text1"/>
        </w:rPr>
        <w:t>a</w:t>
      </w:r>
      <w:r w:rsidRPr="00F67CE0">
        <w:rPr>
          <w:rFonts w:ascii="Geneva" w:hAnsi="Geneva" w:cs="Arial"/>
          <w:color w:val="000000" w:themeColor="text1"/>
        </w:rPr>
        <w:t>,</w:t>
      </w:r>
      <w:proofErr w:type="gramEnd"/>
      <w:r w:rsidRPr="00F67CE0">
        <w:rPr>
          <w:rFonts w:ascii="Geneva" w:hAnsi="Geneva" w:cs="Arial"/>
          <w:color w:val="000000" w:themeColor="text1"/>
        </w:rPr>
        <w:t xml:space="preserve"> </w:t>
      </w:r>
      <w:r w:rsidR="008D1E8B" w:rsidRPr="00194F19">
        <w:rPr>
          <w:rFonts w:ascii="Geneva" w:hAnsi="Geneva" w:cs="Arial"/>
          <w:color w:val="000000" w:themeColor="text1"/>
        </w:rPr>
        <w:t xml:space="preserve">Venn diagram showed overlaps and differences between 2.0-fold </w:t>
      </w:r>
      <w:r w:rsidR="00717AFC">
        <w:rPr>
          <w:rFonts w:ascii="Geneva" w:hAnsi="Geneva" w:cs="Arial"/>
          <w:color w:val="000000" w:themeColor="text1"/>
        </w:rPr>
        <w:t>decreased</w:t>
      </w:r>
      <w:r w:rsidR="008D1E8B" w:rsidRPr="00194F19">
        <w:rPr>
          <w:rFonts w:ascii="Geneva" w:hAnsi="Geneva" w:cs="Arial"/>
          <w:color w:val="000000" w:themeColor="text1"/>
        </w:rPr>
        <w:t xml:space="preserve"> </w:t>
      </w:r>
      <w:r w:rsidR="008D1E8B">
        <w:rPr>
          <w:rFonts w:ascii="Geneva" w:hAnsi="Geneva" w:cs="Arial"/>
          <w:color w:val="000000" w:themeColor="text1"/>
        </w:rPr>
        <w:t xml:space="preserve">proteins related to lipid metabolism </w:t>
      </w:r>
      <w:r w:rsidR="008D1E8B" w:rsidRPr="00194F19">
        <w:rPr>
          <w:rFonts w:ascii="Geneva" w:hAnsi="Geneva" w:cs="Arial"/>
          <w:color w:val="000000" w:themeColor="text1"/>
        </w:rPr>
        <w:t xml:space="preserve">in Th0, Th1, Th2, Th17, or </w:t>
      </w:r>
      <w:proofErr w:type="spellStart"/>
      <w:r w:rsidR="008D1E8B" w:rsidRPr="00194F19">
        <w:rPr>
          <w:rFonts w:ascii="Geneva" w:hAnsi="Geneva" w:cs="Arial"/>
          <w:color w:val="000000" w:themeColor="text1"/>
        </w:rPr>
        <w:t>iTregs</w:t>
      </w:r>
      <w:proofErr w:type="spellEnd"/>
      <w:r w:rsidR="008D1E8B" w:rsidRPr="00194F19">
        <w:rPr>
          <w:rFonts w:ascii="Geneva" w:hAnsi="Geneva" w:cs="Arial"/>
          <w:color w:val="000000" w:themeColor="text1"/>
        </w:rPr>
        <w:t xml:space="preserve"> cells relative to naive </w:t>
      </w:r>
      <w:r w:rsidR="008D1E8B">
        <w:rPr>
          <w:rFonts w:ascii="Geneva" w:hAnsi="Geneva" w:cs="Arial"/>
          <w:color w:val="000000" w:themeColor="text1"/>
        </w:rPr>
        <w:t>CD4</w:t>
      </w:r>
      <w:r w:rsidR="008D1E8B" w:rsidRPr="00D52460">
        <w:rPr>
          <w:rFonts w:ascii="Geneva" w:hAnsi="Geneva" w:cs="Arial"/>
          <w:color w:val="000000" w:themeColor="text1"/>
          <w:vertAlign w:val="superscript"/>
        </w:rPr>
        <w:t>+</w:t>
      </w:r>
      <w:r w:rsidR="008D1E8B" w:rsidRPr="00194F19">
        <w:rPr>
          <w:rFonts w:ascii="Geneva" w:hAnsi="Geneva" w:cs="Arial"/>
          <w:color w:val="000000" w:themeColor="text1"/>
        </w:rPr>
        <w:t>T cells.</w:t>
      </w:r>
      <w:r w:rsidR="008D1E8B">
        <w:rPr>
          <w:rFonts w:ascii="Geneva" w:hAnsi="Geneva" w:cs="Arial" w:hint="eastAsia"/>
          <w:color w:val="000000" w:themeColor="text1"/>
        </w:rPr>
        <w:t xml:space="preserve"> </w:t>
      </w:r>
      <w:r w:rsidRPr="00657021">
        <w:rPr>
          <w:rFonts w:ascii="Geneva" w:hAnsi="Geneva" w:cs="Arial"/>
          <w:color w:val="000000" w:themeColor="text1"/>
        </w:rPr>
        <w:t xml:space="preserve"> </w:t>
      </w:r>
      <w:r>
        <w:rPr>
          <w:rFonts w:ascii="Geneva" w:hAnsi="Geneva" w:cs="Arial"/>
          <w:b/>
          <w:color w:val="000000" w:themeColor="text1"/>
        </w:rPr>
        <w:t>b</w:t>
      </w:r>
      <w:r w:rsidR="00717AFC">
        <w:rPr>
          <w:rFonts w:ascii="Geneva" w:hAnsi="Geneva" w:cs="Arial"/>
          <w:b/>
          <w:color w:val="000000" w:themeColor="text1"/>
        </w:rPr>
        <w:t>-d</w:t>
      </w:r>
      <w:r w:rsidRPr="00F67CE0">
        <w:rPr>
          <w:rFonts w:ascii="Geneva" w:hAnsi="Geneva" w:cs="Arial"/>
          <w:color w:val="000000" w:themeColor="text1"/>
        </w:rPr>
        <w:t xml:space="preserve">, </w:t>
      </w:r>
      <w:proofErr w:type="gramStart"/>
      <w:r w:rsidR="00717AFC" w:rsidRPr="003B4D20">
        <w:rPr>
          <w:rFonts w:ascii="Geneva" w:hAnsi="Geneva" w:cs="Arial"/>
          <w:color w:val="000000" w:themeColor="text1"/>
        </w:rPr>
        <w:t>The</w:t>
      </w:r>
      <w:proofErr w:type="gramEnd"/>
      <w:r w:rsidR="00717AFC" w:rsidRPr="003B4D20">
        <w:rPr>
          <w:rFonts w:ascii="Geneva" w:hAnsi="Geneva" w:cs="Arial"/>
          <w:color w:val="000000" w:themeColor="text1"/>
        </w:rPr>
        <w:t xml:space="preserve"> </w:t>
      </w:r>
      <w:proofErr w:type="spellStart"/>
      <w:r w:rsidR="00717AFC" w:rsidRPr="003B4D20">
        <w:rPr>
          <w:rFonts w:ascii="Geneva" w:hAnsi="Geneva" w:cs="Arial"/>
          <w:color w:val="000000" w:themeColor="text1"/>
        </w:rPr>
        <w:t>lipidomics</w:t>
      </w:r>
      <w:proofErr w:type="spellEnd"/>
      <w:r w:rsidR="00717AFC" w:rsidRPr="003B4D20">
        <w:rPr>
          <w:rFonts w:ascii="Geneva" w:hAnsi="Geneva" w:cs="Arial"/>
          <w:color w:val="000000" w:themeColor="text1"/>
        </w:rPr>
        <w:t xml:space="preserve"> analysis </w:t>
      </w:r>
      <w:r w:rsidR="00717AFC">
        <w:rPr>
          <w:rFonts w:ascii="Geneva" w:hAnsi="Geneva" w:cs="Arial"/>
          <w:color w:val="000000" w:themeColor="text1"/>
        </w:rPr>
        <w:t>shows</w:t>
      </w:r>
      <w:r w:rsidR="00717AFC" w:rsidRPr="003B4D20">
        <w:rPr>
          <w:rFonts w:ascii="Geneva" w:hAnsi="Geneva" w:cs="Arial"/>
          <w:color w:val="000000" w:themeColor="text1"/>
        </w:rPr>
        <w:t xml:space="preserve"> the relative contents of lipid species </w:t>
      </w:r>
      <w:r w:rsidR="00717AFC">
        <w:rPr>
          <w:rFonts w:ascii="Geneva" w:hAnsi="Geneva" w:cs="Arial"/>
          <w:color w:val="000000" w:themeColor="text1"/>
        </w:rPr>
        <w:t xml:space="preserve">related to </w:t>
      </w:r>
      <w:r w:rsidR="00717AFC">
        <w:rPr>
          <w:rFonts w:ascii="Geneva" w:hAnsi="Geneva" w:cstheme="majorHAnsi"/>
          <w:color w:val="000000" w:themeColor="text1"/>
        </w:rPr>
        <w:t>p</w:t>
      </w:r>
      <w:r w:rsidR="00717AFC" w:rsidRPr="0023394F">
        <w:rPr>
          <w:rFonts w:ascii="Geneva" w:hAnsi="Geneva" w:cstheme="majorHAnsi"/>
          <w:color w:val="000000" w:themeColor="text1"/>
        </w:rPr>
        <w:t>hospholipid</w:t>
      </w:r>
      <w:r w:rsidR="00717AFC">
        <w:rPr>
          <w:rFonts w:ascii="Geneva" w:hAnsi="Geneva" w:cstheme="majorHAnsi"/>
          <w:color w:val="000000" w:themeColor="text1"/>
        </w:rPr>
        <w:t>s</w:t>
      </w:r>
      <w:r w:rsidR="00717AFC">
        <w:rPr>
          <w:rFonts w:ascii="Geneva" w:hAnsi="Geneva" w:cs="Arial"/>
          <w:color w:val="000000" w:themeColor="text1"/>
        </w:rPr>
        <w:t xml:space="preserve"> (</w:t>
      </w:r>
      <w:r w:rsidR="00717AFC">
        <w:rPr>
          <w:rFonts w:ascii="Geneva" w:hAnsi="Geneva" w:cs="Arial"/>
          <w:b/>
          <w:bCs/>
          <w:color w:val="000000" w:themeColor="text1"/>
        </w:rPr>
        <w:t>b</w:t>
      </w:r>
      <w:r w:rsidR="00717AFC">
        <w:rPr>
          <w:rFonts w:ascii="Geneva" w:hAnsi="Geneva" w:cs="Arial"/>
          <w:color w:val="000000" w:themeColor="text1"/>
        </w:rPr>
        <w:t xml:space="preserve">), </w:t>
      </w:r>
      <w:proofErr w:type="spellStart"/>
      <w:r w:rsidR="00717AFC">
        <w:rPr>
          <w:rFonts w:ascii="Geneva" w:hAnsi="Geneva" w:cs="Arial"/>
          <w:color w:val="000000" w:themeColor="text1"/>
        </w:rPr>
        <w:t>lyso</w:t>
      </w:r>
      <w:r w:rsidR="00717AFC">
        <w:rPr>
          <w:rFonts w:ascii="Geneva" w:hAnsi="Geneva" w:cstheme="majorHAnsi"/>
          <w:color w:val="000000" w:themeColor="text1"/>
        </w:rPr>
        <w:t>p</w:t>
      </w:r>
      <w:r w:rsidR="00717AFC" w:rsidRPr="0023394F">
        <w:rPr>
          <w:rFonts w:ascii="Geneva" w:hAnsi="Geneva" w:cstheme="majorHAnsi"/>
          <w:color w:val="000000" w:themeColor="text1"/>
        </w:rPr>
        <w:t>hospholipid</w:t>
      </w:r>
      <w:r w:rsidR="00717AFC">
        <w:rPr>
          <w:rFonts w:ascii="Geneva" w:hAnsi="Geneva" w:cstheme="majorHAnsi"/>
          <w:color w:val="000000" w:themeColor="text1"/>
        </w:rPr>
        <w:t>s</w:t>
      </w:r>
      <w:proofErr w:type="spellEnd"/>
      <w:r w:rsidR="00717AFC">
        <w:rPr>
          <w:rFonts w:ascii="Geneva" w:hAnsi="Geneva" w:cs="Arial"/>
          <w:color w:val="000000" w:themeColor="text1"/>
        </w:rPr>
        <w:t xml:space="preserve"> (</w:t>
      </w:r>
      <w:r w:rsidR="00717AFC">
        <w:rPr>
          <w:rFonts w:ascii="Geneva" w:hAnsi="Geneva" w:cs="Arial"/>
          <w:b/>
          <w:bCs/>
          <w:color w:val="000000" w:themeColor="text1"/>
        </w:rPr>
        <w:t>c</w:t>
      </w:r>
      <w:r w:rsidR="00717AFC">
        <w:rPr>
          <w:rFonts w:ascii="Geneva" w:hAnsi="Geneva" w:cs="Arial"/>
          <w:color w:val="000000" w:themeColor="text1"/>
        </w:rPr>
        <w:t xml:space="preserve">), or </w:t>
      </w:r>
      <w:proofErr w:type="spellStart"/>
      <w:r w:rsidR="00717AFC" w:rsidRPr="0023394F">
        <w:rPr>
          <w:rFonts w:ascii="Geneva" w:hAnsi="Geneva" w:cstheme="majorHAnsi"/>
          <w:color w:val="000000" w:themeColor="text1"/>
        </w:rPr>
        <w:t>glycerolipid</w:t>
      </w:r>
      <w:r w:rsidR="00717AFC">
        <w:rPr>
          <w:rFonts w:ascii="Geneva" w:hAnsi="Geneva" w:cstheme="majorHAnsi"/>
          <w:color w:val="000000" w:themeColor="text1"/>
        </w:rPr>
        <w:t>s</w:t>
      </w:r>
      <w:proofErr w:type="spellEnd"/>
      <w:r w:rsidR="00717AFC">
        <w:rPr>
          <w:rFonts w:ascii="Geneva" w:hAnsi="Geneva" w:cstheme="majorHAnsi"/>
          <w:color w:val="000000" w:themeColor="text1"/>
        </w:rPr>
        <w:t>, cholesterol, and free fatty acids</w:t>
      </w:r>
      <w:r w:rsidR="00717AFC">
        <w:rPr>
          <w:rFonts w:ascii="Geneva" w:hAnsi="Geneva" w:cs="Arial"/>
          <w:color w:val="000000" w:themeColor="text1"/>
        </w:rPr>
        <w:t xml:space="preserve"> (</w:t>
      </w:r>
      <w:r w:rsidR="00717AFC">
        <w:rPr>
          <w:rFonts w:ascii="Geneva" w:hAnsi="Geneva" w:cs="Arial"/>
          <w:b/>
          <w:bCs/>
          <w:color w:val="000000" w:themeColor="text1"/>
        </w:rPr>
        <w:t>d</w:t>
      </w:r>
      <w:r w:rsidR="00717AFC">
        <w:rPr>
          <w:rFonts w:ascii="Geneva" w:hAnsi="Geneva" w:cs="Arial"/>
          <w:color w:val="000000" w:themeColor="text1"/>
        </w:rPr>
        <w:t xml:space="preserve">), </w:t>
      </w:r>
      <w:r w:rsidR="00717AFC" w:rsidRPr="003B4D20">
        <w:rPr>
          <w:rFonts w:ascii="Geneva" w:hAnsi="Geneva" w:cs="Arial"/>
          <w:color w:val="000000" w:themeColor="text1"/>
        </w:rPr>
        <w:t xml:space="preserve">in </w:t>
      </w:r>
      <w:r w:rsidR="00717AFC">
        <w:rPr>
          <w:rFonts w:ascii="Geneva" w:hAnsi="Geneva" w:cs="Arial"/>
          <w:color w:val="000000" w:themeColor="text1"/>
        </w:rPr>
        <w:t xml:space="preserve">Th0, Th1, Th2, Th17, and </w:t>
      </w:r>
      <w:proofErr w:type="spellStart"/>
      <w:r w:rsidR="00717AFC">
        <w:rPr>
          <w:rFonts w:ascii="Geneva" w:hAnsi="Geneva" w:cs="Arial"/>
          <w:color w:val="000000" w:themeColor="text1"/>
        </w:rPr>
        <w:t>iTreg</w:t>
      </w:r>
      <w:proofErr w:type="spellEnd"/>
      <w:r w:rsidR="00717AFC">
        <w:rPr>
          <w:rFonts w:ascii="Geneva" w:hAnsi="Geneva" w:cs="Arial"/>
          <w:color w:val="000000" w:themeColor="text1"/>
        </w:rPr>
        <w:t xml:space="preserve"> cells</w:t>
      </w:r>
      <w:r w:rsidR="00717AFC" w:rsidRPr="003B4D20">
        <w:rPr>
          <w:rFonts w:ascii="Geneva" w:hAnsi="Geneva" w:cs="Arial"/>
          <w:color w:val="000000" w:themeColor="text1"/>
        </w:rPr>
        <w:t xml:space="preserve"> compared to </w:t>
      </w:r>
      <w:r w:rsidR="00717AFC">
        <w:rPr>
          <w:rFonts w:ascii="Geneva" w:hAnsi="Geneva" w:cs="Arial"/>
          <w:color w:val="000000" w:themeColor="text1"/>
        </w:rPr>
        <w:t>naïve CD4</w:t>
      </w:r>
      <w:r w:rsidR="00717AFC" w:rsidRPr="00380F9B">
        <w:rPr>
          <w:rFonts w:ascii="Geneva" w:hAnsi="Geneva" w:cs="Arial"/>
          <w:color w:val="000000" w:themeColor="text1"/>
          <w:vertAlign w:val="superscript"/>
        </w:rPr>
        <w:t>+</w:t>
      </w:r>
      <w:r w:rsidR="00717AFC">
        <w:rPr>
          <w:rFonts w:ascii="Geneva" w:hAnsi="Geneva" w:cs="Arial"/>
          <w:color w:val="000000" w:themeColor="text1"/>
        </w:rPr>
        <w:t xml:space="preserve"> T cells</w:t>
      </w:r>
      <w:r w:rsidR="00717AFC" w:rsidRPr="003B4D20">
        <w:rPr>
          <w:rFonts w:ascii="Geneva" w:hAnsi="Geneva" w:cs="Arial"/>
          <w:color w:val="000000" w:themeColor="text1"/>
        </w:rPr>
        <w:t xml:space="preserve">. </w:t>
      </w:r>
      <w:r w:rsidR="00C41EA4">
        <w:rPr>
          <w:rFonts w:ascii="Geneva" w:hAnsi="Geneva" w:cs="Arial"/>
          <w:b/>
          <w:color w:val="000000" w:themeColor="text1"/>
        </w:rPr>
        <w:t>e</w:t>
      </w:r>
      <w:r w:rsidR="00C41EA4" w:rsidRPr="00F67CE0">
        <w:rPr>
          <w:rFonts w:ascii="Geneva" w:hAnsi="Geneva" w:cs="Arial"/>
          <w:color w:val="000000" w:themeColor="text1"/>
        </w:rPr>
        <w:t xml:space="preserve">, </w:t>
      </w:r>
      <w:r w:rsidR="00C41EA4">
        <w:rPr>
          <w:rFonts w:ascii="Geneva" w:hAnsi="Geneva" w:cs="Arial"/>
          <w:color w:val="000000" w:themeColor="text1"/>
        </w:rPr>
        <w:t>H</w:t>
      </w:r>
      <w:r w:rsidR="00C41EA4" w:rsidRPr="00657021">
        <w:rPr>
          <w:rFonts w:ascii="Geneva" w:hAnsi="Geneva" w:cs="Arial"/>
          <w:color w:val="000000" w:themeColor="text1"/>
        </w:rPr>
        <w:t>eatmap depict the protein expression</w:t>
      </w:r>
      <w:r w:rsidR="00C41EA4">
        <w:rPr>
          <w:rFonts w:ascii="Geneva" w:hAnsi="Geneva" w:cs="Arial"/>
          <w:color w:val="000000" w:themeColor="text1"/>
        </w:rPr>
        <w:t xml:space="preserve"> related to ceramide biosynthesis. </w:t>
      </w:r>
      <w:r w:rsidR="00717AFC">
        <w:rPr>
          <w:rFonts w:ascii="Geneva" w:hAnsi="Geneva" w:cs="Arial"/>
          <w:color w:val="000000" w:themeColor="text1"/>
        </w:rPr>
        <w:t>Four biological replicate was prepared for metabolomics and proteomics analysis.</w:t>
      </w:r>
    </w:p>
    <w:p w14:paraId="5070A2EF" w14:textId="0C279D3E" w:rsidR="00717AFC" w:rsidRDefault="00717AFC" w:rsidP="00717AFC">
      <w:pPr>
        <w:spacing w:line="360" w:lineRule="auto"/>
        <w:rPr>
          <w:rFonts w:ascii="Geneva" w:hAnsi="Geneva" w:cs="Arial"/>
          <w:color w:val="000000" w:themeColor="text1"/>
        </w:rPr>
      </w:pPr>
    </w:p>
    <w:p w14:paraId="24DAE47D" w14:textId="10F06ECD" w:rsidR="00717AFC" w:rsidRPr="00657021" w:rsidRDefault="00717AFC" w:rsidP="00717AFC">
      <w:pPr>
        <w:spacing w:line="360" w:lineRule="auto"/>
        <w:outlineLvl w:val="0"/>
        <w:rPr>
          <w:rFonts w:ascii="Geneva" w:hAnsi="Geneva"/>
          <w:b/>
          <w:color w:val="000000" w:themeColor="text1"/>
        </w:rPr>
      </w:pPr>
      <w:r w:rsidRPr="00D4739B">
        <w:rPr>
          <w:rFonts w:ascii="Geneva" w:hAnsi="Geneva" w:cs="Arial"/>
          <w:b/>
          <w:color w:val="000000" w:themeColor="text1"/>
        </w:rPr>
        <w:t>Supplementary Fig</w:t>
      </w:r>
      <w:r w:rsidRPr="00F67CE0">
        <w:rPr>
          <w:rFonts w:ascii="Geneva" w:hAnsi="Geneva" w:cs="Arial"/>
          <w:b/>
          <w:color w:val="000000" w:themeColor="text1"/>
        </w:rPr>
        <w:t>.</w:t>
      </w:r>
      <w:r w:rsidR="00EF0E64">
        <w:rPr>
          <w:rFonts w:ascii="Geneva" w:hAnsi="Geneva" w:cs="Arial"/>
          <w:b/>
          <w:color w:val="000000" w:themeColor="text1"/>
        </w:rPr>
        <w:t>3</w:t>
      </w:r>
      <w:r w:rsidRPr="00F67CE0">
        <w:rPr>
          <w:rFonts w:ascii="Geneva" w:hAnsi="Geneva" w:cs="Arial"/>
          <w:b/>
          <w:color w:val="000000" w:themeColor="text1"/>
        </w:rPr>
        <w:t xml:space="preserve"> </w:t>
      </w:r>
      <w:r w:rsidR="00EF0E64">
        <w:rPr>
          <w:rFonts w:ascii="Geneva" w:hAnsi="Geneva"/>
          <w:b/>
          <w:bCs/>
          <w:color w:val="000000" w:themeColor="text1"/>
        </w:rPr>
        <w:t xml:space="preserve">Inhibition of sphingolipid metabolism failed to </w:t>
      </w:r>
      <w:r w:rsidR="00C41EA4">
        <w:rPr>
          <w:rFonts w:ascii="Geneva" w:hAnsi="Geneva"/>
          <w:b/>
          <w:bCs/>
          <w:color w:val="000000" w:themeColor="text1"/>
        </w:rPr>
        <w:t>suppress</w:t>
      </w:r>
      <w:r w:rsidR="00EF0E64">
        <w:rPr>
          <w:rFonts w:ascii="Geneva" w:hAnsi="Geneva"/>
          <w:b/>
          <w:bCs/>
          <w:color w:val="000000" w:themeColor="text1"/>
        </w:rPr>
        <w:t xml:space="preserve"> the generation of Th0, Th1, and Th2 cells.</w:t>
      </w:r>
    </w:p>
    <w:p w14:paraId="0F3BCB7A" w14:textId="0AEEA341" w:rsidR="00F80F61" w:rsidRPr="00F67CE0" w:rsidRDefault="00EF0E64" w:rsidP="00F80F61">
      <w:pPr>
        <w:spacing w:line="360" w:lineRule="auto"/>
        <w:ind w:leftChars="50" w:left="120"/>
        <w:rPr>
          <w:rFonts w:ascii="Geneva" w:hAnsi="Geneva" w:cs="Arial"/>
          <w:color w:val="000000" w:themeColor="text1"/>
        </w:rPr>
      </w:pPr>
      <w:proofErr w:type="gramStart"/>
      <w:r w:rsidRPr="00F67CE0">
        <w:rPr>
          <w:rFonts w:ascii="Geneva" w:hAnsi="Geneva" w:cs="Arial"/>
          <w:b/>
          <w:color w:val="000000" w:themeColor="text1"/>
        </w:rPr>
        <w:lastRenderedPageBreak/>
        <w:t>a</w:t>
      </w:r>
      <w:r w:rsidRPr="00F67CE0">
        <w:rPr>
          <w:rFonts w:ascii="Geneva" w:hAnsi="Geneva" w:cs="Arial"/>
          <w:color w:val="000000" w:themeColor="text1"/>
        </w:rPr>
        <w:t>,</w:t>
      </w:r>
      <w:proofErr w:type="gramEnd"/>
      <w:r w:rsidRPr="00F67CE0" w:rsidDel="00AE7921">
        <w:rPr>
          <w:rFonts w:ascii="Geneva" w:hAnsi="Geneva" w:cs="Arial"/>
          <w:color w:val="000000" w:themeColor="text1"/>
        </w:rPr>
        <w:t xml:space="preserve"> </w:t>
      </w:r>
      <w:r>
        <w:rPr>
          <w:rFonts w:ascii="Geneva" w:hAnsi="Geneva" w:cs="Arial"/>
          <w:color w:val="000000" w:themeColor="text1"/>
        </w:rPr>
        <w:t>Cell number of Th0, Th1, or Th2 cells treated with DMSO or 30</w:t>
      </w:r>
      <w:r w:rsidRPr="00F67CE0">
        <w:rPr>
          <w:rFonts w:ascii="Geneva" w:hAnsi="Geneva" w:cs="Arial"/>
          <w:color w:val="000000" w:themeColor="text1"/>
        </w:rPr>
        <w:t xml:space="preserve">μM </w:t>
      </w:r>
      <w:r>
        <w:rPr>
          <w:rFonts w:ascii="Geneva" w:hAnsi="Geneva" w:cs="Arial"/>
          <w:color w:val="000000" w:themeColor="text1"/>
        </w:rPr>
        <w:t>myriocin was shown.</w:t>
      </w:r>
      <w:r w:rsidR="00F80F61">
        <w:rPr>
          <w:rFonts w:ascii="Geneva" w:hAnsi="Geneva" w:cs="Arial"/>
          <w:color w:val="000000" w:themeColor="text1"/>
        </w:rPr>
        <w:t xml:space="preserve"> </w:t>
      </w:r>
      <w:r w:rsidR="00F80F61">
        <w:rPr>
          <w:rFonts w:ascii="Geneva" w:hAnsi="Geneva" w:cs="Arial"/>
          <w:b/>
          <w:bCs/>
          <w:color w:val="000000" w:themeColor="text1"/>
        </w:rPr>
        <w:t>b</w:t>
      </w:r>
      <w:r w:rsidR="00F80F61" w:rsidRPr="005F4780">
        <w:rPr>
          <w:rFonts w:ascii="Geneva" w:hAnsi="Geneva" w:cs="Arial"/>
          <w:b/>
          <w:bCs/>
          <w:color w:val="000000" w:themeColor="text1"/>
        </w:rPr>
        <w:t>,</w:t>
      </w:r>
      <w:r w:rsidR="00F80F61">
        <w:rPr>
          <w:rFonts w:ascii="Geneva" w:hAnsi="Geneva" w:cs="Arial"/>
          <w:color w:val="000000" w:themeColor="text1"/>
        </w:rPr>
        <w:t xml:space="preserve"> Intracellular staining of TNF</w:t>
      </w:r>
      <w:r w:rsidR="00F80F61" w:rsidRPr="00F80F61">
        <w:rPr>
          <w:rFonts w:ascii="Geneva" w:hAnsi="Geneva" w:cs="Arial"/>
          <w:color w:val="000000" w:themeColor="text1"/>
        </w:rPr>
        <w:t>α</w:t>
      </w:r>
      <w:r w:rsidR="00F80F61">
        <w:rPr>
          <w:rFonts w:ascii="Geneva" w:hAnsi="Geneva" w:cs="Arial"/>
          <w:color w:val="000000" w:themeColor="text1"/>
        </w:rPr>
        <w:t xml:space="preserve"> and IL-2 in Th0 cells or </w:t>
      </w:r>
      <w:proofErr w:type="spellStart"/>
      <w:r w:rsidR="00F80F61">
        <w:rPr>
          <w:rFonts w:ascii="Geneva" w:hAnsi="Geneva" w:cs="Arial"/>
          <w:color w:val="000000" w:themeColor="text1"/>
        </w:rPr>
        <w:t>IFN</w:t>
      </w:r>
      <w:r w:rsidR="00F80F61" w:rsidRPr="00F80F61">
        <w:rPr>
          <w:rFonts w:ascii="Geneva" w:hAnsi="Geneva" w:cs="Arial"/>
          <w:color w:val="000000" w:themeColor="text1"/>
        </w:rPr>
        <w:t>γ</w:t>
      </w:r>
      <w:proofErr w:type="spellEnd"/>
      <w:r w:rsidR="00F80F61">
        <w:rPr>
          <w:rFonts w:ascii="Geneva" w:hAnsi="Geneva" w:cs="Arial"/>
          <w:color w:val="000000" w:themeColor="text1"/>
        </w:rPr>
        <w:t xml:space="preserve"> and IL-4 in Th1 and Th2 cells treated with myriocin was shown. </w:t>
      </w:r>
      <w:r w:rsidR="00F80F61">
        <w:rPr>
          <w:rFonts w:ascii="Geneva" w:hAnsi="Geneva" w:cs="Arial"/>
          <w:b/>
          <w:bCs/>
          <w:color w:val="000000" w:themeColor="text1"/>
        </w:rPr>
        <w:t>c</w:t>
      </w:r>
      <w:r w:rsidR="00F80F61" w:rsidRPr="005F4780">
        <w:rPr>
          <w:rFonts w:ascii="Geneva" w:hAnsi="Geneva" w:cs="Arial"/>
          <w:b/>
          <w:bCs/>
          <w:color w:val="000000" w:themeColor="text1"/>
        </w:rPr>
        <w:t>,</w:t>
      </w:r>
      <w:r w:rsidR="00F80F61">
        <w:rPr>
          <w:rFonts w:ascii="Geneva" w:hAnsi="Geneva" w:cs="Arial"/>
          <w:color w:val="000000" w:themeColor="text1"/>
        </w:rPr>
        <w:t xml:space="preserve"> Summary data of TNF</w:t>
      </w:r>
      <w:r w:rsidR="00F80F61" w:rsidRPr="00F80F61">
        <w:rPr>
          <w:rFonts w:ascii="Geneva" w:hAnsi="Geneva" w:cs="Arial"/>
          <w:color w:val="000000" w:themeColor="text1"/>
        </w:rPr>
        <w:t>α</w:t>
      </w:r>
      <w:r w:rsidR="00F80F61">
        <w:rPr>
          <w:rFonts w:ascii="Geneva" w:hAnsi="Geneva" w:cs="Arial"/>
          <w:color w:val="000000" w:themeColor="text1"/>
        </w:rPr>
        <w:t xml:space="preserve">, IL-2, </w:t>
      </w:r>
      <w:proofErr w:type="spellStart"/>
      <w:r w:rsidR="00F80F61">
        <w:rPr>
          <w:rFonts w:ascii="Geneva" w:hAnsi="Geneva" w:cs="Arial"/>
          <w:color w:val="000000" w:themeColor="text1"/>
        </w:rPr>
        <w:t>IFN</w:t>
      </w:r>
      <w:r w:rsidR="00F80F61" w:rsidRPr="00F80F61">
        <w:rPr>
          <w:rFonts w:ascii="Geneva" w:hAnsi="Geneva" w:cs="Arial"/>
          <w:color w:val="000000" w:themeColor="text1"/>
        </w:rPr>
        <w:t>γ</w:t>
      </w:r>
      <w:proofErr w:type="spellEnd"/>
      <w:r w:rsidR="00F80F61">
        <w:rPr>
          <w:rFonts w:ascii="Geneva" w:hAnsi="Geneva" w:cs="Arial"/>
          <w:color w:val="000000" w:themeColor="text1"/>
        </w:rPr>
        <w:t xml:space="preserve"> or IL-4 expression related to (</w:t>
      </w:r>
      <w:r w:rsidR="00F80F61">
        <w:rPr>
          <w:rFonts w:ascii="Geneva" w:hAnsi="Geneva" w:cs="Arial"/>
          <w:b/>
          <w:bCs/>
          <w:color w:val="000000" w:themeColor="text1"/>
        </w:rPr>
        <w:t>b</w:t>
      </w:r>
      <w:r w:rsidR="00F80F61">
        <w:rPr>
          <w:rFonts w:ascii="Geneva" w:hAnsi="Geneva" w:cs="Arial"/>
          <w:color w:val="000000" w:themeColor="text1"/>
        </w:rPr>
        <w:t>)</w:t>
      </w:r>
      <w:r w:rsidR="00F80F61" w:rsidRPr="005F4780">
        <w:rPr>
          <w:rFonts w:ascii="Geneva" w:hAnsi="Geneva" w:cs="Arial"/>
          <w:color w:val="000000" w:themeColor="text1"/>
        </w:rPr>
        <w:t xml:space="preserve"> </w:t>
      </w:r>
      <w:r w:rsidR="00F80F61">
        <w:rPr>
          <w:rFonts w:ascii="Geneva" w:hAnsi="Geneva" w:cs="Arial"/>
          <w:color w:val="000000" w:themeColor="text1"/>
        </w:rPr>
        <w:t xml:space="preserve">was shown. </w:t>
      </w:r>
      <w:r w:rsidR="00F80F61" w:rsidRPr="00F80F61">
        <w:rPr>
          <w:rFonts w:ascii="Geneva" w:hAnsi="Geneva" w:cs="Arial"/>
          <w:b/>
          <w:bCs/>
          <w:color w:val="000000" w:themeColor="text1"/>
        </w:rPr>
        <w:t>d</w:t>
      </w:r>
      <w:r w:rsidR="00C62FE3">
        <w:rPr>
          <w:rFonts w:ascii="Geneva" w:hAnsi="Geneva" w:cs="Arial"/>
          <w:color w:val="000000" w:themeColor="text1"/>
        </w:rPr>
        <w:t>-</w:t>
      </w:r>
      <w:r w:rsidR="00C62FE3" w:rsidRPr="00C62FE3">
        <w:rPr>
          <w:rFonts w:ascii="Geneva" w:hAnsi="Geneva" w:cs="Arial"/>
          <w:b/>
          <w:bCs/>
          <w:color w:val="000000" w:themeColor="text1"/>
        </w:rPr>
        <w:t>f</w:t>
      </w:r>
      <w:r w:rsidR="00C62FE3">
        <w:rPr>
          <w:rFonts w:ascii="Geneva" w:hAnsi="Geneva" w:cs="Arial"/>
          <w:b/>
          <w:bCs/>
          <w:color w:val="000000" w:themeColor="text1"/>
        </w:rPr>
        <w:t>,</w:t>
      </w:r>
      <w:r w:rsidR="00F80F61">
        <w:rPr>
          <w:rFonts w:ascii="Geneva" w:hAnsi="Geneva" w:cs="Arial"/>
          <w:color w:val="000000" w:themeColor="text1"/>
        </w:rPr>
        <w:t xml:space="preserve"> </w:t>
      </w:r>
      <w:proofErr w:type="spellStart"/>
      <w:r w:rsidR="00F80F61" w:rsidRPr="00F80F61">
        <w:rPr>
          <w:rFonts w:ascii="Geneva" w:hAnsi="Geneva" w:cs="Arial"/>
          <w:color w:val="000000" w:themeColor="text1"/>
        </w:rPr>
        <w:t>qRT</w:t>
      </w:r>
      <w:proofErr w:type="spellEnd"/>
      <w:r w:rsidR="00F80F61" w:rsidRPr="00F80F61">
        <w:rPr>
          <w:rFonts w:ascii="Geneva" w:hAnsi="Geneva" w:cs="Arial"/>
          <w:color w:val="000000" w:themeColor="text1"/>
        </w:rPr>
        <w:t xml:space="preserve">-PCR analyses of the relative expression of </w:t>
      </w:r>
      <w:r w:rsidR="00F80F61" w:rsidRPr="00F80F61">
        <w:rPr>
          <w:rFonts w:ascii="Geneva" w:hAnsi="Geneva" w:cs="Arial"/>
          <w:i/>
          <w:iCs/>
          <w:color w:val="000000" w:themeColor="text1"/>
        </w:rPr>
        <w:t>Il17a</w:t>
      </w:r>
      <w:r w:rsidR="00F80F61">
        <w:rPr>
          <w:rFonts w:ascii="Geneva" w:hAnsi="Geneva" w:cs="Arial"/>
          <w:color w:val="000000" w:themeColor="text1"/>
        </w:rPr>
        <w:t xml:space="preserve"> </w:t>
      </w:r>
      <w:r w:rsidR="00C62FE3">
        <w:rPr>
          <w:rFonts w:ascii="Geneva" w:hAnsi="Geneva" w:cs="Arial"/>
          <w:color w:val="000000" w:themeColor="text1"/>
        </w:rPr>
        <w:t>and</w:t>
      </w:r>
      <w:r w:rsidR="00F80F61">
        <w:rPr>
          <w:rFonts w:ascii="Geneva" w:hAnsi="Geneva" w:cs="Arial"/>
          <w:color w:val="000000" w:themeColor="text1"/>
        </w:rPr>
        <w:t xml:space="preserve"> </w:t>
      </w:r>
      <w:r w:rsidR="00F80F61" w:rsidRPr="00F80F61">
        <w:rPr>
          <w:rFonts w:ascii="Geneva" w:hAnsi="Geneva" w:cs="Arial"/>
          <w:i/>
          <w:iCs/>
          <w:color w:val="000000" w:themeColor="text1"/>
        </w:rPr>
        <w:t>Il17f</w:t>
      </w:r>
      <w:r w:rsidR="00F80F61">
        <w:rPr>
          <w:rFonts w:ascii="Geneva" w:hAnsi="Geneva" w:cs="Arial"/>
          <w:color w:val="000000" w:themeColor="text1"/>
        </w:rPr>
        <w:t xml:space="preserve"> in Th17 cells treated with myriocin</w:t>
      </w:r>
      <w:r w:rsidR="00C62FE3">
        <w:rPr>
          <w:rFonts w:ascii="Geneva" w:hAnsi="Geneva" w:cs="Arial"/>
          <w:color w:val="000000" w:themeColor="text1"/>
        </w:rPr>
        <w:t xml:space="preserve"> (</w:t>
      </w:r>
      <w:r w:rsidR="00C62FE3" w:rsidRPr="00C62FE3">
        <w:rPr>
          <w:rFonts w:ascii="Geneva" w:hAnsi="Geneva" w:cs="Arial"/>
          <w:b/>
          <w:bCs/>
          <w:color w:val="000000" w:themeColor="text1"/>
        </w:rPr>
        <w:t>d</w:t>
      </w:r>
      <w:r w:rsidR="00C62FE3">
        <w:rPr>
          <w:rFonts w:ascii="Geneva" w:hAnsi="Geneva" w:cs="Arial"/>
          <w:color w:val="000000" w:themeColor="text1"/>
        </w:rPr>
        <w:t xml:space="preserve">) or </w:t>
      </w:r>
      <w:r w:rsidR="00C62FE3" w:rsidRPr="00C62FE3">
        <w:rPr>
          <w:rFonts w:ascii="Geneva" w:hAnsi="Geneva" w:cs="Arial"/>
          <w:i/>
          <w:iCs/>
          <w:color w:val="000000" w:themeColor="text1"/>
        </w:rPr>
        <w:t>I</w:t>
      </w:r>
      <w:r w:rsidR="00C62FE3" w:rsidRPr="00F80F61">
        <w:rPr>
          <w:rFonts w:ascii="Geneva" w:hAnsi="Geneva" w:cs="Arial"/>
          <w:i/>
          <w:iCs/>
          <w:color w:val="000000" w:themeColor="text1"/>
        </w:rPr>
        <w:t>l17a</w:t>
      </w:r>
      <w:r w:rsidR="00C62FE3">
        <w:rPr>
          <w:rFonts w:ascii="Geneva" w:hAnsi="Geneva" w:cs="Arial"/>
          <w:color w:val="000000" w:themeColor="text1"/>
        </w:rPr>
        <w:t xml:space="preserve"> </w:t>
      </w:r>
      <w:r w:rsidR="00C62FE3">
        <w:rPr>
          <w:rFonts w:ascii="Geneva" w:hAnsi="Geneva" w:cs="Arial"/>
          <w:color w:val="000000" w:themeColor="text1"/>
        </w:rPr>
        <w:t xml:space="preserve">and </w:t>
      </w:r>
      <w:r w:rsidR="00C62FE3" w:rsidRPr="00F80F61">
        <w:rPr>
          <w:rFonts w:ascii="Geneva" w:hAnsi="Geneva" w:cs="Arial"/>
          <w:i/>
          <w:iCs/>
          <w:color w:val="000000" w:themeColor="text1"/>
        </w:rPr>
        <w:t>Il17f</w:t>
      </w:r>
      <w:r w:rsidR="00C62FE3">
        <w:rPr>
          <w:rFonts w:ascii="Geneva" w:hAnsi="Geneva" w:cs="Arial"/>
          <w:i/>
          <w:iCs/>
          <w:color w:val="000000" w:themeColor="text1"/>
        </w:rPr>
        <w:t xml:space="preserve"> </w:t>
      </w:r>
      <w:r w:rsidR="00C62FE3" w:rsidRPr="00C62FE3">
        <w:rPr>
          <w:rFonts w:ascii="Geneva" w:hAnsi="Geneva" w:cs="Arial"/>
          <w:color w:val="000000" w:themeColor="text1"/>
        </w:rPr>
        <w:t>(</w:t>
      </w:r>
      <w:r w:rsidR="00C62FE3" w:rsidRPr="00C62FE3">
        <w:rPr>
          <w:rFonts w:ascii="Geneva" w:hAnsi="Geneva" w:cs="Arial"/>
          <w:b/>
          <w:bCs/>
          <w:color w:val="000000" w:themeColor="text1"/>
        </w:rPr>
        <w:t>e</w:t>
      </w:r>
      <w:r w:rsidR="00C62FE3" w:rsidRPr="00C62FE3">
        <w:rPr>
          <w:rFonts w:ascii="Geneva" w:hAnsi="Geneva" w:cs="Arial"/>
          <w:color w:val="000000" w:themeColor="text1"/>
        </w:rPr>
        <w:t>)</w:t>
      </w:r>
      <w:r w:rsidR="00C62FE3">
        <w:rPr>
          <w:rFonts w:ascii="Geneva" w:hAnsi="Geneva" w:cs="Arial"/>
          <w:color w:val="000000" w:themeColor="text1"/>
        </w:rPr>
        <w:t xml:space="preserve"> or </w:t>
      </w:r>
      <w:r w:rsidR="00C62FE3" w:rsidRPr="00C62FE3">
        <w:rPr>
          <w:rFonts w:ascii="Geneva" w:hAnsi="Geneva" w:cs="Arial"/>
          <w:i/>
          <w:iCs/>
          <w:color w:val="000000" w:themeColor="text1"/>
        </w:rPr>
        <w:t>Sptlc1</w:t>
      </w:r>
      <w:r w:rsidR="00C62FE3">
        <w:rPr>
          <w:rFonts w:ascii="Geneva" w:hAnsi="Geneva" w:cs="Arial"/>
          <w:color w:val="000000" w:themeColor="text1"/>
        </w:rPr>
        <w:t xml:space="preserve"> and </w:t>
      </w:r>
      <w:r w:rsidR="00C62FE3" w:rsidRPr="00C62FE3">
        <w:rPr>
          <w:rFonts w:ascii="Geneva" w:hAnsi="Geneva" w:cs="Arial"/>
          <w:i/>
          <w:iCs/>
          <w:color w:val="000000" w:themeColor="text1"/>
        </w:rPr>
        <w:t>Sptlc</w:t>
      </w:r>
      <w:r w:rsidR="00C62FE3">
        <w:rPr>
          <w:rFonts w:ascii="Geneva" w:hAnsi="Geneva" w:cs="Arial"/>
          <w:i/>
          <w:iCs/>
          <w:color w:val="000000" w:themeColor="text1"/>
        </w:rPr>
        <w:t xml:space="preserve">2 </w:t>
      </w:r>
      <w:r w:rsidR="00C62FE3" w:rsidRPr="00C62FE3">
        <w:rPr>
          <w:rFonts w:ascii="Geneva" w:hAnsi="Geneva" w:cs="Arial"/>
          <w:color w:val="000000" w:themeColor="text1"/>
        </w:rPr>
        <w:t>(</w:t>
      </w:r>
      <w:r w:rsidR="00C62FE3" w:rsidRPr="00C62FE3">
        <w:rPr>
          <w:rFonts w:ascii="Geneva" w:hAnsi="Geneva" w:cs="Arial"/>
          <w:b/>
          <w:bCs/>
          <w:color w:val="000000" w:themeColor="text1"/>
        </w:rPr>
        <w:t>f</w:t>
      </w:r>
      <w:r w:rsidR="00C62FE3" w:rsidRPr="00C62FE3">
        <w:rPr>
          <w:rFonts w:ascii="Geneva" w:hAnsi="Geneva" w:cs="Arial"/>
          <w:color w:val="000000" w:themeColor="text1"/>
        </w:rPr>
        <w:t>)</w:t>
      </w:r>
      <w:r w:rsidR="00C62FE3">
        <w:rPr>
          <w:rFonts w:ascii="Geneva" w:hAnsi="Geneva" w:cs="Arial"/>
          <w:i/>
          <w:iCs/>
          <w:color w:val="000000" w:themeColor="text1"/>
        </w:rPr>
        <w:t xml:space="preserve"> </w:t>
      </w:r>
      <w:r w:rsidR="00C62FE3">
        <w:rPr>
          <w:rFonts w:ascii="Geneva" w:hAnsi="Geneva" w:cs="Arial"/>
          <w:color w:val="000000" w:themeColor="text1"/>
        </w:rPr>
        <w:t xml:space="preserve">in </w:t>
      </w:r>
      <w:r w:rsidR="00C62FE3">
        <w:rPr>
          <w:rFonts w:ascii="Geneva" w:hAnsi="Geneva" w:cs="Arial"/>
          <w:color w:val="000000" w:themeColor="text1"/>
        </w:rPr>
        <w:t>sg</w:t>
      </w:r>
      <w:r w:rsidR="00C62FE3" w:rsidRPr="00C62FE3">
        <w:rPr>
          <w:rFonts w:ascii="Geneva" w:hAnsi="Geneva" w:cs="Arial"/>
          <w:i/>
          <w:iCs/>
          <w:color w:val="000000" w:themeColor="text1"/>
        </w:rPr>
        <w:t>Sptlc1</w:t>
      </w:r>
      <w:r w:rsidR="00C62FE3">
        <w:rPr>
          <w:rFonts w:ascii="Geneva" w:hAnsi="Geneva" w:cs="Arial"/>
          <w:color w:val="000000" w:themeColor="text1"/>
        </w:rPr>
        <w:t>/</w:t>
      </w:r>
      <w:r w:rsidR="00C62FE3" w:rsidRPr="00C62FE3">
        <w:rPr>
          <w:rFonts w:ascii="Geneva" w:hAnsi="Geneva" w:cs="Arial"/>
          <w:i/>
          <w:iCs/>
          <w:color w:val="000000" w:themeColor="text1"/>
        </w:rPr>
        <w:t>Sptlc2</w:t>
      </w:r>
      <w:r w:rsidR="00C62FE3">
        <w:rPr>
          <w:rFonts w:ascii="Geneva" w:hAnsi="Geneva" w:cs="Arial"/>
          <w:color w:val="000000" w:themeColor="text1"/>
        </w:rPr>
        <w:t xml:space="preserve"> </w:t>
      </w:r>
      <w:r w:rsidR="00C62FE3">
        <w:rPr>
          <w:rFonts w:ascii="Geneva" w:hAnsi="Geneva" w:cs="Arial"/>
          <w:color w:val="000000" w:themeColor="text1"/>
        </w:rPr>
        <w:t>Th17 cell</w:t>
      </w:r>
      <w:r w:rsidR="00F80F61">
        <w:rPr>
          <w:rFonts w:ascii="Geneva" w:hAnsi="Geneva" w:cs="Arial"/>
          <w:color w:val="000000" w:themeColor="text1"/>
        </w:rPr>
        <w:t>.</w:t>
      </w:r>
      <w:r w:rsidR="00F80F61" w:rsidRPr="00F80F61">
        <w:rPr>
          <w:rFonts w:ascii="Geneva" w:hAnsi="Geneva" w:cs="Arial"/>
          <w:color w:val="000000" w:themeColor="text1"/>
        </w:rPr>
        <w:t xml:space="preserve"> Relative expression (normalized to </w:t>
      </w:r>
      <w:proofErr w:type="spellStart"/>
      <w:r w:rsidR="00F80F61" w:rsidRPr="00F80F61">
        <w:rPr>
          <w:rFonts w:ascii="Geneva" w:hAnsi="Geneva" w:cs="Arial"/>
          <w:color w:val="000000" w:themeColor="text1"/>
        </w:rPr>
        <w:t>Hprt</w:t>
      </w:r>
      <w:proofErr w:type="spellEnd"/>
      <w:r w:rsidR="00F80F61" w:rsidRPr="00F80F61">
        <w:rPr>
          <w:rFonts w:ascii="Geneva" w:hAnsi="Geneva" w:cs="Arial"/>
          <w:color w:val="000000" w:themeColor="text1"/>
        </w:rPr>
        <w:t>) with SD is shown.</w:t>
      </w:r>
      <w:r w:rsidR="00F80F61">
        <w:rPr>
          <w:rFonts w:ascii="Geneva" w:hAnsi="Geneva" w:cs="Arial"/>
          <w:color w:val="000000" w:themeColor="text1"/>
        </w:rPr>
        <w:t xml:space="preserve"> T</w:t>
      </w:r>
      <w:r w:rsidR="00F80F61" w:rsidRPr="00124C7B">
        <w:rPr>
          <w:rFonts w:ascii="Geneva" w:hAnsi="Geneva" w:cs="Arial"/>
          <w:color w:val="000000" w:themeColor="text1"/>
        </w:rPr>
        <w:t>hree independent experiments were performed and showed similar results (</w:t>
      </w:r>
      <w:r w:rsidR="00F80F61" w:rsidRPr="00C62FE3">
        <w:rPr>
          <w:rFonts w:ascii="Geneva" w:hAnsi="Geneva" w:cs="Arial"/>
          <w:b/>
          <w:bCs/>
          <w:color w:val="000000" w:themeColor="text1"/>
        </w:rPr>
        <w:t>a-</w:t>
      </w:r>
      <w:r w:rsidR="00C62FE3" w:rsidRPr="00C62FE3">
        <w:rPr>
          <w:rFonts w:ascii="Geneva" w:hAnsi="Geneva" w:cs="Arial"/>
          <w:b/>
          <w:bCs/>
          <w:color w:val="000000" w:themeColor="text1"/>
        </w:rPr>
        <w:t>f</w:t>
      </w:r>
      <w:r w:rsidR="00F80F61" w:rsidRPr="00124C7B">
        <w:rPr>
          <w:rFonts w:ascii="Geneva" w:hAnsi="Geneva" w:cs="Arial"/>
          <w:color w:val="000000" w:themeColor="text1"/>
        </w:rPr>
        <w:t>).</w:t>
      </w:r>
      <w:r w:rsidR="00F80F61">
        <w:rPr>
          <w:rFonts w:ascii="Geneva" w:hAnsi="Geneva" w:cs="Arial"/>
          <w:color w:val="000000" w:themeColor="text1"/>
        </w:rPr>
        <w:t xml:space="preserve"> </w:t>
      </w:r>
      <w:r w:rsidR="00F80F61" w:rsidRPr="00F80F61">
        <w:rPr>
          <w:rFonts w:ascii="Geneva" w:hAnsi="Geneva" w:cs="Arial"/>
          <w:color w:val="000000" w:themeColor="text1"/>
        </w:rPr>
        <w:t>Three technical replicates were performed with quantitative RT-PCR (</w:t>
      </w:r>
      <w:r w:rsidR="00F80F61" w:rsidRPr="00C62FE3">
        <w:rPr>
          <w:rFonts w:ascii="Geneva" w:hAnsi="Geneva" w:cs="Arial"/>
          <w:b/>
          <w:bCs/>
          <w:color w:val="000000" w:themeColor="text1"/>
        </w:rPr>
        <w:t>d</w:t>
      </w:r>
      <w:r w:rsidR="00580689">
        <w:rPr>
          <w:rFonts w:ascii="Geneva" w:hAnsi="Geneva" w:cs="Arial"/>
          <w:b/>
          <w:bCs/>
          <w:color w:val="000000" w:themeColor="text1"/>
        </w:rPr>
        <w:t>-f</w:t>
      </w:r>
      <w:r w:rsidR="00F80F61" w:rsidRPr="00F80F61">
        <w:rPr>
          <w:rFonts w:ascii="Geneva" w:hAnsi="Geneva" w:cs="Arial"/>
          <w:color w:val="000000" w:themeColor="text1"/>
        </w:rPr>
        <w:t>).</w:t>
      </w:r>
      <w:r w:rsidR="00C41EA4">
        <w:rPr>
          <w:rFonts w:ascii="Geneva" w:hAnsi="Geneva" w:cs="Arial"/>
          <w:color w:val="000000" w:themeColor="text1"/>
        </w:rPr>
        <w:t xml:space="preserve"> </w:t>
      </w:r>
      <w:r w:rsidR="00F80F61">
        <w:rPr>
          <w:rFonts w:ascii="Geneva" w:hAnsi="Geneva" w:cs="Arial"/>
          <w:color w:val="000000" w:themeColor="text1"/>
        </w:rPr>
        <w:t>Error bar indicates SD.</w:t>
      </w:r>
    </w:p>
    <w:p w14:paraId="66C81502" w14:textId="51425DD7" w:rsidR="00717AFC" w:rsidRDefault="00717AFC" w:rsidP="00717AFC">
      <w:pPr>
        <w:spacing w:line="360" w:lineRule="auto"/>
      </w:pPr>
    </w:p>
    <w:p w14:paraId="5BD150F4" w14:textId="0B220F2F" w:rsidR="00F80F61" w:rsidRPr="00657021" w:rsidRDefault="00F80F61" w:rsidP="00F80F61">
      <w:pPr>
        <w:spacing w:line="360" w:lineRule="auto"/>
        <w:outlineLvl w:val="0"/>
        <w:rPr>
          <w:rFonts w:ascii="Geneva" w:hAnsi="Geneva"/>
          <w:b/>
          <w:color w:val="000000" w:themeColor="text1"/>
        </w:rPr>
      </w:pPr>
      <w:r w:rsidRPr="00D4739B">
        <w:rPr>
          <w:rFonts w:ascii="Geneva" w:hAnsi="Geneva" w:cs="Arial"/>
          <w:b/>
          <w:color w:val="000000" w:themeColor="text1"/>
        </w:rPr>
        <w:t>Supplementary Fig</w:t>
      </w:r>
      <w:r w:rsidRPr="00F67CE0">
        <w:rPr>
          <w:rFonts w:ascii="Geneva" w:hAnsi="Geneva" w:cs="Arial"/>
          <w:b/>
          <w:color w:val="000000" w:themeColor="text1"/>
        </w:rPr>
        <w:t>.</w:t>
      </w:r>
      <w:r>
        <w:rPr>
          <w:rFonts w:ascii="Geneva" w:hAnsi="Geneva" w:cs="Arial"/>
          <w:b/>
          <w:color w:val="000000" w:themeColor="text1"/>
        </w:rPr>
        <w:t>4</w:t>
      </w:r>
      <w:r w:rsidRPr="00F67CE0">
        <w:rPr>
          <w:rFonts w:ascii="Geneva" w:hAnsi="Geneva" w:cs="Arial"/>
          <w:b/>
          <w:color w:val="000000" w:themeColor="text1"/>
        </w:rPr>
        <w:t xml:space="preserve"> </w:t>
      </w:r>
      <w:r>
        <w:rPr>
          <w:rFonts w:ascii="Geneva" w:hAnsi="Geneva"/>
          <w:b/>
          <w:bCs/>
          <w:color w:val="000000" w:themeColor="text1"/>
        </w:rPr>
        <w:t>Inhibition of glycosphingolipid metabolism suppressed the generation of Th</w:t>
      </w:r>
      <w:r w:rsidR="00383C36">
        <w:rPr>
          <w:rFonts w:ascii="Geneva" w:hAnsi="Geneva"/>
          <w:b/>
          <w:bCs/>
          <w:color w:val="000000" w:themeColor="text1"/>
        </w:rPr>
        <w:t>17 and Treg</w:t>
      </w:r>
      <w:r>
        <w:rPr>
          <w:rFonts w:ascii="Geneva" w:hAnsi="Geneva"/>
          <w:b/>
          <w:bCs/>
          <w:color w:val="000000" w:themeColor="text1"/>
        </w:rPr>
        <w:t xml:space="preserve"> cells.</w:t>
      </w:r>
    </w:p>
    <w:p w14:paraId="081B81D4" w14:textId="1ABB08D1" w:rsidR="00F80F61" w:rsidRPr="00C41EA4" w:rsidRDefault="00383C36" w:rsidP="00C41EA4">
      <w:pPr>
        <w:spacing w:line="360" w:lineRule="auto"/>
        <w:ind w:leftChars="50" w:left="120"/>
        <w:rPr>
          <w:rFonts w:ascii="Geneva" w:hAnsi="Geneva" w:cs="Arial"/>
          <w:b/>
          <w:color w:val="000000" w:themeColor="text1"/>
        </w:rPr>
      </w:pPr>
      <w:r>
        <w:rPr>
          <w:rFonts w:ascii="Geneva" w:hAnsi="Geneva" w:cs="Arial"/>
          <w:b/>
          <w:bCs/>
          <w:color w:val="000000" w:themeColor="text1"/>
        </w:rPr>
        <w:t>a</w:t>
      </w:r>
      <w:r w:rsidRPr="00383C36">
        <w:rPr>
          <w:rFonts w:ascii="Geneva" w:hAnsi="Geneva" w:cs="Arial"/>
          <w:color w:val="000000" w:themeColor="text1"/>
        </w:rPr>
        <w:t>,</w:t>
      </w:r>
      <w:r>
        <w:rPr>
          <w:rFonts w:ascii="Geneva" w:hAnsi="Geneva" w:cs="Arial"/>
          <w:b/>
          <w:bCs/>
          <w:color w:val="000000" w:themeColor="text1"/>
        </w:rPr>
        <w:t xml:space="preserve"> b</w:t>
      </w:r>
      <w:r w:rsidRPr="00383C36">
        <w:rPr>
          <w:rFonts w:ascii="Geneva" w:hAnsi="Geneva" w:cs="Arial"/>
          <w:color w:val="000000" w:themeColor="text1"/>
        </w:rPr>
        <w:t>,</w:t>
      </w:r>
      <w:r>
        <w:rPr>
          <w:rFonts w:ascii="Geneva" w:hAnsi="Geneva" w:cs="Arial"/>
          <w:color w:val="000000" w:themeColor="text1"/>
        </w:rPr>
        <w:t xml:space="preserve"> Summary data of cell division (</w:t>
      </w:r>
      <w:r w:rsidRPr="00946F5A">
        <w:rPr>
          <w:rFonts w:ascii="Geneva" w:hAnsi="Geneva" w:cs="Arial"/>
          <w:b/>
          <w:bCs/>
          <w:color w:val="000000" w:themeColor="text1"/>
        </w:rPr>
        <w:t>a</w:t>
      </w:r>
      <w:r>
        <w:rPr>
          <w:rFonts w:ascii="Geneva" w:hAnsi="Geneva" w:cs="Arial"/>
          <w:color w:val="000000" w:themeColor="text1"/>
        </w:rPr>
        <w:t>) or cell cycle (</w:t>
      </w:r>
      <w:r w:rsidRPr="00946F5A">
        <w:rPr>
          <w:rFonts w:ascii="Geneva" w:hAnsi="Geneva" w:cs="Arial"/>
          <w:b/>
          <w:bCs/>
          <w:color w:val="000000" w:themeColor="text1"/>
        </w:rPr>
        <w:t>b</w:t>
      </w:r>
      <w:r>
        <w:rPr>
          <w:rFonts w:ascii="Geneva" w:hAnsi="Geneva" w:cs="Arial"/>
          <w:color w:val="000000" w:themeColor="text1"/>
        </w:rPr>
        <w:t xml:space="preserve">) related to (Fig. </w:t>
      </w:r>
      <w:r w:rsidRPr="00383C36">
        <w:rPr>
          <w:rFonts w:ascii="Geneva" w:hAnsi="Geneva" w:cs="Arial"/>
          <w:color w:val="000000" w:themeColor="text1"/>
        </w:rPr>
        <w:t>5j, k</w:t>
      </w:r>
      <w:r>
        <w:rPr>
          <w:rFonts w:ascii="Geneva" w:hAnsi="Geneva" w:cs="Arial"/>
          <w:color w:val="000000" w:themeColor="text1"/>
        </w:rPr>
        <w:t>)</w:t>
      </w:r>
      <w:r w:rsidRPr="005F4780">
        <w:rPr>
          <w:rFonts w:ascii="Geneva" w:hAnsi="Geneva" w:cs="Arial"/>
          <w:color w:val="000000" w:themeColor="text1"/>
        </w:rPr>
        <w:t xml:space="preserve"> </w:t>
      </w:r>
      <w:r>
        <w:rPr>
          <w:rFonts w:ascii="Geneva" w:hAnsi="Geneva" w:cs="Arial"/>
          <w:color w:val="000000" w:themeColor="text1"/>
        </w:rPr>
        <w:t>was shown.</w:t>
      </w:r>
      <w:r w:rsidRPr="00383C36">
        <w:rPr>
          <w:rFonts w:ascii="Geneva" w:hAnsi="Geneva" w:cs="Arial"/>
          <w:b/>
          <w:bCs/>
          <w:color w:val="000000" w:themeColor="text1"/>
        </w:rPr>
        <w:t xml:space="preserve"> </w:t>
      </w:r>
      <w:r>
        <w:rPr>
          <w:rFonts w:ascii="Geneva" w:hAnsi="Geneva" w:cs="Arial"/>
          <w:b/>
          <w:bCs/>
          <w:color w:val="000000" w:themeColor="text1"/>
        </w:rPr>
        <w:t>c</w:t>
      </w:r>
      <w:r w:rsidRPr="00383C36">
        <w:rPr>
          <w:rFonts w:ascii="Geneva" w:hAnsi="Geneva" w:cs="Arial"/>
          <w:color w:val="000000" w:themeColor="text1"/>
        </w:rPr>
        <w:t>,</w:t>
      </w:r>
      <w:r>
        <w:rPr>
          <w:rFonts w:ascii="Geneva" w:hAnsi="Geneva" w:cs="Arial"/>
          <w:b/>
          <w:bCs/>
          <w:color w:val="000000" w:themeColor="text1"/>
        </w:rPr>
        <w:t xml:space="preserve"> d</w:t>
      </w:r>
      <w:r w:rsidRPr="00383C36">
        <w:rPr>
          <w:rFonts w:ascii="Geneva" w:hAnsi="Geneva" w:cs="Arial"/>
          <w:color w:val="000000" w:themeColor="text1"/>
        </w:rPr>
        <w:t>,</w:t>
      </w:r>
      <w:r>
        <w:rPr>
          <w:rFonts w:ascii="Geneva" w:hAnsi="Geneva" w:cs="Arial"/>
          <w:color w:val="000000" w:themeColor="text1"/>
        </w:rPr>
        <w:t xml:space="preserve"> Summary data of IL-17A, IL17F (</w:t>
      </w:r>
      <w:r w:rsidR="00C41EA4" w:rsidRPr="00946F5A">
        <w:rPr>
          <w:rFonts w:ascii="Geneva" w:hAnsi="Geneva" w:cs="Arial"/>
          <w:b/>
          <w:bCs/>
          <w:color w:val="000000" w:themeColor="text1"/>
        </w:rPr>
        <w:t>c</w:t>
      </w:r>
      <w:r>
        <w:rPr>
          <w:rFonts w:ascii="Geneva" w:hAnsi="Geneva" w:cs="Arial"/>
          <w:color w:val="000000" w:themeColor="text1"/>
        </w:rPr>
        <w:t>), or PD-1(</w:t>
      </w:r>
      <w:r w:rsidR="00C41EA4" w:rsidRPr="00946F5A">
        <w:rPr>
          <w:rFonts w:ascii="Geneva" w:hAnsi="Geneva" w:cs="Arial"/>
          <w:b/>
          <w:bCs/>
          <w:color w:val="000000" w:themeColor="text1"/>
        </w:rPr>
        <w:t>d</w:t>
      </w:r>
      <w:r>
        <w:rPr>
          <w:rFonts w:ascii="Geneva" w:hAnsi="Geneva" w:cs="Arial"/>
          <w:color w:val="000000" w:themeColor="text1"/>
        </w:rPr>
        <w:t>) expression related to (</w:t>
      </w:r>
      <w:r w:rsidRPr="00946F5A">
        <w:rPr>
          <w:rFonts w:ascii="Geneva" w:hAnsi="Geneva" w:cs="Arial"/>
          <w:b/>
          <w:bCs/>
          <w:color w:val="000000" w:themeColor="text1"/>
        </w:rPr>
        <w:t>Fig. 5l</w:t>
      </w:r>
      <w:r w:rsidRPr="00383C36">
        <w:rPr>
          <w:rFonts w:ascii="Geneva" w:hAnsi="Geneva" w:cs="Arial"/>
          <w:color w:val="000000" w:themeColor="text1"/>
        </w:rPr>
        <w:t>)</w:t>
      </w:r>
      <w:r w:rsidRPr="005F4780">
        <w:rPr>
          <w:rFonts w:ascii="Geneva" w:hAnsi="Geneva" w:cs="Arial"/>
          <w:color w:val="000000" w:themeColor="text1"/>
        </w:rPr>
        <w:t xml:space="preserve"> </w:t>
      </w:r>
      <w:r w:rsidR="00946F5A">
        <w:rPr>
          <w:rFonts w:ascii="Geneva" w:hAnsi="Geneva" w:cs="Arial"/>
          <w:color w:val="000000" w:themeColor="text1"/>
        </w:rPr>
        <w:t xml:space="preserve">or </w:t>
      </w:r>
      <w:r w:rsidR="00946F5A">
        <w:rPr>
          <w:rFonts w:ascii="Geneva" w:hAnsi="Geneva" w:cs="Arial"/>
          <w:color w:val="000000" w:themeColor="text1"/>
        </w:rPr>
        <w:t>(</w:t>
      </w:r>
      <w:r w:rsidR="00946F5A" w:rsidRPr="00946F5A">
        <w:rPr>
          <w:rFonts w:ascii="Geneva" w:hAnsi="Geneva" w:cs="Arial"/>
          <w:b/>
          <w:bCs/>
          <w:color w:val="000000" w:themeColor="text1"/>
        </w:rPr>
        <w:t>Fig. 5</w:t>
      </w:r>
      <w:r w:rsidR="00946F5A">
        <w:rPr>
          <w:rFonts w:ascii="Geneva" w:hAnsi="Geneva" w:cs="Arial"/>
          <w:b/>
          <w:bCs/>
          <w:color w:val="000000" w:themeColor="text1"/>
        </w:rPr>
        <w:t>m</w:t>
      </w:r>
      <w:r w:rsidR="00946F5A" w:rsidRPr="00383C36">
        <w:rPr>
          <w:rFonts w:ascii="Geneva" w:hAnsi="Geneva" w:cs="Arial"/>
          <w:color w:val="000000" w:themeColor="text1"/>
        </w:rPr>
        <w:t>)</w:t>
      </w:r>
      <w:r w:rsidR="00946F5A">
        <w:rPr>
          <w:rFonts w:ascii="Geneva" w:hAnsi="Geneva" w:cs="Arial"/>
          <w:color w:val="000000" w:themeColor="text1"/>
        </w:rPr>
        <w:t xml:space="preserve"> </w:t>
      </w:r>
      <w:r>
        <w:rPr>
          <w:rFonts w:ascii="Geneva" w:hAnsi="Geneva" w:cs="Arial"/>
          <w:color w:val="000000" w:themeColor="text1"/>
        </w:rPr>
        <w:t>was shown.</w:t>
      </w:r>
      <w:r w:rsidR="00C41EA4">
        <w:rPr>
          <w:rFonts w:ascii="Geneva" w:hAnsi="Geneva" w:cs="Arial" w:hint="eastAsia"/>
          <w:b/>
          <w:color w:val="000000" w:themeColor="text1"/>
        </w:rPr>
        <w:t xml:space="preserve"> </w:t>
      </w:r>
      <w:r w:rsidR="00F80F61">
        <w:rPr>
          <w:rFonts w:ascii="Geneva" w:hAnsi="Geneva" w:cs="Arial"/>
          <w:color w:val="000000" w:themeColor="text1"/>
        </w:rPr>
        <w:t>T</w:t>
      </w:r>
      <w:r w:rsidR="00F80F61" w:rsidRPr="00124C7B">
        <w:rPr>
          <w:rFonts w:ascii="Geneva" w:hAnsi="Geneva" w:cs="Arial"/>
          <w:color w:val="000000" w:themeColor="text1"/>
        </w:rPr>
        <w:t>hree independent experiments were performed and showed similar results (</w:t>
      </w:r>
      <w:r w:rsidR="00F80F61" w:rsidRPr="00946F5A">
        <w:rPr>
          <w:rFonts w:ascii="Geneva" w:hAnsi="Geneva" w:cs="Arial"/>
          <w:b/>
          <w:bCs/>
          <w:color w:val="000000" w:themeColor="text1"/>
        </w:rPr>
        <w:t>a-d</w:t>
      </w:r>
      <w:r w:rsidR="00F80F61" w:rsidRPr="00124C7B">
        <w:rPr>
          <w:rFonts w:ascii="Geneva" w:hAnsi="Geneva" w:cs="Arial"/>
          <w:color w:val="000000" w:themeColor="text1"/>
        </w:rPr>
        <w:t>).</w:t>
      </w:r>
      <w:r w:rsidR="00F80F61">
        <w:rPr>
          <w:rFonts w:ascii="Geneva" w:hAnsi="Geneva" w:cs="Arial"/>
          <w:color w:val="000000" w:themeColor="text1"/>
        </w:rPr>
        <w:t xml:space="preserve"> Error bar indicates SD.</w:t>
      </w:r>
    </w:p>
    <w:p w14:paraId="7A16E80E" w14:textId="77777777" w:rsidR="00F80F61" w:rsidRPr="00F80F61" w:rsidRDefault="00F80F61" w:rsidP="00717AFC">
      <w:pPr>
        <w:spacing w:line="360" w:lineRule="auto"/>
      </w:pPr>
    </w:p>
    <w:sectPr w:rsidR="00F80F61" w:rsidRPr="00F80F61" w:rsidSect="001874A1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Geneva">
    <w:panose1 w:val="020B0503030404040204"/>
    <w:charset w:val="00"/>
    <w:family w:val="swiss"/>
    <w:pitch w:val="variable"/>
    <w:sig w:usb0="E00002FF" w:usb1="5200205F" w:usb2="00A0C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EC6"/>
    <w:rsid w:val="001874A1"/>
    <w:rsid w:val="00383C36"/>
    <w:rsid w:val="00406D32"/>
    <w:rsid w:val="00580689"/>
    <w:rsid w:val="00717AFC"/>
    <w:rsid w:val="008D1E8B"/>
    <w:rsid w:val="00946F5A"/>
    <w:rsid w:val="00B32EC6"/>
    <w:rsid w:val="00C41EA4"/>
    <w:rsid w:val="00C62FE3"/>
    <w:rsid w:val="00EF0E64"/>
    <w:rsid w:val="00F80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98193A"/>
  <w15:chartTrackingRefBased/>
  <w15:docId w15:val="{224E5839-EE5F-EA45-A5EE-4B50FB21F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2EC6"/>
    <w:rPr>
      <w:rFonts w:ascii="ＭＳ Ｐゴシック" w:eastAsia="ＭＳ Ｐゴシック" w:hAnsi="ＭＳ Ｐゴシック" w:cs="ＭＳ Ｐゴシック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菅野 敏生</dc:creator>
  <cp:keywords/>
  <dc:description/>
  <cp:lastModifiedBy>菅野 敏生</cp:lastModifiedBy>
  <cp:revision>5</cp:revision>
  <dcterms:created xsi:type="dcterms:W3CDTF">2023-02-12T06:14:00Z</dcterms:created>
  <dcterms:modified xsi:type="dcterms:W3CDTF">2023-02-24T08:18:00Z</dcterms:modified>
</cp:coreProperties>
</file>