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12E" w:rsidRPr="008367BF" w:rsidRDefault="0096012E" w:rsidP="0096012E">
      <w:pPr>
        <w:tabs>
          <w:tab w:val="left" w:pos="2530"/>
        </w:tabs>
        <w:jc w:val="center"/>
        <w:rPr>
          <w:rFonts w:ascii="Times New Roman" w:eastAsia="Calibri" w:hAnsi="Times New Roman" w:cs="Times New Roman"/>
          <w:sz w:val="24"/>
          <w:szCs w:val="24"/>
          <w:lang w:val="en-US"/>
        </w:rPr>
      </w:pPr>
      <w:r w:rsidRPr="008367BF">
        <w:rPr>
          <w:rFonts w:ascii="Times New Roman" w:eastAsia="Calibri" w:hAnsi="Times New Roman" w:cs="Times New Roman"/>
          <w:sz w:val="24"/>
          <w:szCs w:val="24"/>
          <w:lang w:val="en-US"/>
        </w:rPr>
        <w:t>.</w:t>
      </w:r>
    </w:p>
    <w:p w:rsidR="0096012E" w:rsidRPr="008367BF" w:rsidRDefault="0096012E" w:rsidP="0096012E">
      <w:pPr>
        <w:pStyle w:val="Caption"/>
        <w:keepNext/>
        <w:ind w:left="142"/>
        <w:rPr>
          <w:rFonts w:ascii="Times New Roman" w:hAnsi="Times New Roman" w:cs="Times New Roman"/>
          <w:i w:val="0"/>
          <w:iCs w:val="0"/>
          <w:color w:val="auto"/>
          <w:sz w:val="24"/>
          <w:szCs w:val="24"/>
        </w:rPr>
      </w:pPr>
      <w:r w:rsidRPr="008367BF">
        <w:rPr>
          <w:rFonts w:ascii="Times New Roman" w:hAnsi="Times New Roman" w:cs="Times New Roman"/>
          <w:b/>
          <w:i w:val="0"/>
          <w:iCs w:val="0"/>
          <w:color w:val="auto"/>
          <w:sz w:val="24"/>
          <w:szCs w:val="24"/>
        </w:rPr>
        <w:t>Table 1</w:t>
      </w:r>
      <w:r w:rsidRPr="008367BF">
        <w:rPr>
          <w:rFonts w:ascii="Times New Roman" w:hAnsi="Times New Roman" w:cs="Times New Roman"/>
          <w:b/>
          <w:i w:val="0"/>
          <w:iCs w:val="0"/>
          <w:color w:val="auto"/>
          <w:sz w:val="24"/>
          <w:szCs w:val="24"/>
        </w:rPr>
        <w:tab/>
      </w:r>
      <w:r w:rsidRPr="008367BF">
        <w:rPr>
          <w:rFonts w:ascii="Times New Roman" w:hAnsi="Times New Roman" w:cs="Times New Roman"/>
          <w:i w:val="0"/>
          <w:iCs w:val="0"/>
          <w:color w:val="auto"/>
          <w:sz w:val="24"/>
          <w:szCs w:val="24"/>
        </w:rPr>
        <w:t>Anti-nociceptive and analgesic effects</w:t>
      </w:r>
      <w:r w:rsidRPr="008367BF" w:rsidDel="002464D4">
        <w:rPr>
          <w:rFonts w:ascii="Times New Roman" w:hAnsi="Times New Roman" w:cs="Times New Roman"/>
          <w:i w:val="0"/>
          <w:iCs w:val="0"/>
          <w:color w:val="auto"/>
          <w:sz w:val="24"/>
          <w:szCs w:val="24"/>
        </w:rPr>
        <w:t xml:space="preserve"> </w:t>
      </w:r>
      <w:r w:rsidRPr="008367BF">
        <w:rPr>
          <w:rFonts w:ascii="Times New Roman" w:hAnsi="Times New Roman" w:cs="Times New Roman"/>
          <w:i w:val="0"/>
          <w:iCs w:val="0"/>
          <w:color w:val="auto"/>
          <w:sz w:val="24"/>
          <w:szCs w:val="24"/>
        </w:rPr>
        <w:t xml:space="preserve">of CORM-2 in different rodent pain models.  </w:t>
      </w:r>
    </w:p>
    <w:tbl>
      <w:tblPr>
        <w:tblStyle w:val="TableGrid"/>
        <w:tblW w:w="13608" w:type="dxa"/>
        <w:jc w:val="center"/>
        <w:tblBorders>
          <w:insideV w:val="none" w:sz="0" w:space="0" w:color="auto"/>
        </w:tblBorders>
        <w:tblLayout w:type="fixed"/>
        <w:tblLook w:val="04A0" w:firstRow="1" w:lastRow="0" w:firstColumn="1" w:lastColumn="0" w:noHBand="0" w:noVBand="1"/>
      </w:tblPr>
      <w:tblGrid>
        <w:gridCol w:w="1696"/>
        <w:gridCol w:w="3123"/>
        <w:gridCol w:w="1843"/>
        <w:gridCol w:w="137"/>
        <w:gridCol w:w="4682"/>
        <w:gridCol w:w="2127"/>
      </w:tblGrid>
      <w:tr w:rsidR="0096012E" w:rsidRPr="008367BF" w:rsidTr="0003479B">
        <w:trPr>
          <w:trHeight w:val="261"/>
          <w:jc w:val="center"/>
        </w:trPr>
        <w:tc>
          <w:tcPr>
            <w:tcW w:w="1696"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iCs/>
                <w:sz w:val="24"/>
                <w:szCs w:val="24"/>
              </w:rPr>
              <w:t>Animal</w:t>
            </w:r>
            <w:r w:rsidRPr="008367BF">
              <w:rPr>
                <w:rFonts w:ascii="Times New Roman" w:hAnsi="Times New Roman" w:cs="Times New Roman"/>
                <w:b/>
                <w:bCs/>
                <w:sz w:val="24"/>
                <w:szCs w:val="24"/>
              </w:rPr>
              <w:t xml:space="preserve"> model</w:t>
            </w:r>
          </w:p>
        </w:tc>
        <w:tc>
          <w:tcPr>
            <w:tcW w:w="3123" w:type="dxa"/>
            <w:shd w:val="clear" w:color="auto" w:fill="FFC000"/>
            <w:vAlign w:val="center"/>
          </w:tcPr>
          <w:p w:rsidR="0096012E" w:rsidRPr="008367BF" w:rsidRDefault="0096012E" w:rsidP="0003479B">
            <w:pPr>
              <w:spacing w:line="276" w:lineRule="auto"/>
              <w:jc w:val="center"/>
              <w:rPr>
                <w:rFonts w:ascii="Times New Roman" w:hAnsi="Times New Roman" w:cs="Times New Roman"/>
                <w:b/>
                <w:bCs/>
                <w:sz w:val="24"/>
                <w:szCs w:val="24"/>
              </w:rPr>
            </w:pPr>
            <w:r w:rsidRPr="008367BF">
              <w:rPr>
                <w:rFonts w:ascii="Times New Roman" w:hAnsi="Times New Roman" w:cs="Times New Roman"/>
                <w:b/>
                <w:bCs/>
                <w:sz w:val="24"/>
                <w:szCs w:val="24"/>
              </w:rPr>
              <w:t>Species</w:t>
            </w:r>
          </w:p>
        </w:tc>
        <w:tc>
          <w:tcPr>
            <w:tcW w:w="1980" w:type="dxa"/>
            <w:gridSpan w:val="2"/>
            <w:shd w:val="clear" w:color="auto" w:fill="FFC000"/>
            <w:vAlign w:val="center"/>
          </w:tcPr>
          <w:p w:rsidR="0096012E" w:rsidRPr="008367BF" w:rsidRDefault="0096012E" w:rsidP="0003479B">
            <w:pPr>
              <w:spacing w:line="276" w:lineRule="auto"/>
              <w:jc w:val="center"/>
              <w:rPr>
                <w:rFonts w:ascii="Times New Roman" w:hAnsi="Times New Roman" w:cs="Times New Roman"/>
                <w:b/>
                <w:bCs/>
                <w:sz w:val="24"/>
                <w:szCs w:val="24"/>
              </w:rPr>
            </w:pPr>
            <w:r w:rsidRPr="008367BF">
              <w:rPr>
                <w:rFonts w:ascii="Times New Roman" w:hAnsi="Times New Roman" w:cs="Times New Roman"/>
                <w:b/>
                <w:bCs/>
                <w:sz w:val="24"/>
                <w:szCs w:val="24"/>
              </w:rPr>
              <w:t>Dose</w:t>
            </w:r>
          </w:p>
        </w:tc>
        <w:tc>
          <w:tcPr>
            <w:tcW w:w="4682" w:type="dxa"/>
            <w:tcBorders>
              <w:bottom w:val="single" w:sz="4" w:space="0" w:color="auto"/>
            </w:tcBorders>
            <w:shd w:val="clear" w:color="auto" w:fill="FFC000"/>
            <w:vAlign w:val="center"/>
          </w:tcPr>
          <w:p w:rsidR="0096012E" w:rsidRPr="008367BF" w:rsidRDefault="0096012E" w:rsidP="0003479B">
            <w:pPr>
              <w:spacing w:line="276" w:lineRule="auto"/>
              <w:jc w:val="center"/>
              <w:rPr>
                <w:rFonts w:ascii="Times New Roman" w:hAnsi="Times New Roman" w:cs="Times New Roman"/>
                <w:b/>
                <w:bCs/>
                <w:sz w:val="24"/>
                <w:szCs w:val="24"/>
              </w:rPr>
            </w:pPr>
            <w:r w:rsidRPr="008367BF">
              <w:rPr>
                <w:rFonts w:ascii="Times New Roman" w:hAnsi="Times New Roman" w:cs="Times New Roman"/>
                <w:b/>
                <w:bCs/>
                <w:sz w:val="24"/>
                <w:szCs w:val="24"/>
              </w:rPr>
              <w:t>Overall effects</w:t>
            </w:r>
          </w:p>
        </w:tc>
        <w:tc>
          <w:tcPr>
            <w:tcW w:w="2127" w:type="dxa"/>
            <w:shd w:val="clear" w:color="auto" w:fill="FFC000"/>
            <w:vAlign w:val="center"/>
          </w:tcPr>
          <w:p w:rsidR="0096012E" w:rsidRPr="008367BF" w:rsidRDefault="0096012E" w:rsidP="0003479B">
            <w:pPr>
              <w:spacing w:line="276" w:lineRule="auto"/>
              <w:jc w:val="center"/>
              <w:rPr>
                <w:rFonts w:ascii="Times New Roman" w:hAnsi="Times New Roman" w:cs="Times New Roman"/>
                <w:b/>
                <w:bCs/>
                <w:sz w:val="24"/>
                <w:szCs w:val="24"/>
              </w:rPr>
            </w:pPr>
            <w:r w:rsidRPr="008367BF">
              <w:rPr>
                <w:rFonts w:ascii="Times New Roman" w:hAnsi="Times New Roman" w:cs="Times New Roman"/>
                <w:b/>
                <w:bCs/>
                <w:sz w:val="24"/>
                <w:szCs w:val="24"/>
              </w:rPr>
              <w:t>References</w:t>
            </w:r>
          </w:p>
        </w:tc>
      </w:tr>
      <w:tr w:rsidR="0096012E" w:rsidRPr="008367BF" w:rsidTr="0003479B">
        <w:trPr>
          <w:trHeight w:val="279"/>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CCI </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p>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C57BL/6J male mice - </w:t>
            </w:r>
            <w:r w:rsidRPr="008367BF">
              <w:rPr>
                <w:rFonts w:ascii="Times New Roman" w:hAnsi="Times New Roman" w:cs="Times New Roman"/>
                <w:sz w:val="24"/>
                <w:szCs w:val="24"/>
              </w:rPr>
              <w:br/>
              <w:t>Wild type and NOS2-knockout</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r>
          </w:p>
        </w:tc>
        <w:tc>
          <w:tcPr>
            <w:tcW w:w="4819" w:type="dxa"/>
            <w:gridSpan w:val="2"/>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 (WT)</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{"citationItems":[{"id":"ITEM-1","itemData":{"DOI":"10.1371/journal.pone.0043693","ISSN":"19326203","PMID":"22928017","abstract":"Background: Carbon monoxide (CO) synthesized by heme oxygenase 1 (HO-1) exerts antinociceptive effects during inflammation but its role during neuropathic pain remains unknown. Our objective is to investigate the exact contribution of CO derived from HO-1 in the modulation of neuropathic pain and the mechanisms implicated. Methodology/Principal Findings: We evaluated the antiallodynic and antihyperalgesic effects of CO following sciatic nerve injury in wild type (WT) or inducible nitric oxide synthase knockout (NOS2-KO) mice using two carbon monoxide-releasing molecules (CORM-2 and CORM-3) and an HO-1 inducer (cobalt protoporphyrin IX, CoPP) daily administered from days 10 to 20 after injury. The effects of CORM-2 and CoPP on the expression of HO-1, heme oxygenase 2 (HO-2), neuronal nitric oxide synthase (NOS1) and NOS2 as well as a microglial marker (CD11b/c) were also assessed at day 20 after surgery in WT and NOS2-KO mice. In WT mice, the main neuropathic pain symptoms induced by nerve injury were significantly reduced in a time-dependent manner by treatment with CO-RMs or CoPP. Both CORM-2 and CoPP treatments increased HO-1 expression in WT mice, but only CoPP stimulated HO-1 in NOS2-KO animals. The increased expression of HO-2 induced by nerve injury in WT, but not in NOS2-KO mice, remains unaltered by CORM-2 or CoPP treatments. In contrast, the over-expression of CD11b/c, NOS1 and NOS2 induced by nerve injury in WT, but not in NOS2-KO mice, were significantly decreased by both CORM-2 and CoPP treatments. These data indicate that CO alleviates neuropathic pain through the reduction of spinal microglial activation and NOS1/NOS2 over-expression. Conclusions/Significance: This study reports that an interaction between the CO and nitric oxide (NO) systems is taking place following sciatic nerve injury and reveals that increasing the exogenous (CO-RMs) or endogenous (CoPP) production of CO may represent a novel strategy for the treatment of neuropathic pain. © 2012 Hervera et al.","author":[{"dropping-particle":"","family":"Hervera","given":"Arnau","non-dropping-particle":"","parse-names":false,"suffix":""},{"dropping-particle":"","family":"Leánez","given":"Sergi","non-dropping-particle":"","parse-names":false,"suffix":""},{"dropping-particle":"","family":"Negrete","given":"Roger","non-dropping-particle":"","parse-names":false,"suffix":""},{"dropping-particle":"","family":"Motterlini","given":"Roberto","non-dropping-particle":"","parse-names":false,"suffix":""},{"dropping-particle":"","family":"Pol","given":"Olga","non-dropping-particle":"","parse-names":false,"suffix":""}],"container-title":"PLoS ONE","id":"ITEM-1","issue":"8","issued":{"date-parts":[["2012"]]},"page":"1-10","title":"Carbon monoxide reduces neuropathic pain and spinal microglial activation by inhibiting nitric oxide synthesis in mice","type":"article-journal","volume":"7"},"uris":["http://www.mendeley.com/documents/?uuid=e6fc82c9-8cdf-428e-a4e3-2d808dee46c3"]}],"mendeley":{"formattedCitation":"(Hervera &lt;i&gt;et al.&lt;/i&gt;, 2012)","plainTextFormattedCitation":"(Hervera et al., 2012)","previouslyFormattedCitation":"(Hervera &lt;i&gt;et al.&lt;/i&gt;, 2012)"},"properties":{"noteIndex":0},"schema":"https://github.com/citation-style-language/schema/raw/master/csl-citation.json"}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(Hervera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2012)</w:t>
            </w:r>
            <w:r w:rsidRPr="008367BF">
              <w:rPr>
                <w:rFonts w:ascii="Times New Roman" w:hAnsi="Times New Roman" w:cs="Times New Roman"/>
                <w:sz w:val="24"/>
                <w:szCs w:val="24"/>
              </w:rPr>
              <w:fldChar w:fldCharType="end"/>
            </w:r>
          </w:p>
        </w:tc>
      </w:tr>
      <w:tr w:rsidR="0096012E" w:rsidRPr="008367BF" w:rsidTr="0003479B">
        <w:trPr>
          <w:trHeight w:val="277"/>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HO-2 (WT)</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7"/>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No change in CD11b/c (microglial activation) (WT)</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7"/>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NOS-1, NOS-2 (all genotypes)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0"/>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CCI </w:t>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proofErr w:type="spellStart"/>
            <w:r w:rsidRPr="008367BF">
              <w:rPr>
                <w:rFonts w:ascii="Times New Roman" w:hAnsi="Times New Roman" w:cs="Times New Roman"/>
                <w:sz w:val="24"/>
                <w:szCs w:val="24"/>
              </w:rPr>
              <w:t>Wistar</w:t>
            </w:r>
            <w:proofErr w:type="spellEnd"/>
            <w:r w:rsidRPr="008367BF">
              <w:rPr>
                <w:rFonts w:ascii="Times New Roman" w:hAnsi="Times New Roman" w:cs="Times New Roman"/>
                <w:sz w:val="24"/>
                <w:szCs w:val="24"/>
              </w:rPr>
              <w:t xml:space="preserve"> male and female rats</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 mg/kg, </w:t>
            </w:r>
            <w:proofErr w:type="spellStart"/>
            <w:r w:rsidRPr="008367BF">
              <w:rPr>
                <w:rFonts w:ascii="Times New Roman" w:hAnsi="Times New Roman" w:cs="Times New Roman"/>
                <w:sz w:val="24"/>
                <w:szCs w:val="24"/>
              </w:rPr>
              <w:t>s.c</w:t>
            </w:r>
            <w:proofErr w:type="spellEnd"/>
          </w:p>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r w:rsidRPr="008367BF">
              <w:rPr>
                <w:rFonts w:ascii="Times New Roman" w:hAnsi="Times New Roman" w:cs="Times New Roman"/>
                <w:sz w:val="24"/>
                <w:szCs w:val="24"/>
              </w:rPr>
              <w:t>s.c</w:t>
            </w:r>
            <w:proofErr w:type="spellEnd"/>
          </w:p>
        </w:tc>
        <w:tc>
          <w:tcPr>
            <w:tcW w:w="4819" w:type="dxa"/>
            <w:gridSpan w:val="2"/>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{"citationItems":[{"id":"ITEM-1","itemData":{"DOI":"10.1007/s00210-012-0816-1","ISSN":"00281298","abstract":"Recent studies have emphasized the contribution of neuroinflammation and oxido-nitrosative stress to neuropathic pain. Both, heme oxygenase (HO)-1 and carbon monoxide (CO) play an important role in regulating free radical generation and inflammation. Herein, we investigated the role of HO-1/CO pathway, by using hemin, a selective HO activator, and CO-releasing molecule (CORM)-2, a CO-releasing agent, in rat sciatic nerve chronic constriction injury (CCI)-induced neuropathic pain. CCI rats exhibited full development of behavioral hypersensitivity symptoms, including cold allodynia, mechanical and thermal hyperalgesia and also exhibit of a significant increase in spinal cord pro-inflammatory cytokines (TNF-α and IL-1β) and oxido-nitrosative stress markers, both in spinal cord and ipsilateral sciatic nerve homogenate. Spinal (10 and 30 μg/rat, intrathecal (i.t.)), but not systemic (5 and 10 mg/kg, subcutaneous (s.c.)), administration of hemin for 14 days significantly prevented the development of behavioral hypersensitivity. Further, simultaneous administration of hemin via spinal (10 μg/rat, i.t.) and systemic (5 mg/kg, s.c.) routes led to a more pronounced inhibition of the development of behavioral hypersensitivity. Further, administration of CORM-2 (1 and 5 mg/kg, s.c.), dose-dependently and most effectively, prevented the development of behavioral hypersensitivity. Both hemin and CORM-2 produced ameliorative beneficial effects that paralleled with the extent of reduction of oxido-nitrosative stress and pro-inflammatory cytokines. Also, hemin and CORM-2 significantly improved the levels of HO-1 and activity of anti-oxidant enzymes such as superoxide dismutase and catalase. Thus, it may be concluded that chronic pharmacological activation of HO-1/CO pathway may prevent the development of behavioral symptoms of neuropathic pain, through an activation of anti-inflammatory and anti-oxidant mechanisms. © 2012 Springer-Verlag Berlin Heidelberg.","author":[{"dropping-particle":"V.","family":"Bijjem","given":"Krishna Reddy","non-dropping-particle":"","parse-names":false,"suffix":""},{"dropping-particle":"","family":"Padi","given":"Satyanarayana S.V.","non-dropping-particle":"","parse-names":false,"suffix":""},{"dropping-particle":"","family":"Lal Sharma","given":"Pyare","non-dropping-particle":"","parse-names":false,"suffix":""}],"container-title":"Naunyn-Schmiedeberg's Archives of Pharmacology","id":"ITEM-1","issue":"1","issued":{"date-parts":[["2013"]]},"page":"79-90","title":"Pharmacological activation of heme oxygenase (HO)-1/carbon monoxide pathway prevents the development of peripheral neuropathic pain in Wistar rats","type":"article-journal","volume":"386"},"uris":["http://www.mendeley.com/documents/?uuid=79fd275a-3e7c-4c71-aa4e-3858ad36bdda"]}],"mendeley":{"formattedCitation":"(Bijjem, Padi &amp; Lal Sharma, 2013)","plainTextFormattedCitation":"(Bijjem, Padi &amp; Lal Sharma, 2013)","previouslyFormattedCitation":"(Bijjem, Padi &amp; Lal Sharma, 2013)"},"properties":{"noteIndex":0},"schema":"https://github.com/citation-style-language/schema/raw/master/csl-citation.json"}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(Bijjem, Padi &amp; Lal Sharma, 2013)</w:t>
            </w:r>
            <w:r w:rsidRPr="008367BF">
              <w:rPr>
                <w:rFonts w:ascii="Times New Roman" w:hAnsi="Times New Roman" w:cs="Times New Roman"/>
                <w:sz w:val="24"/>
                <w:szCs w:val="24"/>
              </w:rPr>
              <w:fldChar w:fldCharType="end"/>
            </w:r>
          </w:p>
        </w:tc>
      </w:tr>
      <w:tr w:rsidR="0096012E" w:rsidRPr="008367BF" w:rsidTr="0003479B">
        <w:trPr>
          <w:trHeight w:val="270"/>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IL-1β, TNF-α, TBARS, nitrite</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0"/>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SOD, catalase</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0"/>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No change in locomotor activity</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0"/>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CCI </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proofErr w:type="spellStart"/>
            <w:r w:rsidRPr="008367BF">
              <w:rPr>
                <w:rFonts w:ascii="Times New Roman" w:hAnsi="Times New Roman" w:cs="Times New Roman"/>
                <w:sz w:val="24"/>
                <w:szCs w:val="24"/>
              </w:rPr>
              <w:t>Wistar</w:t>
            </w:r>
            <w:proofErr w:type="spellEnd"/>
            <w:r w:rsidRPr="008367BF">
              <w:rPr>
                <w:rFonts w:ascii="Times New Roman" w:hAnsi="Times New Roman" w:cs="Times New Roman"/>
                <w:sz w:val="24"/>
                <w:szCs w:val="24"/>
              </w:rPr>
              <w:t xml:space="preserve"> male rats</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10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20 µg/5 µl, i.t</w:t>
            </w:r>
            <w:r w:rsidRPr="008367BF">
              <w:rPr>
                <w:rFonts w:ascii="Times New Roman" w:hAnsi="Times New Roman" w:cs="Times New Roman"/>
                <w:sz w:val="24"/>
                <w:szCs w:val="24"/>
              </w:rPr>
              <w:br/>
            </w:r>
          </w:p>
        </w:tc>
        <w:tc>
          <w:tcPr>
            <w:tcW w:w="4819" w:type="dxa"/>
            <w:gridSpan w:val="2"/>
            <w:tcBorders>
              <w:top w:val="dotted"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{"citationItems":[{"id":"ITEM-1","itemData":{"DOI":"10.1016/j.pharep.2015.08.016","ISSN":"17341140","abstract":"Background Experiments were conducted to evaluate the contribution of P2X4 receptors to the modulation of neuropathy and their ability to amplify opioid effectiveness. Methods The study consisted of behavioral and biochemical analysis of the effect of a carbon monoxide donor - CORM-2, on the development of neuropathic pain in a rat model of chronic constriction injury (CCI) to the sciatic nerve. Here, we exam if chronic intraperitoneal or intrathecal administration of CORM-2 influences CCI-induced allodynia and hyperalgesia. In parallel, changes of spinal microglial and/or astroglial activation were studied. CORM-2 was administered intrathecally [20 μg/5 μl] or intraperitoneally [10 mg/kg]. Results Here, we report that intraperitoneal or intrathecal chronic administration of the carbon monoxide donor CORM-2 significantly reduced the allodynia/hyperalgesia induced by CCI, with a parallel reduction of spinal microglial and/or astroglial activation. Furthermore, even a single intraperitoneal administration of CORM-2 had antiallodynic potency and moreover, increased morphine/buprenorphine analgesia compared to the effects of these drugs alone, completely eliminating the neuropathic pain symptoms. When CORM-2 was administered for 7 consecutive days, the antinociceptive effect of CORM-2 after CCI was stronger on day 7 than on day 2, which indicates that this effect built up over time. We are the first to demonstrate that even a single intraperitoneal injection of CORM-2 potentiates the antihyperalgesic and antiallodynic properties of morphine/buprenorphine in a CCI rat model. Conclusions Our data suggest that P2X4 receptors play a significant role in neuropathic pain development, suggesting that their blockade may have potential therapeutic utility.","author":[{"dropping-particle":"","family":"Jurga","given":"Agnieszka M.","non-dropping-particle":"","parse-names":false,"suffix":""},{"dropping-particle":"","family":"Piotrowska","given":"Anna","non-dropping-particle":"","parse-names":false,"suffix":""},{"dropping-particle":"","family":"Starnowska","given":"Joanna","non-dropping-particle":"","parse-names":false,"suffix":""},{"dropping-particle":"","family":"Rojewska","given":"Ewelina","non-dropping-particle":"","parse-names":false,"suffix":""},{"dropping-particle":"","family":"Makuch","given":"Wioletta","non-dropping-particle":"","parse-names":false,"suffix":""},{"dropping-particle":"","family":"Mika","given":"Joanna","non-dropping-particle":"","parse-names":false,"suffix":""}],"container-title":"Pharmacological Reports","id":"ITEM-1","issue":"1","issued":{"date-parts":[["2016"]]},"page":"206-213","publisher":"Institute of Pharmacology, Polish Academy of Sciences","title":"Treatment with a carbon monoxide-releasing molecule (CORM-2) inhibits neuropathic pain and enhances opioid effectiveness in rats","type":"article-journal","volume":"68"},"uris":["http://www.mendeley.com/documents/?uuid=ae374696-0e76-47eb-921c-d6353c142945"]}],"mendeley":{"formattedCitation":"(Jurga &lt;i&gt;et al.&lt;/i&gt;, 2016)","plainTextFormattedCitation":"(Jurga et al., 2016)","previouslyFormattedCitation":"(Jurga &lt;i&gt;et al.&lt;/i&gt;, 2016)"},"properties":{"noteIndex":0},"schema":"https://github.com/citation-style-language/schema/raw/master/csl-citation.json"}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(Jurga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2016)</w:t>
            </w:r>
            <w:r w:rsidRPr="008367BF">
              <w:rPr>
                <w:rFonts w:ascii="Times New Roman" w:hAnsi="Times New Roman" w:cs="Times New Roman"/>
                <w:sz w:val="24"/>
                <w:szCs w:val="24"/>
              </w:rPr>
              <w:fldChar w:fldCharType="end"/>
            </w:r>
          </w:p>
        </w:tc>
      </w:tr>
      <w:tr w:rsidR="0096012E" w:rsidRPr="008367BF" w:rsidTr="0003479B">
        <w:trPr>
          <w:trHeight w:val="270"/>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Iba-1 (microglial activation), GFAP (astrocyte activation)</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270"/>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morphine/buprenorphine anti-nociceptive effects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2"/>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bookmarkStart w:id="0" w:name="_Hlk41850850"/>
            <w:r w:rsidRPr="008367BF">
              <w:rPr>
                <w:rFonts w:ascii="Times New Roman" w:hAnsi="Times New Roman" w:cs="Times New Roman"/>
                <w:sz w:val="24"/>
                <w:szCs w:val="24"/>
              </w:rPr>
              <w:t>CCI</w:t>
            </w:r>
          </w:p>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C57BL/6 male mice</w:t>
            </w:r>
          </w:p>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 xml:space="preserve">10 mg/kg, </w:t>
            </w:r>
            <w:proofErr w:type="spellStart"/>
            <w:r w:rsidRPr="008367BF">
              <w:rPr>
                <w:rFonts w:ascii="Times New Roman" w:hAnsi="Times New Roman" w:cs="Times New Roman"/>
                <w:sz w:val="24"/>
                <w:szCs w:val="24"/>
              </w:rPr>
              <w:t>i.p</w:t>
            </w:r>
            <w:proofErr w:type="spellEnd"/>
            <w:r w:rsidRPr="008367BF">
              <w:rPr>
                <w:rFonts w:ascii="Times New Roman" w:hAnsi="Times New Roman" w:cs="Times New Roman"/>
                <w:sz w:val="24"/>
                <w:szCs w:val="24"/>
              </w:rPr>
              <w:br/>
            </w:r>
          </w:p>
        </w:tc>
        <w:tc>
          <w:tcPr>
            <w:tcW w:w="4819" w:type="dxa"/>
            <w:gridSpan w:val="2"/>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{"citationItems":[{"id":"ITEM-1","itemData":{"DOI":"10.1097/ALN.0b013e318286d085","ISSN":"00033022","PMID":"23358127","abstract":"Background: The administration of μ-opioid receptors (MOR) and δ-opioid receptors (DOR) as well as cannabinoid-2 receptor (CB2R) agonists attenuates neuropathic pain. We investigated if treatment with two carbon monoxide-releasing molecules (CORM-2 and CORM-3) or an inducible heme oxygenase inducer (cobalt protoporphyrin IX, CoPP) could modulate the local and systemic effects and expression of MOR, DOR, and CB2R during neuropathic pain. Methods: In C57BL/6 mice, at 10 days after the chronic constriction of sciatic nerve, we evaluated the effects of the intraperitoneal administration of 10 mg/kg of CORM-2, CORM-3, or CoPP on the antiallodynic and antihyperalgesic actions of a locally or systemically administered MOR (morphine), DOR ([d-Pen(2),d-Pen(5)]- enkephalin) or CB2R ((2-methyl-1-propyl-1H-indol-3-yl)-1-naphthalenylmethanone ) agonist. The effects of CORM-2 and CoPP treatments on the expression of MOR, DOR, CB2R, inducible and constitutive heme oxygenases, microglia activation marker (CD11b/c), and neuronal and inducible nitric oxide synthases were also assessed. Results: Treatments with CO-RMs and CoPP reduced the mechanical and thermal hypersensitivity induced by sciatic nerve injury, increased the local, but not systemic, antinociceptive effects of morphine, and decreased those produced by DPDPE and JWH-015. Both CORM-2 and CoPP treatments enhanced MOR and inducible heme oxygenase expression, unaltered DOR and constitutive heme oxygenase expression, and decreased the overexpression of CB2R, CD11b/c, and neuronal and inducible nitric oxide synthases induced by sciatic nerve injury. Conclusions: This study shows that CO-RMs and CoPP treatments increase the local antinociceptive effects of morphine through enhancing MOR peripheral expression and inhibiting spinal microglial activation and overexpression of neuronal/inducible nitric oxide synthases. © 2013 the American Society of Anesthesiologists, Inc. Lippincott Williams &amp; Wilkins. Anesthesiology.","author":[{"dropping-particle":"","family":"Hervera","given":"Arnau","non-dropping-particle":"","parse-names":false,"suffix":""},{"dropping-particle":"","family":"Leánez","given":"Sergi","non-dropping-particle":"","parse-names":false,"suffix":""},{"dropping-particle":"","family":"Motterlini","given":"Roberto","non-dropping-particle":"","parse-names":false,"suffix":""},{"dropping-particle":"","family":"Pol","given":"Olga","non-dropping-particle":"","parse-names":false,"suffix":""}],"container-title":"Anesthesiology","id":"ITEM-1","issue":"5","issued":{"date-parts":[["2016"]]},"page":"1180-1197","title":"Treatment with carbon monoxide-releasing molecules and an HO-1 inducer enhances the effects and expression of μ-opioid receptors during neuropathic pain","type":"article-journal","volume":"118"},"uris":["http://www.mendeley.com/documents/?uuid=0e58add0-6835-489a-8d55-c2bf144fcf69"]}],"mendeley":{"formattedCitation":"(Hervera &lt;i&gt;et al.&lt;/i&gt;, 2016)","plainTextFormattedCitation":"(Hervera et al., 2016)","previouslyFormattedCitation":"(Hervera &lt;i&gt;et al.&lt;/i&gt;, 2016)"},"properties":{"noteIndex":0},"schema":"https://github.com/citation-style-language/schema/raw/master/csl-citation.json"}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(Hervera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2016)</w:t>
            </w:r>
            <w:r w:rsidRPr="008367BF">
              <w:rPr>
                <w:rFonts w:ascii="Times New Roman" w:hAnsi="Times New Roman" w:cs="Times New Roman"/>
                <w:sz w:val="24"/>
                <w:szCs w:val="24"/>
              </w:rPr>
              <w:fldChar w:fldCharType="end"/>
            </w:r>
          </w:p>
        </w:tc>
      </w:tr>
      <w:tr w:rsidR="0096012E" w:rsidRPr="008367BF" w:rsidTr="0003479B">
        <w:trPr>
          <w:trHeight w:val="401"/>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CB2R, CD11b/c (microglial activation), NOS-1, NOS-2</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1"/>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MOR</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1"/>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No change in HO-2, DOR</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1"/>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gridSpan w:val="2"/>
            <w:tcBorders>
              <w:top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morphine anti-nociceptive effects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bookmarkEnd w:id="0"/>
    </w:tbl>
    <w:p w:rsidR="0096012E" w:rsidRPr="008367BF" w:rsidRDefault="0096012E" w:rsidP="0096012E">
      <w:pPr>
        <w:rPr>
          <w:rFonts w:ascii="Times New Roman" w:hAnsi="Times New Roman" w:cs="Times New Roman"/>
          <w:sz w:val="24"/>
          <w:szCs w:val="24"/>
        </w:rPr>
      </w:pPr>
      <w:r w:rsidRPr="008367BF">
        <w:rPr>
          <w:rFonts w:ascii="Times New Roman" w:hAnsi="Times New Roman" w:cs="Times New Roman"/>
          <w:sz w:val="24"/>
          <w:szCs w:val="24"/>
        </w:rPr>
        <w:br w:type="page"/>
      </w:r>
    </w:p>
    <w:p w:rsidR="0096012E" w:rsidRPr="008367BF" w:rsidRDefault="0096012E" w:rsidP="0096012E">
      <w:pPr>
        <w:pStyle w:val="Caption"/>
        <w:keepNext/>
        <w:ind w:left="142"/>
        <w:rPr>
          <w:rFonts w:ascii="Times New Roman" w:hAnsi="Times New Roman" w:cs="Times New Roman"/>
          <w:color w:val="auto"/>
          <w:sz w:val="24"/>
          <w:szCs w:val="24"/>
        </w:rPr>
      </w:pPr>
      <w:r w:rsidRPr="008367BF">
        <w:rPr>
          <w:rFonts w:ascii="Times New Roman" w:hAnsi="Times New Roman" w:cs="Times New Roman"/>
          <w:b/>
          <w:i w:val="0"/>
          <w:iCs w:val="0"/>
          <w:color w:val="auto"/>
          <w:sz w:val="24"/>
          <w:szCs w:val="24"/>
        </w:rPr>
        <w:lastRenderedPageBreak/>
        <w:t>Table 1</w:t>
      </w:r>
      <w:r w:rsidRPr="008367BF">
        <w:rPr>
          <w:rFonts w:ascii="Times New Roman" w:hAnsi="Times New Roman" w:cs="Times New Roman"/>
          <w:b/>
          <w:i w:val="0"/>
          <w:iCs w:val="0"/>
          <w:color w:val="auto"/>
          <w:sz w:val="24"/>
          <w:szCs w:val="24"/>
        </w:rPr>
        <w:tab/>
      </w:r>
      <w:r w:rsidRPr="008367BF">
        <w:rPr>
          <w:rFonts w:ascii="Times New Roman" w:hAnsi="Times New Roman" w:cs="Times New Roman"/>
          <w:color w:val="auto"/>
          <w:sz w:val="24"/>
          <w:szCs w:val="24"/>
        </w:rPr>
        <w:t xml:space="preserve">(continued)  </w:t>
      </w:r>
    </w:p>
    <w:tbl>
      <w:tblPr>
        <w:tblStyle w:val="TableGrid"/>
        <w:tblW w:w="13608" w:type="dxa"/>
        <w:jc w:val="center"/>
        <w:tblBorders>
          <w:insideV w:val="none" w:sz="0" w:space="0" w:color="auto"/>
        </w:tblBorders>
        <w:tblLayout w:type="fixed"/>
        <w:tblLook w:val="04A0" w:firstRow="1" w:lastRow="0" w:firstColumn="1" w:lastColumn="0" w:noHBand="0" w:noVBand="1"/>
      </w:tblPr>
      <w:tblGrid>
        <w:gridCol w:w="1696"/>
        <w:gridCol w:w="3123"/>
        <w:gridCol w:w="1843"/>
        <w:gridCol w:w="4819"/>
        <w:gridCol w:w="2127"/>
      </w:tblGrid>
      <w:tr w:rsidR="0096012E" w:rsidRPr="008367BF" w:rsidTr="0003479B">
        <w:trPr>
          <w:trHeight w:val="475"/>
          <w:jc w:val="center"/>
        </w:trPr>
        <w:tc>
          <w:tcPr>
            <w:tcW w:w="1696"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iCs/>
                <w:sz w:val="24"/>
                <w:szCs w:val="24"/>
              </w:rPr>
              <w:t>Animal</w:t>
            </w:r>
            <w:r w:rsidRPr="008367BF">
              <w:rPr>
                <w:rFonts w:ascii="Times New Roman" w:hAnsi="Times New Roman" w:cs="Times New Roman"/>
                <w:b/>
                <w:bCs/>
                <w:sz w:val="24"/>
                <w:szCs w:val="24"/>
              </w:rPr>
              <w:t xml:space="preserve"> model</w:t>
            </w:r>
          </w:p>
        </w:tc>
        <w:tc>
          <w:tcPr>
            <w:tcW w:w="312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Species</w:t>
            </w:r>
          </w:p>
        </w:tc>
        <w:tc>
          <w:tcPr>
            <w:tcW w:w="184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Dose</w:t>
            </w:r>
          </w:p>
        </w:tc>
        <w:tc>
          <w:tcPr>
            <w:tcW w:w="4819" w:type="dxa"/>
            <w:tcBorders>
              <w:bottom w:val="single" w:sz="4" w:space="0" w:color="auto"/>
            </w:tcBorders>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Overall effects</w:t>
            </w:r>
          </w:p>
        </w:tc>
        <w:tc>
          <w:tcPr>
            <w:tcW w:w="2127"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References</w:t>
            </w:r>
          </w:p>
        </w:tc>
      </w:tr>
      <w:tr w:rsidR="0096012E" w:rsidRPr="008367BF" w:rsidTr="0003479B">
        <w:trPr>
          <w:trHeight w:val="475"/>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CCI</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C57BL/6 male mice</w:t>
            </w:r>
          </w:p>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{"citationItems":[{"id":"ITEM-1","itemData":{"DOI":"10.1016/j.bcp.2017.12.007","ISSN":"18732968","PMID":"29247614","abstract":"The administration of a carbon monoxide-releasing compound (tricarbonyldichlororuthenium(II)dimer, CORM-2) or an heme oxygenase 1 (HO-1) inductor (cobalt protoporphyrin IX, CoPP) exerts potent antinociceptive effects during chronic pain, but their actions in the central nervous system of animals with neuropathic pain have not been evaluated. Our objective is to investigate the effects of these treatments on the oxidative, inflammatory and molecular changes induced by sciatic nerve injury in several brain areas. In male C57BL6 mice with neuropathic pain induced by the chronic constriction of sciatic nerve (CCI), we evaluated the effects of CORM-2 and CoPP on the expression of the nuclear factor erythroid 2-related factor 2 (Nrf2), HO-1 and NAD(P)H:quinone oxidoreductase-1 (NQO1), the microglial marker (CD11b/c), and the mitogen-activated protein kinases (MAPK) (JNK, ERK½ and P38) in the amygdala, prefrontal cortex, hippocampus, hypothalamus and spinal cord, by using western blot assay. Our results showed that, although CORM-2 and CoPP did not alter the protein levels of Nrf2 and NQO1in none of the areas evaluated, both treatments increased the HO-1 expression and inhibited the overexpression of CD11b/c and/or MAPK phosphorylation caused by nerve injury in the spinal cord, hippocampus and amygdala and/or prefrontal cortex. This study demonstrates that treatment with CORM-2 and/or CoPP further to exert potent anti-allodynic and anti-hyperalgesic actions also produce anti-oxidative and anti-inflammatory effects and inhibit MAPK activated by sciatic nerve injury in specific brain areas. In conclusion, these data reveal new mechanism of action of CORM-2 and CoPP in the central nervous system of animals with persistent neuropathic pain.","author":[{"dropping-particle":"","family":"Riego","given":"Gabriela","non-dropping-particle":"","parse-names":false,"suffix":""},{"dropping-particle":"","family":"Redondo","given":"Alejandro","non-dropping-particle":"","parse-names":false,"suffix":""},{"dropping-particle":"","family":"Leánez","given":"Sergi","non-dropping-particle":"","parse-names":false,"suffix":""},{"dropping-particle":"","family":"Pol","given":"Olga","non-dropping-particle":"","parse-names":false,"suffix":""}],"container-title":"Biochemical Pharmacology","id":"ITEM-1","issued":{"date-parts":[["2018","2","1"]]},"page":"52-63","publisher":"Elsevier Inc.","title":"Mechanism implicated in the anti-allodynic and anti-hyperalgesic effects induced by the activation of heme oxygenase 1/carbon monoxide signaling pathway in the central nervous system of mice with neuropathic pain","type":"article-journal","volume":"148"},"uris":["http://www.mendeley.com/documents/?uuid=b9ce5824-e84d-3801-b285-f71971319432"]}],"mendeley":{"formattedCitation":"(Riego &lt;i&gt;et al.&lt;/i&gt;, 2018)","plainTextFormattedCitation":"(Riego et al., 2018)","previouslyFormattedCitation":"(Riego &lt;i&gt;et al.&lt;/i&gt;, 2018)"},"properties":{"noteIndex":0},"schema":"https://github.com/citation-style-language/schema/raw/master/csl-citation.json"}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(Riego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2018)</w:t>
            </w:r>
            <w:r w:rsidRPr="008367BF">
              <w:rPr>
                <w:rFonts w:ascii="Times New Roman" w:hAnsi="Times New Roman" w:cs="Times New Roman"/>
                <w:sz w:val="24"/>
                <w:szCs w:val="24"/>
              </w:rPr>
              <w:fldChar w:fldCharType="end"/>
            </w:r>
          </w:p>
        </w:tc>
      </w:tr>
      <w:tr w:rsidR="0096012E" w:rsidRPr="008367BF" w:rsidTr="0003479B">
        <w:trPr>
          <w:trHeight w:val="402"/>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CD11b/c (microglial activation), phosphorylation of MAPK families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2"/>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2"/>
          <w:jc w:val="center"/>
        </w:trPr>
        <w:tc>
          <w:tcPr>
            <w:tcW w:w="1696" w:type="dxa"/>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No change in NRF2, NQO1</w:t>
            </w:r>
          </w:p>
        </w:tc>
        <w:tc>
          <w:tcPr>
            <w:tcW w:w="2127" w:type="dxa"/>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47"/>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CCI </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Sprague-Dawley female rats</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 xml:space="preserve">10 mg/kg, </w:t>
            </w:r>
            <w:proofErr w:type="spellStart"/>
            <w:r w:rsidRPr="008367BF">
              <w:rPr>
                <w:rFonts w:ascii="Times New Roman" w:hAnsi="Times New Roman" w:cs="Times New Roman"/>
                <w:sz w:val="24"/>
                <w:szCs w:val="24"/>
              </w:rPr>
              <w:t>i.p</w:t>
            </w:r>
            <w:proofErr w:type="spellEnd"/>
            <w:r w:rsidRPr="008367BF">
              <w:rPr>
                <w:rFonts w:ascii="Times New Roman" w:hAnsi="Times New Roman" w:cs="Times New Roman"/>
                <w:sz w:val="24"/>
                <w:szCs w:val="24"/>
              </w:rPr>
              <w:br/>
              <w:t>(SLNs)</w:t>
            </w:r>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MH</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{"citationItems":[{"id":"ITEM-1","itemData":{"DOI":"10.1007/s12035-019-1468-7","ISSN":"15591182","abstract":"Neuropathic pain is a devastating chronic condition and effective treatments are still lacking. Carbon monoxide-releasing molecule-2 (CORM-2) as a carbon monoxide (CO) carrier, exerts potent anti-neuropathic pain effects; however, its poor water solubility and short half-life hinder its clinical utility. Therefore, the aim of this study was to investigate whether CORM-2-loaded solid lipid nanoparticles (CORM-2-SLNs) enhance the anti-allodynic and anti-hyperalgesic effects of CORM-2 in a rat chronic constriction injury (CCI) model. CORM-2-SLNs were prepared using a nanotemplate engineering technique with slight modifications. The physiochemical properties of CORM-2-SLNs were characterized and CO release from CORM-2-SLNs was assessed using a myoglobin assay. CO was slowly released from CORM-2-SLNs, was observed, and the half-life of CO release was 50 times longer than that of CORM-2. In vivo results demonstrate that intraperitoneal administration of CORM-2-SLNs (5 and 10 mg/kg/day, ip) once daily for seven consecutive days significantly reduced the mechanical allodynia and mechanical hyperalgesia compared with CORM-2 (10 mg/kg/day, ip). RT-PCR and Western blot analyses on days 7 and 14, revealed that treatment with CORM-2-SLNs resulted in greater reductions in the CCI-elevated levels of heme-oxygenase-2 (HO-2); inducible nitric oxide synthase (iNOS); neuronal NOS (nNOS); and inflammatory mediators (TNF-α, IBA-1, and GFAP) in the spinal cord and dorsal root ganglions compared with treatment with CORM-2. In contrast, HO-1 and IL-10 were significantly increased in the CORM-2-SLN-treated group compared with the group treated with CORM-2. These data indicate that CORM-2-SLNs are superior to CORM-2-S in alleviating mechanical allodynia and mechanical hyperalgesia.","author":[{"dropping-particle":"","family":"Joshi","given":"Hari Prasad","non-dropping-particle":"","parse-names":false,"suffix":""},{"dropping-particle":"","family":"Kim","given":"Sung Bum","non-dropping-particle":"","parse-names":false,"suffix":""},{"dropping-particle":"","family":"Kim","given":"Seungki","non-dropping-particle":"","parse-names":false,"suffix":""},{"dropping-particle":"","family":"Kumar","given":"Hemant","non-dropping-particle":"","parse-names":false,"suffix":""},{"dropping-particle":"","family":"Jo","given":"Min Jae","non-dropping-particle":"","parse-names":false,"suffix":""},{"dropping-particle":"","family":"Choi","given":"Hyemin","non-dropping-particle":"","parse-names":false,"suffix":""},{"dropping-particle":"","family":"Kim","given":"Juri","non-dropping-particle":"","parse-names":false,"suffix":""},{"dropping-particle":"","family":"Kyung","given":"Jae Won","non-dropping-particle":"","parse-names":false,"suffix":""},{"dropping-particle":"","family":"Sohn","given":"Seil","non-dropping-particle":"","parse-names":false,"suffix":""},{"dropping-particle":"","family":"Kim","given":"Kyoung Tae","non-dropping-particle":"","parse-names":false,"suffix":""},{"dropping-particle":"","family":"Kim","given":"Jin Ki","non-dropping-particle":"","parse-names":false,"suffix":""},{"dropping-particle":"","family":"Han","given":"In Bo","non-dropping-particle":"","parse-names":false,"suffix":""}],"container-title":"Molecular Neurobiology","id":"ITEM-1","issue":"January","issued":{"date-parts":[["2019"]]},"title":"Nanocarrier-mediated Delivery of CORM-2 Enhances Anti-allodynic and Anti-hyperalgesic Effects of CORM-2","type":"article-journal"},"uris":["http://www.mendeley.com/documents/?uuid=335699f0-4a2e-4a66-8265-60b583c35bd1"]}],"mendeley":{"formattedCitation":"(Joshi &lt;i&gt;et al.&lt;/i&gt;, 2019)","plainTextFormattedCitation":"(Joshi et al., 2019)","previouslyFormattedCitation":"(Joshi &lt;i&gt;et al.&lt;/i&gt;, 2019)"},"properties":{"noteIndex":0},"schema":"https://github.com/citation-style-language/schema/raw/master/csl-citation.json"}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(Joshi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2019)</w:t>
            </w:r>
            <w:r w:rsidRPr="008367BF">
              <w:rPr>
                <w:rFonts w:ascii="Times New Roman" w:hAnsi="Times New Roman" w:cs="Times New Roman"/>
                <w:sz w:val="24"/>
                <w:szCs w:val="24"/>
              </w:rPr>
              <w:fldChar w:fldCharType="end"/>
            </w:r>
          </w:p>
        </w:tc>
      </w:tr>
      <w:tr w:rsidR="0096012E" w:rsidRPr="008367BF" w:rsidTr="0003479B">
        <w:trPr>
          <w:trHeight w:val="607"/>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 HO-2, TNF-α, </w:t>
            </w:r>
            <w:proofErr w:type="spellStart"/>
            <w:r w:rsidRPr="008367BF">
              <w:rPr>
                <w:rFonts w:ascii="Times New Roman" w:hAnsi="Times New Roman" w:cs="Times New Roman"/>
                <w:sz w:val="24"/>
                <w:szCs w:val="24"/>
              </w:rPr>
              <w:t>iNOS</w:t>
            </w:r>
            <w:proofErr w:type="spellEnd"/>
            <w:r w:rsidRPr="008367BF">
              <w:rPr>
                <w:rFonts w:ascii="Times New Roman" w:hAnsi="Times New Roman" w:cs="Times New Roman"/>
                <w:sz w:val="24"/>
                <w:szCs w:val="24"/>
              </w:rPr>
              <w:t xml:space="preserve">, </w:t>
            </w:r>
            <w:proofErr w:type="spellStart"/>
            <w:r w:rsidRPr="008367BF">
              <w:rPr>
                <w:rFonts w:ascii="Times New Roman" w:hAnsi="Times New Roman" w:cs="Times New Roman"/>
                <w:sz w:val="24"/>
                <w:szCs w:val="24"/>
              </w:rPr>
              <w:t>nNOS</w:t>
            </w:r>
            <w:proofErr w:type="spellEnd"/>
            <w:r w:rsidRPr="008367BF">
              <w:rPr>
                <w:rFonts w:ascii="Times New Roman" w:hAnsi="Times New Roman" w:cs="Times New Roman"/>
                <w:sz w:val="24"/>
                <w:szCs w:val="24"/>
              </w:rPr>
              <w:t>, Iba-1 (microglial activation), GFAP (astrocyte activation)</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18"/>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IL-10</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1005"/>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SCI </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Sprague-Dawley female rats</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10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(SLNs)</w:t>
            </w:r>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↓phosphorylation of MAPK families, TNF-α, </w:t>
            </w:r>
            <w:proofErr w:type="spellStart"/>
            <w:r w:rsidRPr="008367BF">
              <w:rPr>
                <w:rFonts w:ascii="Times New Roman" w:hAnsi="Times New Roman" w:cs="Times New Roman"/>
                <w:sz w:val="24"/>
                <w:szCs w:val="24"/>
              </w:rPr>
              <w:t>iNOS</w:t>
            </w:r>
            <w:proofErr w:type="spellEnd"/>
            <w:r w:rsidRPr="008367BF">
              <w:rPr>
                <w:rFonts w:ascii="Times New Roman" w:hAnsi="Times New Roman" w:cs="Times New Roman"/>
                <w:sz w:val="24"/>
                <w:szCs w:val="24"/>
              </w:rPr>
              <w:t>, CCL-2, CCL-3, Casp-3, TUNEL positive cell, Iba-1 (microglial activation), GFAP (astrocyte activation)</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{"citationItems":[{"id":"ITEM-1","itemData":{"DOI":"10.1007/s12035-020-01914-5","ISBN":"1203502001","ISSN":"15591182","PMID":"32300934","abstract":"Spinal cord injury (SCI) is a devastating condition of the central nervous system that can lead to permanent motor and sensory deficits. Carbon monoxide–releasing molecule-2 (CORM-2) has been shown to have anti-inflammatory, anti-apoptotic, and angiogenic properties that may be useful for the treatment of SCI. However, it has a short carbon monoxide (CO) release half-life (approximately 1 min). To address this challenge, we developed a CORM-2-incorporated solid lipid nanoparticle (CORM-2-SLN) and evaluated its ameliorating effects for preventing blood-spinal cord barrier (BSCB) disruption and endothelial cell death following SCI. After a moderate compression injury of the spinal cord (compression with a 35-g impounder for 5 min), groups of rats were treated with a CORM-2-solution and CORM-2-SLNs at an equal dose of 10 mg/kg each via an intraperitoneal injection for 8 consecutive days. Behavior analysis was performed and animals were later sacrificed at different time points and evaluated for whether the CORM-2-SLNs prevented BSCB disruption and rescued endothelial cell damage following SCI. The CORM-2-SLN-treated group showed significantly diminished extravasation of Evans Blue dye with enhanced expression of tight junction proteins following SCI. Likewise, significantly diminished endothelial cell markers after SCI were optimally stabilized at 21 days. Additionally, lipopolysaccharide (LPS)-induced loss of tight junction integrity was significantly preserved after CORM-2-SLN treatment in human cerebral microvascular endothelial cell line (hCMEC/D3). Clinically, CORM-2-SLNs were associated with a significantly improved functional recovery, as compared with the CORM-2-solution. CORM-2-SLNs may help potentially to maintain BSCB integrity following SCI.","author":[{"dropping-particle":"","family":"Joshi","given":"Hari Prasad","non-dropping-particle":"","parse-names":false,"suffix":""},{"dropping-particle":"","family":"Kumar","given":"Hemant","non-dropping-particle":"","parse-names":false,"suffix":""},{"dropping-particle":"","family":"Choi","given":"Un Yong","non-dropping-particle":"","parse-names":false,"suffix":""},{"dropping-particle":"","family":"Lim","given":"Yong Cheol","non-dropping-particle":"","parse-names":false,"suffix":""},{"dropping-particle":"","family":"Choi","given":"Hyemin","non-dropping-particle":"","parse-names":false,"suffix":""},{"dropping-particle":"","family":"Kim","given":"Juri","non-dropping-particle":"","parse-names":false,"suffix":""},{"dropping-particle":"","family":"Kyung","given":"Jae Won","non-dropping-particle":"","parse-names":false,"suffix":""},{"dropping-particle":"","family":"Sohn","given":"Seil","non-dropping-particle":"","parse-names":false,"suffix":""},{"dropping-particle":"","family":"Kim","given":"Kyoung Tae","non-dropping-particle":"","parse-names":false,"suffix":""},{"dropping-particle":"","family":"Kim","given":"Jin Ki","non-dropping-particle":"","parse-names":false,"suffix":""},{"dropping-particle":"","family":"Han","given":"In Bo","non-dropping-particle":"","parse-names":false,"suffix":""}],"container-title":"Molecular Neurobiology","id":"ITEM-1","issue":"6","issued":{"date-parts":[["2020"]]},"page":"2671-2689","publisher":"Molecular Neurobiology","title":"CORM-2-Solid Lipid Nanoparticles Maintain Integrity of Blood-Spinal Cord Barrier After Spinal Cord Injury in Rats","type":"article-journal","volume":"57"},"uris":["http://www.mendeley.com/documents/?uuid=734a1ed1-7198-400b-8a30-1e6dc919b7c7"]}],"mendeley":{"formattedCitation":"(Joshi &lt;i&gt;et al.&lt;/i&gt;, 2020)","plainTextFormattedCitation":"(Joshi et al., 2020)","previouslyFormattedCitation":"(Joshi &lt;i&gt;et al.&lt;/i&gt;, 2020)"},"properties":{"noteIndex":0},"schema":"https://github.com/citation-style-language/schema/raw/master/csl-citation.json"}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(Joshi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2020)</w:t>
            </w:r>
            <w:r w:rsidRPr="008367BF">
              <w:rPr>
                <w:rFonts w:ascii="Times New Roman" w:hAnsi="Times New Roman" w:cs="Times New Roman"/>
                <w:sz w:val="24"/>
                <w:szCs w:val="24"/>
              </w:rPr>
              <w:fldChar w:fldCharType="end"/>
            </w:r>
          </w:p>
        </w:tc>
      </w:tr>
      <w:tr w:rsidR="0096012E" w:rsidRPr="008367BF" w:rsidTr="0003479B">
        <w:trPr>
          <w:trHeight w:val="100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 NT-3, BDNF, NF-H, p-AKT, IL-10, ARG-1, ZO, </w:t>
            </w:r>
            <w:proofErr w:type="spellStart"/>
            <w:r w:rsidRPr="008367BF">
              <w:rPr>
                <w:rFonts w:ascii="Times New Roman" w:hAnsi="Times New Roman" w:cs="Times New Roman"/>
                <w:sz w:val="24"/>
                <w:szCs w:val="24"/>
              </w:rPr>
              <w:t>occludin</w:t>
            </w:r>
            <w:proofErr w:type="spellEnd"/>
            <w:r w:rsidRPr="008367BF">
              <w:rPr>
                <w:rFonts w:ascii="Times New Roman" w:hAnsi="Times New Roman" w:cs="Times New Roman"/>
                <w:sz w:val="24"/>
                <w:szCs w:val="24"/>
              </w:rPr>
              <w:t>, claudin-1, RECA-1, ANGPT-1, PECAM-1</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5"/>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SNL</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Imprinting control region male mice</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2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 xml:space="preserve">10 mg/kg, </w:t>
            </w:r>
            <w:proofErr w:type="spellStart"/>
            <w:r w:rsidRPr="008367BF">
              <w:rPr>
                <w:rFonts w:ascii="Times New Roman" w:hAnsi="Times New Roman" w:cs="Times New Roman"/>
                <w:sz w:val="24"/>
                <w:szCs w:val="24"/>
              </w:rPr>
              <w:t>i.p</w:t>
            </w:r>
            <w:proofErr w:type="spellEnd"/>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{"citationItems":[{"id":"ITEM-1","itemData":{"DOI":"10.1111/PME.12906","ISSN":"1526-2375","PMID":"26361083","abstract":"Objective. Heme oxygenase-1 (HO-1) exerts protective effects against ischemia and inflammation in the central nervous system. However, its role in neuropathic pain is still unclear. This study was undertaken to explore the distribution and possible mechanism of HO-1 in a mouse model of peripheral nerve injury. Design and Methods. The experiment was conducted using a mouse model of L5 spinal nerve ligation (SNL). Mice received repeated intraperitoneal injection of Carbon monoxide-releasing molecule-2 (CO-RM-2), HO-1 inducer cobalt protoporphyrin IX (CoPP) or single intraspinal injection of lentivirus (LV) over-expressing HO-1. The behavior analyses were conducted. The distribution and expression of HO-1 in the spinal cord were analyzed. Results. HO-1 but not HO-2 was upregulated in spinal cord microglia cells after nerve injury, and the repeated intraperitoneal administration of CORM-2 (10 mg/kg/d) or CoPP (5 mg/kg/d) both significantly reduced the mechanical allodynia and thermal hyperalgesia induced by SNL (P&lt; 0.01). Intraspinal injection of LV-HO-1 persistently suppresses SNLinduced neuropathic pain (P&lt; 0.01 or P&lt; 0.05), significantly induced the spinal HO-1 protein content (P&lt; 0.01) and inhibited the microglia activation (P&lt; 0.01) 7 days after SNL. Conclusion. HO-1 upregulation could elicit potent analgesic effects against neuropathic pain, which might partly be attributed to inhibition of spinal microglia activation. HO-1 signaling pathway may present a novel strategy for the treatment of neuropathic pain.","author":[{"dropping-particle":"","family":"Liu","given":"Xiaoming","non-dropping-particle":"","parse-names":false,"suffix":""},{"dropping-particle":"","family":"Zhang","given":"Zhijun","non-dropping-particle":"","parse-names":false,"suffix":""},{"dropping-particle":"","family":"Cheng","given":"Zhuqiang","non-dropping-particle":"","parse-names":false,"suffix":""},{"dropping-particle":"","family":"Zhang","given":"Jie","non-dropping-particle":"","parse-names":false,"suffix":""},{"dropping-particle":"","family":"Xu","given":"Shuangshuang","non-dropping-particle":"","parse-names":false,"suffix":""},{"dropping-particle":"","family":"Liu","given":"Hongjun","non-dropping-particle":"","parse-names":false,"suffix":""},{"dropping-particle":"","family":"Jia","given":"Hongbin","non-dropping-particle":"","parse-names":false,"suffix":""},{"dropping-particle":"","family":"Jin","given":"Yi","non-dropping-particle":"","parse-names":false,"suffix":""}],"container-title":"Pain Medicine","id":"ITEM-1","issue":"2","issued":{"date-parts":[["2016","2","1"]]},"page":"220-229","publisher":"Oxford Academic","title":"Spinal Heme Oxygenase-1 (HO-1) Exerts Antinociceptive Effects Against Neuropathic Pain in a Mouse Model of L5 Spinal Nerve Ligation","type":"article-journal","volume":"17"},"uris":["http://www.mendeley.com/documents/?uuid=1157a106-f3d9-32ba-887c-a42421af3146"]}],"mendeley":{"formattedCitation":"(Liu &lt;i&gt;et al.&lt;/i&gt;, 2016)","plainTextFormattedCitation":"(Liu et al., 2016)","previouslyFormattedCitation":"(Liu &lt;i&gt;et al.&lt;/i&gt;, 2016)"},"properties":{"noteIndex":0},"schema":"https://github.com/citation-style-language/schema/raw/master/csl-citation.json"}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(Liu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2016)</w:t>
            </w:r>
            <w:r w:rsidRPr="008367BF">
              <w:rPr>
                <w:rFonts w:ascii="Times New Roman" w:hAnsi="Times New Roman" w:cs="Times New Roman"/>
                <w:sz w:val="24"/>
                <w:szCs w:val="24"/>
              </w:rPr>
              <w:fldChar w:fldCharType="end"/>
            </w:r>
          </w:p>
        </w:tc>
      </w:tr>
      <w:tr w:rsidR="0096012E" w:rsidRPr="008367BF" w:rsidTr="0003479B">
        <w:trPr>
          <w:trHeight w:val="40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Iba-1 (microglial activation)</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bl>
    <w:p w:rsidR="0096012E" w:rsidRPr="008367BF" w:rsidRDefault="0096012E" w:rsidP="0096012E">
      <w:pPr>
        <w:rPr>
          <w:rFonts w:ascii="Times New Roman" w:hAnsi="Times New Roman" w:cs="Times New Roman"/>
          <w:sz w:val="24"/>
          <w:szCs w:val="24"/>
        </w:rPr>
      </w:pPr>
      <w:r w:rsidRPr="008367BF">
        <w:rPr>
          <w:rFonts w:ascii="Times New Roman" w:hAnsi="Times New Roman" w:cs="Times New Roman"/>
          <w:sz w:val="24"/>
          <w:szCs w:val="24"/>
        </w:rPr>
        <w:br w:type="page"/>
      </w:r>
    </w:p>
    <w:p w:rsidR="0096012E" w:rsidRPr="008367BF" w:rsidRDefault="0096012E" w:rsidP="0096012E">
      <w:pPr>
        <w:pStyle w:val="Caption"/>
        <w:keepNext/>
        <w:ind w:left="142"/>
        <w:rPr>
          <w:rFonts w:ascii="Times New Roman" w:hAnsi="Times New Roman" w:cs="Times New Roman"/>
          <w:color w:val="auto"/>
          <w:sz w:val="24"/>
          <w:szCs w:val="24"/>
        </w:rPr>
      </w:pPr>
      <w:r w:rsidRPr="008367BF">
        <w:rPr>
          <w:rFonts w:ascii="Times New Roman" w:hAnsi="Times New Roman" w:cs="Times New Roman"/>
          <w:b/>
          <w:i w:val="0"/>
          <w:iCs w:val="0"/>
          <w:color w:val="auto"/>
          <w:sz w:val="24"/>
          <w:szCs w:val="24"/>
        </w:rPr>
        <w:lastRenderedPageBreak/>
        <w:t>Table 1</w:t>
      </w:r>
      <w:r w:rsidRPr="008367BF">
        <w:rPr>
          <w:rFonts w:ascii="Times New Roman" w:hAnsi="Times New Roman" w:cs="Times New Roman"/>
          <w:b/>
          <w:i w:val="0"/>
          <w:iCs w:val="0"/>
          <w:color w:val="auto"/>
          <w:sz w:val="24"/>
          <w:szCs w:val="24"/>
        </w:rPr>
        <w:tab/>
      </w:r>
      <w:r w:rsidRPr="008367BF">
        <w:rPr>
          <w:rFonts w:ascii="Times New Roman" w:hAnsi="Times New Roman" w:cs="Times New Roman"/>
          <w:color w:val="auto"/>
          <w:sz w:val="24"/>
          <w:szCs w:val="24"/>
        </w:rPr>
        <w:t xml:space="preserve">(continued)  </w:t>
      </w:r>
    </w:p>
    <w:tbl>
      <w:tblPr>
        <w:tblStyle w:val="TableGrid"/>
        <w:tblW w:w="13608" w:type="dxa"/>
        <w:jc w:val="center"/>
        <w:tblBorders>
          <w:insideV w:val="none" w:sz="0" w:space="0" w:color="auto"/>
        </w:tblBorders>
        <w:tblLayout w:type="fixed"/>
        <w:tblLook w:val="04A0" w:firstRow="1" w:lastRow="0" w:firstColumn="1" w:lastColumn="0" w:noHBand="0" w:noVBand="1"/>
      </w:tblPr>
      <w:tblGrid>
        <w:gridCol w:w="1696"/>
        <w:gridCol w:w="3123"/>
        <w:gridCol w:w="1843"/>
        <w:gridCol w:w="4819"/>
        <w:gridCol w:w="2127"/>
      </w:tblGrid>
      <w:tr w:rsidR="0096012E" w:rsidRPr="008367BF" w:rsidTr="0003479B">
        <w:trPr>
          <w:trHeight w:val="456"/>
          <w:jc w:val="center"/>
        </w:trPr>
        <w:tc>
          <w:tcPr>
            <w:tcW w:w="1696"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iCs/>
                <w:sz w:val="24"/>
                <w:szCs w:val="24"/>
              </w:rPr>
              <w:t>Animal</w:t>
            </w:r>
            <w:r w:rsidRPr="008367BF">
              <w:rPr>
                <w:rFonts w:ascii="Times New Roman" w:hAnsi="Times New Roman" w:cs="Times New Roman"/>
                <w:b/>
                <w:bCs/>
                <w:sz w:val="24"/>
                <w:szCs w:val="24"/>
              </w:rPr>
              <w:t xml:space="preserve"> model</w:t>
            </w:r>
          </w:p>
        </w:tc>
        <w:tc>
          <w:tcPr>
            <w:tcW w:w="312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Species</w:t>
            </w:r>
          </w:p>
        </w:tc>
        <w:tc>
          <w:tcPr>
            <w:tcW w:w="184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Dose</w:t>
            </w:r>
          </w:p>
        </w:tc>
        <w:tc>
          <w:tcPr>
            <w:tcW w:w="4819" w:type="dxa"/>
            <w:tcBorders>
              <w:bottom w:val="single" w:sz="4" w:space="0" w:color="auto"/>
            </w:tcBorders>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Overall effects</w:t>
            </w:r>
          </w:p>
        </w:tc>
        <w:tc>
          <w:tcPr>
            <w:tcW w:w="2127"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References</w:t>
            </w:r>
          </w:p>
        </w:tc>
      </w:tr>
      <w:tr w:rsidR="0096012E" w:rsidRPr="008367BF" w:rsidTr="0003479B">
        <w:trPr>
          <w:trHeight w:val="456"/>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Acute pain model- formalin and writhing test</w:t>
            </w:r>
            <w:r w:rsidRPr="008367BF">
              <w:rPr>
                <w:rFonts w:ascii="Times New Roman" w:hAnsi="Times New Roman" w:cs="Times New Roman"/>
                <w:sz w:val="24"/>
                <w:szCs w:val="24"/>
              </w:rPr>
              <w:br/>
              <w:t>Chronic pain -CFA and PSL</w:t>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C57BL/6J male mice - </w:t>
            </w:r>
            <w:r w:rsidRPr="008367BF">
              <w:rPr>
                <w:rFonts w:ascii="Times New Roman" w:hAnsi="Times New Roman" w:cs="Times New Roman"/>
                <w:sz w:val="24"/>
                <w:szCs w:val="24"/>
              </w:rPr>
              <w:br/>
              <w:t>Wild type, NOS1-KO and NOS2-KO</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 mg/ 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 xml:space="preserve">2.5 mg/ kg, </w:t>
            </w:r>
            <w:proofErr w:type="spellStart"/>
            <w:r w:rsidRPr="008367BF">
              <w:rPr>
                <w:rFonts w:ascii="Times New Roman" w:hAnsi="Times New Roman" w:cs="Times New Roman"/>
                <w:sz w:val="24"/>
                <w:szCs w:val="24"/>
              </w:rPr>
              <w:t>i.p</w:t>
            </w:r>
            <w:proofErr w:type="spellEnd"/>
            <w:r w:rsidRPr="008367BF">
              <w:rPr>
                <w:rFonts w:ascii="Times New Roman" w:hAnsi="Times New Roman" w:cs="Times New Roman"/>
                <w:sz w:val="24"/>
                <w:szCs w:val="24"/>
              </w:rPr>
              <w:br/>
              <w:t xml:space="preserve">10 mg/ kg, </w:t>
            </w:r>
            <w:proofErr w:type="spellStart"/>
            <w:r w:rsidRPr="008367BF">
              <w:rPr>
                <w:rFonts w:ascii="Times New Roman" w:hAnsi="Times New Roman" w:cs="Times New Roman"/>
                <w:sz w:val="24"/>
                <w:szCs w:val="24"/>
              </w:rPr>
              <w:t>i.p</w:t>
            </w:r>
            <w:proofErr w:type="spellEnd"/>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{"citationItems":[{"id":"ITEM-1","itemData":{"DOI":"10.1007/s00213-013-3053-5","ISBN":"0021301330535","ISSN":"00333158","abstract":"Rationale: Treatment with a carbon monoxide-releasing molecule (tricarbonyldichlororuthenium(II) dimer, CORM-2) or a classical heme oxygenase 1 inducer (cobalt protoporphyrin IX, CoPP) has potent anti-inflammatory effects, but the role played by these treatments in the antinociceptive effects of morphine during acute and chronic pain was not evaluated. Objectives: In wild type (WT), neuronal (NOS1-KO), or inducible (NOS2-KO) nitric oxide synthases knockout mice, we evaluated the effects of CORM-2 and CoPP treatments in the antinociceptive actions of morphine and their interaction with nitric oxide during acute, visceral, and chronic inflammatory or neuropathic pain. Methods: Acute and visceral pain was assessed through formalin and acid acetic writhing tests. Chronic inflammatory pain induced by the intra-articular administration of complete Freund's adjuvant and neuropathic pain by partial ligation of sciatic nerve were evaluated by measuring allodynia and hyperalgesia using the von Frey filaments, plantar, or cold plate tests. Results: While nitric oxide, synthetized by NOS1 and/or NOS2, increased the local antinociceptive effects of morphine during acute and chronic pain, it decreased the inhibitory effects of morphine after visceral pain. Moreover, while CORM-2 or CoPP treatments did not alter or reduced the antinociceptive effects of morphine during acute and visceral pain, both treatments improved the local antiallodynic and antihyperalgesic effects of morphine after chronic inflammatory or neuropathic pain in WT, but not in KO mice. Conclusions: CORM-2 and CoPP treatments improved the local antinociceptive effects of morphine during chronic inflammatory and neuropathic pain by interaction with nitric oxide synthetized by NOS1 and NOS2 isoforms. © 2013 Springer-Verlag Berlin Heidelberg.","author":[{"dropping-particle":"","family":"Hervera","given":"Arnau","non-dropping-particle":"","parse-names":false,"suffix":""},{"dropping-particle":"","family":"Gou","given":"Gemma","non-dropping-particle":"","parse-names":false,"suffix":""},{"dropping-particle":"","family":"Leánez","given":"Sergi","non-dropping-particle":"","parse-names":false,"suffix":""},{"dropping-particle":"","family":"Pol","given":"Olga","non-dropping-particle":"","parse-names":false,"suffix":""}],"container-title":"Psychopharmacology","id":"ITEM-1","issue":"3","issued":{"date-parts":[["2013"]]},"page":"463-477","title":"Effects of treatment with a carbon monoxide-releasing molecule and a heme oxygenase 1 inducer in the antinociceptive effects of morphine in different models of acute and chronic pain in mice","type":"article-journal","volume":"228"},"uris":["http://www.mendeley.com/documents/?uuid=6df90b57-04e3-4bd8-9c99-76301dc11ec8"]}],"mendeley":{"formattedCitation":"(Hervera &lt;i&gt;et al.&lt;/i&gt;, 2013)","plainTextFormattedCitation":"(Hervera et al., 2013)","previouslyFormattedCitation":"(Hervera &lt;i&gt;et al.&lt;/i&gt;, 2013)"},"properties":{"noteIndex":0},"schema":"https://github.com/citation-style-language/schema/raw/master/csl-citation.json"}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(Hervera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2013)</w:t>
            </w:r>
            <w:r w:rsidRPr="008367BF">
              <w:rPr>
                <w:rFonts w:ascii="Times New Roman" w:hAnsi="Times New Roman" w:cs="Times New Roman"/>
                <w:sz w:val="24"/>
                <w:szCs w:val="24"/>
              </w:rPr>
              <w:fldChar w:fldCharType="end"/>
            </w:r>
          </w:p>
        </w:tc>
      </w:tr>
      <w:tr w:rsidR="0096012E" w:rsidRPr="008367BF" w:rsidTr="0003479B">
        <w:trPr>
          <w:trHeight w:val="562"/>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licking latencies formalin phase II</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56"/>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No change in licking latencies formalin phase I</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70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morphine anti-nociceptive effects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16"/>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STZ-induced</w:t>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C57BL/6 male mice</w:t>
            </w:r>
          </w:p>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p>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10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tcBorders>
              <w:top w:val="single" w:sz="4" w:space="0" w:color="auto"/>
              <w:bottom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{"citationItems":[{"id":"ITEM-1","itemData":{"DOI":"10.1016/j.neulet.2015.12.059","ISSN":"18727972","PMID":"26762785","abstract":"Diabetic neuropathy is poorly controlled by classical analgesics and the research of new therapeutic alternatives is indispensable. Our aim is to investigate if treatment with a carbon monoxide-releasing molecule (tricarbonyldichlororuthenium(II) dimer; CORM-2) or an inducible heme oxygenase (HO-1) inducer (cobalt protoporphyrin IX; CoPP) could enhance the antinociceptive effects produced by a δ-opioid receptor (DOR) agonist in mice with painful diabetic neuropathy.In diabetic mice induced by streptozotocin (STZ) injection, the antiallodynic and antihyperalgesic effects produced by the subcutaneous administration of a DOR agonist ([. d-Pen(2),. d-Pen(5)]-Enkephalin; DPDPE) and the reversion of its effects with the administration of an HO-1 inhibitor (tin protoporphyrin IX; SnPP) were evaluated. Moreover, the antinociceptive effects produced by the intraperitoneal administration of 10. mg/kg of CORM-2 or CoPP, alone or combined, with a subanalgesic dose of DPDPE were also assessed.Our results demonstrated that the subcutaneous administration of DPDPE inhibited the mechanical and thermal allodynia as well as the thermal hyperalgesia induced by diabetes in a dose-dependent manner. Moreover, while the antinociceptive effects produced by a low dose of DPDPE were enhanced by CORM-2 or CoPP co-treatments, the inhibitory effects produced by a high dose of DPDPE were completely reversed by the administration of an HO-1 inhibitor, SnPP, indicating the involvement of HO-1 in the antinociceptive effects produced by this DOR agonist during diabetic neuropathic pain in mice. In conclusion, this study shows that the administration of CORM-2 or CoPP combined with a DOR agonist could be an interesting strategy for the treatment of painful diabetic neuropathy.","author":[{"dropping-particle":"","family":"Castany","given":"Sílvia","non-dropping-particle":"","parse-names":false,"suffix":""},{"dropping-particle":"","family":"Carcolé","given":"Mireia","non-dropping-particle":"","parse-names":false,"suffix":""},{"dropping-particle":"","family":"Leánez","given":"Sergi","non-dropping-particle":"","parse-names":false,"suffix":""},{"dropping-particle":"","family":"Pol","given":"Olga","non-dropping-particle":"","parse-names":false,"suffix":""}],"container-title":"Neuroscience Letters","id":"ITEM-1","issued":{"date-parts":[["2016"]]},"page":"49-54","publisher":"Elsevier Ireland Ltd","title":"The antinociceptive effects of a δ-opioid receptor agonist in mice with painful diabetic neuropathy: Involvement of heme oxygenase 1","type":"article-journal","volume":"614"},"uris":["http://www.mendeley.com/documents/?uuid=6be12608-0fd3-4fb3-999e-8a3b030e221d"]}],"mendeley":{"formattedCitation":"(Castany &lt;i&gt;et al.&lt;/i&gt;, 2016a)","plainTextFormattedCitation":"(Castany et al., 2016a)","previouslyFormattedCitation":"(Castany &lt;i&gt;et al.&lt;/i&gt;, 2016a)"},"properties":{"noteIndex":0},"schema":"https://github.com/citation-style-language/schema/raw/master/csl-citation.json"}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(Castany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2016a)</w:t>
            </w:r>
            <w:r w:rsidRPr="008367BF">
              <w:rPr>
                <w:rFonts w:ascii="Times New Roman" w:hAnsi="Times New Roman" w:cs="Times New Roman"/>
                <w:sz w:val="24"/>
                <w:szCs w:val="24"/>
              </w:rPr>
              <w:fldChar w:fldCharType="end"/>
            </w:r>
          </w:p>
        </w:tc>
      </w:tr>
      <w:tr w:rsidR="0096012E" w:rsidRPr="008367BF" w:rsidTr="0003479B">
        <w:trPr>
          <w:trHeight w:val="416"/>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DPDPE anti-nociceptive effects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16"/>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STZ-induced</w:t>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C57BL/6 male mice</w:t>
            </w:r>
          </w:p>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10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w:t>
            </w:r>
          </w:p>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NOS-1</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{"citationItems":[{"id":"ITEM-1","itemData":{"DOI":"10.1007/s00213-016-4271-4","ISSN":"14322072","PMID":"27020787","abstract":"Rationale: The activation of cannabinoid 2 receptors (CB2R) attenuates chronic pain, but the role played by carbon monoxide synthesized by the inducible heme oxygenase 1 (HO-1) on the anti-nociceptive effects produced by a selective CB2R agonist, JWH-015, during painful diabetic neuropathy remains unknown. Objectives and methods: In streptozotocin (STZ)-induced diabetic mice, the anti-allodynic and anti-hyperalgesic effects of the subcutaneous administration of JWH-015 alone or combined with the intraperitoneal administration of a carbon monoxide-releasing molecule (tricarbonyldichlororuthenium(II) dimer (CORM-2)) or an HO-1 inducer compound (cobalt protoporphyrin IX (CoPP)) at 10 mg/kg were evaluated. Reversion of JWH-015 anti-nociceptive effects by the administration of an HO-1 inhibitor (tin protoporphyrin IX (SnPP)) and a CB2R antagonist (AM630) was also evaluated. Furthermore, the protein levels of HO-1, neuronal nitric oxide synthase (NOS1), and CB2R in diabetic mice treated with CORM-2 and CoPP alone or combined with JWH-015 were also assessed. Results: The administration of JWH-015 dose dependently inhibited hypersensitivity induced by diabetes. The effects of JWH-015 were enhanced by their coadministration with CORM-2 or CoPP and reversed by SnPP or AM630. The increased protein levels of HO-1 induced by CORM-2 and CoPP treatments were further enhanced in JWH-015-treated mice. All treatments similarly enhanced the peripheral expression of CB2R and avoided the spinal cord over-expression of NOS1 induced by diabetes. Conclusions: The activation of HO-1 enhanced the anti-nociceptive effects of JWH-015 in diabetic mice, suggesting that coadministration of JWH-015 with CORM-2 or CoPP might be an interesting approach for the treatment of painful diabetic neuropathy in mice.","author":[{"dropping-particle":"","family":"Castany","given":"Sílvia","non-dropping-particle":"","parse-names":false,"suffix":""},{"dropping-particle":"","family":"Carcolé","given":"Mireia","non-dropping-particle":"","parse-names":false,"suffix":""},{"dropping-particle":"","family":"Leánez","given":"Sergi","non-dropping-particle":"","parse-names":false,"suffix":""},{"dropping-particle":"","family":"Pol","given":"Olga","non-dropping-particle":"","parse-names":false,"suffix":""}],"container-title":"Psychopharmacology","id":"ITEM-1","issue":"11","issued":{"date-parts":[["2016"]]},"page":"2209-2219","title":"The role of carbon monoxide on the anti-nociceptive effects and expression of cannabinoid 2 receptors during painful diabetic neuropathy in mice","type":"article-journal","volume":"233"},"uris":["http://www.mendeley.com/documents/?uuid=3d46dd7c-92ff-4041-9a27-5ff9e35dc810"]}],"mendeley":{"formattedCitation":"(Castany &lt;i&gt;et al.&lt;/i&gt;, 2016b)","plainTextFormattedCitation":"(Castany et al., 2016b)","previouslyFormattedCitation":"(Castany &lt;i&gt;et al.&lt;/i&gt;, 2016b)"},"properties":{"noteIndex":0},"schema":"https://github.com/citation-style-language/schema/raw/master/csl-citation.json"}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(Castany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2016b)</w:t>
            </w:r>
            <w:r w:rsidRPr="008367BF">
              <w:rPr>
                <w:rFonts w:ascii="Times New Roman" w:hAnsi="Times New Roman" w:cs="Times New Roman"/>
                <w:sz w:val="24"/>
                <w:szCs w:val="24"/>
              </w:rPr>
              <w:fldChar w:fldCharType="end"/>
            </w:r>
          </w:p>
        </w:tc>
      </w:tr>
      <w:tr w:rsidR="0096012E" w:rsidRPr="008367BF" w:rsidTr="0003479B">
        <w:trPr>
          <w:trHeight w:val="422"/>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CB2R</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3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JWH-015 anti-nociceptive effects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47"/>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STZ-induced</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C57BL/6 male mice</w:t>
            </w:r>
          </w:p>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t xml:space="preserve">10 mg/kg, </w:t>
            </w:r>
            <w:proofErr w:type="spellStart"/>
            <w:r w:rsidRPr="008367BF">
              <w:rPr>
                <w:rFonts w:ascii="Times New Roman" w:hAnsi="Times New Roman" w:cs="Times New Roman"/>
                <w:sz w:val="24"/>
                <w:szCs w:val="24"/>
              </w:rPr>
              <w:t>i.p</w:t>
            </w:r>
            <w:proofErr w:type="spellEnd"/>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TA</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{"citationItems":[{"id":"ITEM-1","itemData":{"DOI":"10.1371/JOURNAL.PONE.0204841","ISBN":"1111111111","ISSN":"1932-6203","PMID":"30286142","abstract":"The antinociceptive effects of the carbon monoxide-releasing molecule tricarbonyldichlororuthenium (II) dimer (CORM-2) during chronic pain are well documented, but most of its possible side-effects remain poorly understood. In this work, we examine the impact of CORM-2 treatment on the lipoprotein profile and two main atheroprotective functions attributed to high-density lipoprotein (HDL) in a mouse model of type 1 diabetes while analyzing the effect of this drug on diabetic neuropathy. Streptozotocin (Stz)-induced diabetic mice treated with CORM-2 (Stz-CORM-2) or vehicle (Stz-vehicle) were used to evaluate the effect of this drug on the modulation of painful diabetic neuropathy using nociceptive behavioral tests. Plasma and tissue samples were used for chemical and functional analyses, as appropriate. Two main antiatherogenic properties of HDL, i.e., the ability of HDL to protect low-density lipoprotein (LDL) from oxidation and to promote reverse cholesterol transport from macrophages to the liver and feces in vivo (m-RCT), were also assessed. Stz-induced diabetic mice displayed hyperglycemia, dyslipidemia and pain hypersensitivity. The administration of 10 mg/kg CORM-2 during five consecutive days inhibited allodynia and hyperalgesia and significantly ameliorated spinal cord markers (Cybb and Bdkrb1expression) of neuropathic pain in Stz mice, but it did not reduce the combined dyslipidemia shown in Stz-treated mice. Its administration to Stz-treated mice led to a significant increase in the plasma levels of cholesterol (</w:instrText>
            </w:r>
            <w:r w:rsidRPr="008367BF">
              <w:rPr>
                <w:rFonts w:ascii="Cambria Math" w:hAnsi="Cambria Math" w:cs="Cambria Math"/>
                <w:sz w:val="24"/>
                <w:szCs w:val="24"/>
              </w:rPr>
              <w:instrText>∼</w:instrText>
            </w:r>
            <w:r w:rsidRPr="008367BF">
              <w:rPr>
                <w:rFonts w:ascii="Times New Roman" w:hAnsi="Times New Roman" w:cs="Times New Roman"/>
                <w:sz w:val="24"/>
                <w:szCs w:val="24"/>
              </w:rPr>
              <w:instrText xml:space="preserve"> 1.4-fold vs. Ctrl, </w:instrText>
            </w:r>
            <w:r w:rsidRPr="008367BF">
              <w:rPr>
                <w:rFonts w:ascii="Cambria Math" w:hAnsi="Cambria Math" w:cs="Cambria Math"/>
                <w:sz w:val="24"/>
                <w:szCs w:val="24"/>
              </w:rPr>
              <w:instrText>∼</w:instrText>
            </w:r>
            <w:r w:rsidRPr="008367BF">
              <w:rPr>
                <w:rFonts w:ascii="Times New Roman" w:hAnsi="Times New Roman" w:cs="Times New Roman"/>
                <w:sz w:val="24"/>
                <w:szCs w:val="24"/>
              </w:rPr>
              <w:instrText xml:space="preserve"> 1.3- fold vs. Stz-vehicle; p &lt; 0.05) and was attributed to significant elevations in both non-HDL (</w:instrText>
            </w:r>
            <w:r w:rsidRPr="008367BF">
              <w:rPr>
                <w:rFonts w:ascii="Cambria Math" w:hAnsi="Cambria Math" w:cs="Cambria Math"/>
                <w:sz w:val="24"/>
                <w:szCs w:val="24"/>
              </w:rPr>
              <w:instrText>∼</w:instrText>
            </w:r>
            <w:r w:rsidRPr="008367BF">
              <w:rPr>
                <w:rFonts w:ascii="Times New Roman" w:hAnsi="Times New Roman" w:cs="Times New Roman"/>
                <w:sz w:val="24"/>
                <w:szCs w:val="24"/>
              </w:rPr>
              <w:instrText xml:space="preserve"> 1.8-fold vs. Ctrl; </w:instrText>
            </w:r>
            <w:r w:rsidRPr="008367BF">
              <w:rPr>
                <w:rFonts w:ascii="Cambria Math" w:hAnsi="Cambria Math" w:cs="Cambria Math"/>
                <w:sz w:val="24"/>
                <w:szCs w:val="24"/>
              </w:rPr>
              <w:instrText>∼</w:instrText>
            </w:r>
            <w:r w:rsidRPr="008367BF">
              <w:rPr>
                <w:rFonts w:ascii="Times New Roman" w:hAnsi="Times New Roman" w:cs="Times New Roman"/>
                <w:sz w:val="24"/>
                <w:szCs w:val="24"/>
              </w:rPr>
              <w:instrText xml:space="preserve"> 1.6-fold vs. Stz-vehicle; p &lt; 0.05) and HDL cholesterol (</w:instrText>
            </w:r>
            <w:r w:rsidRPr="008367BF">
              <w:rPr>
                <w:rFonts w:ascii="Cambria Math" w:hAnsi="Cambria Math" w:cs="Cambria Math"/>
                <w:sz w:val="24"/>
                <w:szCs w:val="24"/>
              </w:rPr>
              <w:instrText>∼</w:instrText>
            </w:r>
            <w:r w:rsidRPr="008367BF">
              <w:rPr>
                <w:rFonts w:ascii="Times New Roman" w:hAnsi="Times New Roman" w:cs="Times New Roman"/>
                <w:sz w:val="24"/>
                <w:szCs w:val="24"/>
              </w:rPr>
              <w:instrText xml:space="preserve"> 1.3-fold vs. Ctrl, </w:instrText>
            </w:r>
            <w:r w:rsidRPr="008367BF">
              <w:rPr>
                <w:rFonts w:ascii="Cambria Math" w:hAnsi="Cambria Math" w:cs="Cambria Math"/>
                <w:sz w:val="24"/>
                <w:szCs w:val="24"/>
              </w:rPr>
              <w:instrText>∼</w:instrText>
            </w:r>
            <w:r w:rsidRPr="008367BF">
              <w:rPr>
                <w:rFonts w:ascii="Times New Roman" w:hAnsi="Times New Roman" w:cs="Times New Roman"/>
                <w:sz w:val="24"/>
                <w:szCs w:val="24"/>
              </w:rPr>
              <w:instrText xml:space="preserve"> 1.2-fold vs. Stz-vehicle; p &lt; 0.05). The increased HDL in plasma was not accompanied by a commensurate elevation in m-RCT in Stz-CORM-2 compared to Stz-vehicle mice; instead, it was worsened as revealed by decreased [3H]-tracer trafficking into the feces in vivo. Furthermore, the HDL-mediated protection against LDL oxidation ex vivo shown by the HDL isolated from Stz-CORM-2 mice did not differ from that obtained in Stz-vehicle mice. In conclusion, the antinociceptive effects produced by a high dose of CORM-2 were accompanied by antioxidative effects but were without favorable effects on the dyslipidemia manifested in diabetic mice.","author":[{"dropping-particle":"","family":"Méndez-Lara","given":"Karen Alejandra","non-dropping-particle":"","parse-names":false,"suffix":""},{"dropping-particle":"","family":"Santos","given":"David","non-dropping-particle":"","parse-names":false,"suffix":""},{"dropping-particle":"","family":"Farré","given":"Núria","non-dropping-particle":"","parse-names":false,"suffix":""},{"dropping-particle":"","family":"Ruiz-Nogales","given":"Sheila","non-dropping-particle":"","parse-names":false,"suffix":""},{"dropping-particle":"","family":"Leánez","given":"Sergi","non-dropping-particle":"","parse-names":false,"suffix":""},{"dropping-particle":"","family":"Sánchez-Quesada","given":"José Luis","non-dropping-particle":"","parse-names":false,"suffix":""},{"dropping-particle":"","family":"Zapico","given":"Edgar","non-dropping-particle":"","parse-names":false,"suffix":""},{"dropping-particle":"","family":"Lerma","given":"Enrique","non-dropping-particle":"","parse-names":false,"suffix":""},{"dropping-particle":"","family":"Escola-Gil","given":"Joan Carles","non-dropping-particle":"","parse-names":false,"suffix":""},{"dropping-particle":"","family":"Blanco-Vaca","given":"Francisco","non-dropping-particle":"","parse-names":false,"suffix":""},{"dropping-particle":"","family":"Martón-Campos","given":"Jesús Maróa","non-dropping-particle":"","parse-names":false,"suffix":""},{"dropping-particle":"","family":"Julve","given":"Josep","non-dropping-particle":"","parse-names":false,"suffix":""},{"dropping-particle":"","family":"Pol","given":"Olga","non-dropping-particle":"","parse-names":false,"suffix":""}],"container-title":"PLOS ONE","id":"ITEM-1","issue":"10","issued":{"date-parts":[["2018","10","1"]]},"page":"e0204841","publisher":"Public Library of Science","title":"Administration of CORM-2 inhibits diabetic neuropathy but does not reduce dyslipidemia in diabetic mice","type":"article-journal","volume":"13"},"uris":["http://www.mendeley.com/documents/?uuid=392c56c4-e766-3761-a1f6-8acd66acf95b"]}],"mendeley":{"formattedCitation":"(Méndez-Lara &lt;i&gt;et al.&lt;/i&gt;, 2018)","plainTextFormattedCitation":"(Méndez-Lara et al., 2018)","previouslyFormattedCitation":"(Méndez-Lara &lt;i&gt;et al.&lt;/i&gt;, 2018)"},"properties":{"noteIndex":0},"schema":"https://github.com/citation-style-language/schema/raw/master/csl-citation.json"}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(Méndez-Lara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2018)</w:t>
            </w:r>
            <w:r w:rsidRPr="008367BF">
              <w:rPr>
                <w:rFonts w:ascii="Times New Roman" w:hAnsi="Times New Roman" w:cs="Times New Roman"/>
                <w:sz w:val="24"/>
                <w:szCs w:val="24"/>
              </w:rPr>
              <w:fldChar w:fldCharType="end"/>
            </w:r>
          </w:p>
        </w:tc>
      </w:tr>
      <w:tr w:rsidR="0096012E" w:rsidRPr="008367BF" w:rsidTr="0003479B">
        <w:trPr>
          <w:trHeight w:val="42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 </w:t>
            </w:r>
            <w:proofErr w:type="spellStart"/>
            <w:r w:rsidRPr="008367BF">
              <w:rPr>
                <w:rFonts w:ascii="Times New Roman" w:hAnsi="Times New Roman" w:cs="Times New Roman"/>
                <w:i/>
                <w:sz w:val="24"/>
                <w:szCs w:val="24"/>
              </w:rPr>
              <w:t>cybb</w:t>
            </w:r>
            <w:proofErr w:type="spellEnd"/>
            <w:r w:rsidRPr="008367BF">
              <w:rPr>
                <w:rFonts w:ascii="Times New Roman" w:hAnsi="Times New Roman" w:cs="Times New Roman"/>
                <w:sz w:val="24"/>
                <w:szCs w:val="24"/>
              </w:rPr>
              <w:t xml:space="preserve">, </w:t>
            </w:r>
            <w:r w:rsidRPr="008367BF">
              <w:rPr>
                <w:rFonts w:ascii="Times New Roman" w:hAnsi="Times New Roman" w:cs="Times New Roman"/>
                <w:i/>
                <w:sz w:val="24"/>
                <w:szCs w:val="24"/>
              </w:rPr>
              <w:t xml:space="preserve">bdkrb1 </w:t>
            </w:r>
            <w:r w:rsidRPr="008367BF">
              <w:rPr>
                <w:rFonts w:ascii="Times New Roman" w:hAnsi="Times New Roman" w:cs="Times New Roman"/>
                <w:sz w:val="24"/>
                <w:szCs w:val="24"/>
              </w:rPr>
              <w:t>gene</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16"/>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plasma levels of cholesterol</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3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dyslipidaemia effects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405"/>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SNL</w:t>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Sprague-Dawley rats</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10 </w:t>
            </w:r>
            <w:proofErr w:type="spellStart"/>
            <w:r w:rsidRPr="008367BF">
              <w:rPr>
                <w:rFonts w:ascii="Times New Roman" w:hAnsi="Times New Roman" w:cs="Times New Roman"/>
                <w:sz w:val="24"/>
                <w:szCs w:val="24"/>
              </w:rPr>
              <w:t>μg</w:t>
            </w:r>
            <w:proofErr w:type="spellEnd"/>
            <w:r w:rsidRPr="008367BF">
              <w:rPr>
                <w:rFonts w:ascii="Times New Roman" w:hAnsi="Times New Roman" w:cs="Times New Roman"/>
                <w:sz w:val="24"/>
                <w:szCs w:val="24"/>
              </w:rPr>
              <w:t xml:space="preserve">/10 </w:t>
            </w:r>
            <w:proofErr w:type="spellStart"/>
            <w:r w:rsidRPr="008367BF">
              <w:rPr>
                <w:rFonts w:ascii="Times New Roman" w:hAnsi="Times New Roman" w:cs="Times New Roman"/>
                <w:sz w:val="24"/>
                <w:szCs w:val="24"/>
              </w:rPr>
              <w:t>μL</w:t>
            </w:r>
            <w:proofErr w:type="spellEnd"/>
            <w:r w:rsidRPr="008367BF">
              <w:rPr>
                <w:rFonts w:ascii="Times New Roman" w:hAnsi="Times New Roman" w:cs="Times New Roman"/>
                <w:sz w:val="24"/>
                <w:szCs w:val="24"/>
              </w:rPr>
              <w:t>, i.t</w:t>
            </w:r>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{"citationItems":[{"id":"ITEM-1","itemData":{"DOI":"10.1007/s12031-017-0957-2","ISSN":"15591166","PMID":"28780624","abstract":"Carbon monoxide-releasing molecule (CORM-2) acts as a carbon monoxide (CO) deliverer in a more controlled manner without altering carboxyhemoglobin level and exerts potential function in inhibiting inflammation and/or acute nociception. However, the regulatory mechanism of CORM-2 on spinal nerve ligation (SNL)-induced neuropathic pain is not currently clear. Our study aims to investigate the role of CORM-2 in neuropathic pain and the underlying mechanism. We found that spinal cord astrocytes were dramatically activated on day 7 after SNL. L-α-aminoadipate (L-α-AA), an astroglial toxin, reversed SNL-induced astrocyte activation at sub-toxic dose. Intrathecal administration of CO donor CORM-2 induced antiallodynic and antihyperalgesic effects in neuropathic animals induced by SNL and suppressed SNL-induced spontaneous excitatory postsynaptic current (EPSC) frequency in lamina II neurons of spinal cord slices. CORM-2 administration markedly inhibited SNL-induced connexin 43 (Cx43) expression, hemichannel function, and gap junction function on spinal astrocyte membranes. Moreover, exogenous CORM-2 could attenuate HO-1 expression, while overexpressed heme oxygenase-1 (HO-1) increased intracellular CO production, attenuated Cx43 expression, hemichannel function, and gap junction function on spinal astrocyte membranes. Additionally, Cx43 over-expression markedly reduced CORM-2-induced mechanical threshold and thermal hyperalgesia and elevated CORM-2-induced spontaneous EPSC frequency. In conclusion, CORM-2 attenuated SNL-induced neuropathic pain via suppressing Cx43-hemichannel function, which may contribute to understanding of the pathology of neuropathic pain.","author":[{"dropping-particle":"","family":"Wang","given":"Hui","non-dropping-particle":"","parse-names":false,"suffix":""},{"dropping-particle":"","family":"Sun","given":"Xuejun","non-dropping-particle":"","parse-names":false,"suffix":""}],"container-title":"Journal of Molecular Neuroscience","id":"ITEM-1","issue":"1","issued":{"date-parts":[["2017","9","1"]]},"page":"58-69","publisher":"Springer New York LLC","title":"Carbon Monoxide-Releasing Molecule-2 Inhibits Connexin 43-Hemichannel Activity in Spinal Cord Astrocytes to Attenuate Neuropathic Pain","type":"article-journal","volume":"63"},"uris":["http://www.mendeley.com/documents/?uuid=803e893f-9725-3919-861f-e306c459f430"]}],"mendeley":{"formattedCitation":"(Wang &amp; Sun, 2017)","plainTextFormattedCitation":"(Wang &amp; Sun, 2017)","previouslyFormattedCitation":"(Wang &amp; Sun, 2017)"},"properties":{"noteIndex":0},"schema":"https://github.com/citation-style-language/schema/raw/master/csl-citation.json"}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(Wang &amp; Sun, 2017)</w:t>
            </w:r>
            <w:r w:rsidRPr="008367BF">
              <w:rPr>
                <w:rFonts w:ascii="Times New Roman" w:hAnsi="Times New Roman" w:cs="Times New Roman"/>
                <w:sz w:val="24"/>
                <w:szCs w:val="24"/>
              </w:rPr>
              <w:fldChar w:fldCharType="end"/>
            </w:r>
          </w:p>
        </w:tc>
      </w:tr>
      <w:tr w:rsidR="0096012E" w:rsidRPr="008367BF" w:rsidTr="0003479B">
        <w:trPr>
          <w:trHeight w:val="40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spontaneous EPSCs frequency, HO-1, Cx43</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bl>
    <w:p w:rsidR="0096012E" w:rsidRPr="008367BF" w:rsidRDefault="0096012E" w:rsidP="0096012E">
      <w:pPr>
        <w:rPr>
          <w:rFonts w:ascii="Times New Roman" w:hAnsi="Times New Roman" w:cs="Times New Roman"/>
          <w:sz w:val="24"/>
          <w:szCs w:val="24"/>
        </w:rPr>
      </w:pPr>
      <w:r w:rsidRPr="008367BF">
        <w:rPr>
          <w:rFonts w:ascii="Times New Roman" w:hAnsi="Times New Roman" w:cs="Times New Roman"/>
          <w:sz w:val="24"/>
          <w:szCs w:val="24"/>
        </w:rPr>
        <w:br w:type="page"/>
      </w:r>
    </w:p>
    <w:p w:rsidR="0096012E" w:rsidRPr="008367BF" w:rsidRDefault="0096012E" w:rsidP="0096012E">
      <w:pPr>
        <w:pStyle w:val="Caption"/>
        <w:keepNext/>
        <w:ind w:left="142"/>
        <w:rPr>
          <w:rFonts w:ascii="Times New Roman" w:hAnsi="Times New Roman" w:cs="Times New Roman"/>
          <w:color w:val="auto"/>
          <w:sz w:val="24"/>
          <w:szCs w:val="24"/>
        </w:rPr>
      </w:pPr>
      <w:r w:rsidRPr="008367BF">
        <w:rPr>
          <w:rFonts w:ascii="Times New Roman" w:hAnsi="Times New Roman" w:cs="Times New Roman"/>
          <w:b/>
          <w:i w:val="0"/>
          <w:iCs w:val="0"/>
          <w:color w:val="auto"/>
          <w:sz w:val="24"/>
          <w:szCs w:val="24"/>
        </w:rPr>
        <w:lastRenderedPageBreak/>
        <w:t>Table 1</w:t>
      </w:r>
      <w:r w:rsidRPr="008367BF">
        <w:rPr>
          <w:rFonts w:ascii="Times New Roman" w:hAnsi="Times New Roman" w:cs="Times New Roman"/>
          <w:b/>
          <w:i w:val="0"/>
          <w:iCs w:val="0"/>
          <w:color w:val="auto"/>
          <w:sz w:val="24"/>
          <w:szCs w:val="24"/>
        </w:rPr>
        <w:tab/>
      </w:r>
      <w:r w:rsidRPr="008367BF">
        <w:rPr>
          <w:rFonts w:ascii="Times New Roman" w:hAnsi="Times New Roman" w:cs="Times New Roman"/>
          <w:color w:val="auto"/>
          <w:sz w:val="24"/>
          <w:szCs w:val="24"/>
        </w:rPr>
        <w:t xml:space="preserve">(continued)  </w:t>
      </w:r>
    </w:p>
    <w:tbl>
      <w:tblPr>
        <w:tblStyle w:val="TableGrid"/>
        <w:tblW w:w="13608" w:type="dxa"/>
        <w:jc w:val="center"/>
        <w:tblBorders>
          <w:insideV w:val="none" w:sz="0" w:space="0" w:color="auto"/>
        </w:tblBorders>
        <w:tblLayout w:type="fixed"/>
        <w:tblLook w:val="04A0" w:firstRow="1" w:lastRow="0" w:firstColumn="1" w:lastColumn="0" w:noHBand="0" w:noVBand="1"/>
      </w:tblPr>
      <w:tblGrid>
        <w:gridCol w:w="1696"/>
        <w:gridCol w:w="3123"/>
        <w:gridCol w:w="1843"/>
        <w:gridCol w:w="4819"/>
        <w:gridCol w:w="2127"/>
      </w:tblGrid>
      <w:tr w:rsidR="0096012E" w:rsidRPr="008367BF" w:rsidTr="0003479B">
        <w:trPr>
          <w:trHeight w:val="457"/>
          <w:jc w:val="center"/>
        </w:trPr>
        <w:tc>
          <w:tcPr>
            <w:tcW w:w="1696"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iCs/>
                <w:sz w:val="24"/>
                <w:szCs w:val="24"/>
              </w:rPr>
              <w:t>Animal</w:t>
            </w:r>
            <w:r w:rsidRPr="008367BF">
              <w:rPr>
                <w:rFonts w:ascii="Times New Roman" w:hAnsi="Times New Roman" w:cs="Times New Roman"/>
                <w:b/>
                <w:bCs/>
                <w:sz w:val="24"/>
                <w:szCs w:val="24"/>
              </w:rPr>
              <w:t xml:space="preserve"> model</w:t>
            </w:r>
          </w:p>
        </w:tc>
        <w:tc>
          <w:tcPr>
            <w:tcW w:w="312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Species</w:t>
            </w:r>
          </w:p>
        </w:tc>
        <w:tc>
          <w:tcPr>
            <w:tcW w:w="184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Dose</w:t>
            </w:r>
          </w:p>
        </w:tc>
        <w:tc>
          <w:tcPr>
            <w:tcW w:w="4819" w:type="dxa"/>
            <w:tcBorders>
              <w:bottom w:val="single" w:sz="4" w:space="0" w:color="auto"/>
            </w:tcBorders>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Overall effects</w:t>
            </w:r>
          </w:p>
        </w:tc>
        <w:tc>
          <w:tcPr>
            <w:tcW w:w="2127"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References</w:t>
            </w:r>
          </w:p>
        </w:tc>
      </w:tr>
      <w:tr w:rsidR="0096012E" w:rsidRPr="008367BF" w:rsidTr="0003479B">
        <w:trPr>
          <w:trHeight w:val="457"/>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SNI</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C57BL/6 male mice</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br/>
              <w:t xml:space="preserve">3 mg/kg, </w:t>
            </w:r>
            <w:proofErr w:type="spellStart"/>
            <w:proofErr w:type="gramStart"/>
            <w:r w:rsidRPr="008367BF">
              <w:rPr>
                <w:rFonts w:ascii="Times New Roman" w:hAnsi="Times New Roman" w:cs="Times New Roman"/>
                <w:sz w:val="24"/>
                <w:szCs w:val="24"/>
              </w:rPr>
              <w:t>i.p</w:t>
            </w:r>
            <w:proofErr w:type="spellEnd"/>
            <w:proofErr w:type="gramEnd"/>
            <w:r w:rsidRPr="008367BF">
              <w:rPr>
                <w:rFonts w:ascii="Times New Roman" w:hAnsi="Times New Roman" w:cs="Times New Roman"/>
                <w:sz w:val="24"/>
                <w:szCs w:val="24"/>
              </w:rPr>
              <w:br/>
            </w:r>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{"citationItems":[{"id":"ITEM-1","itemData":{"DOI":"10.1097/PR9.0000000000000677","ISBN":"001082960.1","abstract":"Introduction: Neuropathic pain is one of the most difficult-to-treat symptoms. Although gabapentinoids are classified as first-line drugs, they have only modest efficacy. Objectives: The aim of this study was to investigate whether treatment with the heme oxygenase-1 (HO-1) inducer cobalt protoporphyrin IX (CoPP) or the carbon monoxide-releasing molecule tricarbonyldichlororuthenium (II) dimer (CORM-2) can enhance the antinociceptive effects produced by gabapentinoids in mice with neuropathic pain. Methods: Neuropathic pain was induced by spared nerve injury (SNI) of the sciatic nerve. The mechanical threshold was tested using von Frey filaments. The expression of spinal HO-1, HO-2, the Ca 21 channel a 2 d 1 subunit, microglial markers, and M1 or M2 microglial markers was examined using reverse transcription polymerase chain reaction. Results: Treatment with CoPP or CORM-2 alleviated mechanical allodynia induced by SNI. CoPP or CORM-2 enhanced the antiallodynic effects of gabapentinoids (pregabalin or gabapentin) during SNI-induced mechanical allodynia. HO-1 inhibitor tin protoporphyrin IX (SnPP) prevented the antiallodynic effects of gabapentinoids (pregabalin or gabapentin) during SNI-induced mechanical allodynia. CoPP or CORM-2 increased HO-1 and Ca 21 channel a 2 d 1 subunit gene expression and the decreased gene expression of microglial markers, M1 microglial marker, or tumor necrosis factor in the ipsilateral spinal dorsal horn of mice with SNI. SnPP prevented HO-1 induction and glial inhibition, which were produced by gabapentinoids during SNI-induced mechanical allodynia. Conclusions: This study suggests that HO-1 plays crucial roles in the antiallodynic effects of gabapentinoids. Gabapentinoids attenuate the glial activation induced by SNI and some of these effects are mediated by HO-1.","author":[{"dropping-particle":"","family":"Godai","given":"Kohei","non-dropping-particle":"","parse-names":false,"suffix":""},{"dropping-particle":"","family":"Kanmura","given":"Yuichi","non-dropping-particle":"","parse-names":false,"suffix":""}],"id":"ITEM-1","issued":{"date-parts":[["2018"]]},"title":"Heme oxygenase-1 inducer and carbon monoxide-releasing molecule enhance the effects of gabapentinoids by modulating glial activation during neuropathic pain in mice","type":"article-journal"},"uris":["http://www.mendeley.com/documents/?uuid=049771e4-a641-3f8d-bbe0-6ab883c5c436"]}],"mendeley":{"formattedCitation":"(Godai &amp; Kanmura, 2018)","plainTextFormattedCitation":"(Godai &amp; Kanmura, 2018)","previouslyFormattedCitation":"(Godai &amp; Kanmura, 2018)"},"properties":{"noteIndex":0},"schema":"https://github.com/citation-style-language/schema/raw/master/csl-citation.json"}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(Godai &amp; Kanmura, 2018)</w:t>
            </w:r>
            <w:r w:rsidRPr="008367BF">
              <w:rPr>
                <w:rFonts w:ascii="Times New Roman" w:hAnsi="Times New Roman" w:cs="Times New Roman"/>
                <w:sz w:val="24"/>
                <w:szCs w:val="24"/>
              </w:rPr>
              <w:fldChar w:fldCharType="end"/>
            </w:r>
          </w:p>
        </w:tc>
      </w:tr>
      <w:tr w:rsidR="0096012E" w:rsidRPr="008367BF" w:rsidTr="0003479B">
        <w:trPr>
          <w:trHeight w:val="607"/>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↓TNF-α, CD11b, Iba-1, CD68</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01"/>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α</w:t>
            </w:r>
            <w:r w:rsidRPr="008367BF">
              <w:rPr>
                <w:rFonts w:ascii="Times New Roman" w:hAnsi="Times New Roman" w:cs="Times New Roman"/>
                <w:sz w:val="24"/>
                <w:szCs w:val="24"/>
                <w:vertAlign w:val="subscript"/>
              </w:rPr>
              <w:t>2</w:t>
            </w:r>
            <w:r w:rsidRPr="008367BF">
              <w:rPr>
                <w:rFonts w:ascii="Times New Roman" w:hAnsi="Times New Roman" w:cs="Times New Roman"/>
                <w:sz w:val="24"/>
                <w:szCs w:val="24"/>
              </w:rPr>
              <w:t>δ</w:t>
            </w:r>
            <w:r w:rsidRPr="008367BF">
              <w:rPr>
                <w:rFonts w:ascii="Times New Roman" w:hAnsi="Times New Roman" w:cs="Times New Roman"/>
                <w:sz w:val="24"/>
                <w:szCs w:val="24"/>
                <w:vertAlign w:val="subscript"/>
              </w:rPr>
              <w:t>1</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4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No change in HO-2, </w:t>
            </w:r>
            <w:proofErr w:type="spellStart"/>
            <w:r w:rsidRPr="008367BF">
              <w:rPr>
                <w:rFonts w:ascii="Times New Roman" w:hAnsi="Times New Roman" w:cs="Times New Roman"/>
                <w:sz w:val="24"/>
                <w:szCs w:val="24"/>
              </w:rPr>
              <w:t>iNOS</w:t>
            </w:r>
            <w:proofErr w:type="spellEnd"/>
            <w:r w:rsidRPr="008367BF">
              <w:rPr>
                <w:rFonts w:ascii="Times New Roman" w:hAnsi="Times New Roman" w:cs="Times New Roman"/>
                <w:sz w:val="24"/>
                <w:szCs w:val="24"/>
              </w:rPr>
              <w:t>, arg-1, IL-1β, GFAP (astrocyte activation)</w:t>
            </w:r>
          </w:p>
        </w:tc>
        <w:tc>
          <w:tcPr>
            <w:tcW w:w="2127" w:type="dxa"/>
            <w:vMerge/>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58"/>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CFA-induced</w:t>
            </w:r>
          </w:p>
        </w:tc>
        <w:tc>
          <w:tcPr>
            <w:tcW w:w="3123" w:type="dxa"/>
            <w:vMerge w:val="restart"/>
            <w:tcBorders>
              <w:bottom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C57BL/6J male mice - </w:t>
            </w:r>
            <w:r w:rsidRPr="008367BF">
              <w:rPr>
                <w:rFonts w:ascii="Times New Roman" w:hAnsi="Times New Roman" w:cs="Times New Roman"/>
                <w:sz w:val="24"/>
                <w:szCs w:val="24"/>
              </w:rPr>
              <w:br/>
              <w:t>Wild type, NOS1-KO and NOS2-KO</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tcBorders>
              <w:bottom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(all genotypes)</w:t>
            </w:r>
          </w:p>
        </w:tc>
        <w:tc>
          <w:tcPr>
            <w:tcW w:w="2127" w:type="dxa"/>
            <w:vMerge w:val="restart"/>
            <w:tcBorders>
              <w:bottom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{"citationItems":[{"id":"ITEM-1","itemData":{"DOI":"10.1007/s00213-013-3302-7","ISSN":"00333158","abstract":"Rationale: Carbon monoxide synthetized by inducible heme oxygenase (HO-1) exerts potent anti-inflammatory and antinociceptive effects during acute and neuropathic pain, but its role in the modulation of chronic inflammatory pain and the possible involvement of nitric oxide in this action remain unknown. Objectives and methods: The antiallodynic and antihyperalgesic effects of a carbon monoxide releasing molecule, tricarbonyldichlororuthenium(II) dimer (CORM-2), daily administered from days 4 to 14 after complete Freund's adjuvant (CFA) injection in wild-type (WT), neuronal (NOS1-KO), and inducible (NOS2-KO) nitric oxide synthases knockout mice, were evaluated using von Frey filaments and plantar tests. Effects of CORM-2 treatment on the expression of HO-1, NOS1, and NOS2 at 14 days after inflammation induction were assessed by Western blot. Results: Main inflammatory pain symptoms induced by CFA in WT, NOS1-KO, and NOS2-KO mice were significantly reduced in a time-dependent manner by CORM-2 treatment. In all genotypes, inflammation increased the dorsal root ganglia and paw expression of HO-1, but CORM-2 treatment only over-expressed this enzyme in the paw of all genotypes. The increased NOS1 expression induced by inflammation in WT mice was abolished by CORM-2 treatment, while there was no effect of the inflammation in neither CORM-2 treatment in the expression of NOS2 in WT and NOS1-KO mice. Conclusions: CORM-2 treatment inhibits inflammatory pain through enhancing HO-1 paw expression in all genotypes and reducing NOS1 over-expression in WT mice. An interaction between HO-1/carbon monoxide and NOS1/nitric oxide systems was also demonstrated. CORM-2 treatment may represent a new approach for management chronic inflammatory pain. © 2013 Springer-Verlag Berlin Heidelberg.","author":[{"dropping-particle":"","family":"Negrete","given":"Roger","non-dropping-particle":"","parse-names":false,"suffix":""},{"dropping-particle":"","family":"Hervera","given":"Arnau","non-dropping-particle":"","parse-names":false,"suffix":""},{"dropping-particle":"","family":"Leánez","given":"Sergi","non-dropping-particle":"","parse-names":false,"suffix":""},{"dropping-particle":"","family":"Pol","given":"Olga","non-dropping-particle":"","parse-names":false,"suffix":""}],"container-title":"Psychopharmacology","id":"ITEM-1","issue":"5","issued":{"date-parts":[["2014"]]},"page":"853-861","title":"Treatment with a carbon monoxide-releasing molecule inhibits chronic inflammatory pain in mice: Nitric oxide contribution","type":"article-journal","volume":"231"},"uris":["http://www.mendeley.com/documents/?uuid=40496be2-e256-4d58-8032-c1f332c88ee9"]}],"mendeley":{"formattedCitation":"(Negrete &lt;i&gt;et al.&lt;/i&gt;, 2014)","plainTextFormattedCitation":"(Negrete et al., 2014)","previouslyFormattedCitation":"(Negrete &lt;i&gt;et al.&lt;/i&gt;, 2014)"},"properties":{"noteIndex":0},"schema":"https://github.com/citation-style-language/schema/raw/master/csl-citation.json"}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(Negrete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2014)</w:t>
            </w:r>
            <w:r w:rsidRPr="008367BF">
              <w:rPr>
                <w:rFonts w:ascii="Times New Roman" w:hAnsi="Times New Roman" w:cs="Times New Roman"/>
                <w:sz w:val="24"/>
                <w:szCs w:val="24"/>
              </w:rPr>
              <w:fldChar w:fldCharType="end"/>
            </w:r>
          </w:p>
        </w:tc>
      </w:tr>
      <w:tr w:rsidR="0096012E" w:rsidRPr="008367BF" w:rsidTr="0003479B">
        <w:trPr>
          <w:trHeight w:val="558"/>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tcBorders>
              <w:bottom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bottom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NOS1 (WT)</w:t>
            </w:r>
          </w:p>
        </w:tc>
        <w:tc>
          <w:tcPr>
            <w:tcW w:w="2127" w:type="dxa"/>
            <w:vMerge/>
            <w:tcBorders>
              <w:bottom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58"/>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tcBorders>
              <w:bottom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bottom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DRG HO-1 (WT)</w:t>
            </w:r>
          </w:p>
        </w:tc>
        <w:tc>
          <w:tcPr>
            <w:tcW w:w="2127" w:type="dxa"/>
            <w:vMerge/>
            <w:tcBorders>
              <w:bottom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58"/>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tcBorders>
              <w:top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bottom w:val="dotted"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No change in NOS-1, NOS-2 (all genotypes)</w:t>
            </w:r>
          </w:p>
        </w:tc>
        <w:tc>
          <w:tcPr>
            <w:tcW w:w="2127" w:type="dxa"/>
            <w:tcBorders>
              <w:top w:val="nil"/>
            </w:tcBorders>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558"/>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CFA-induced</w:t>
            </w:r>
            <w:r w:rsidRPr="008367BF">
              <w:rPr>
                <w:rFonts w:ascii="Times New Roman" w:hAnsi="Times New Roman" w:cs="Times New Roman"/>
                <w:sz w:val="24"/>
                <w:szCs w:val="24"/>
              </w:rPr>
              <w:br/>
            </w: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C57BL/6J male mice - </w:t>
            </w:r>
            <w:r w:rsidRPr="008367BF">
              <w:rPr>
                <w:rFonts w:ascii="Times New Roman" w:hAnsi="Times New Roman" w:cs="Times New Roman"/>
                <w:sz w:val="24"/>
                <w:szCs w:val="24"/>
              </w:rPr>
              <w:br/>
              <w:t>Wild type, NOS1-KO and NOS2-KO</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MA, TH (all genotypes)</w:t>
            </w:r>
          </w:p>
        </w:tc>
        <w:tc>
          <w:tcPr>
            <w:tcW w:w="2127"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{"citationItems":[{"id":"ITEM-1","itemData":{"DOI":"10.3390/ijms20092211","ISSN":"14220067","PMID":"31060340","abstract":"Heme oxygenase 1 (HO-1) and carbon monoxide were shown to normalize oxidative stress and inflammatory reactions induced by neuropathic pain in the central nervous system, but their effects in the locus coeruleus (LC) of animals with peripheral inflammation and their interaction with nitric oxide are unknown. In wild-type (WT) and knockout mice for neuronal (NOS1-KO) or inducible (NOS2-KO) nitric oxide synthases with inflammatory pain induced by complete Freund’s adjuvant (CFA), we assessed: 1) antinociceptive actions of cobalt protoporphyrin IX (CoPP), an HO-1 inducer; 2) effects of CoPP and tricarbonyldichlororuthenium(II)dimer (CORM-2), a carbon monoxide-liberating compound, on the expression of HO-1, NOS1, NOS2, CD11b/c, GFAP,and mitogen-activated protein kinases (MAPK)in the LC. CoPP reduced inflammatory pain in different time-dependent manners in WT and KO mice. Peripheral inflammation activated astroglia in the LC of all genotypes and increased the levels of NOS1 and phosphorylated extracellular signal-regulated kinase 1/2 (p-ERK 1/2) in WT mice. CoPP and CORM-2 enhanced HO-1 and inhibited astroglial activationin all genotypes. Both treatments blocked NOS1 overexpression,and CoPP normalized ERK 1/2 activation. This study reveals an interaction between HO-1 and NOS1/NOS2 during peripheral inflammation andshows that CoPP and CORM-2 improved HO-1 expression and modulated the inflammatory and/or plasticity changes caused by peripheral inflammation in the LC.","author":[{"dropping-particle":"","family":"Moreno","given":"Patricia","non-dropping-particle":"","parse-names":false,"suffix":""},{"dropping-particle":"","family":"Cazuza","given":"Rafael Alves","non-dropping-particle":"","parse-names":false,"suffix":""},{"dropping-particle":"","family":"Gomes-Mendes","given":"Joyce","non-dropping-particle":"","parse-names":false,"suffix":""},{"dropping-particle":"","family":"Díaz","given":"Andrés Felipe","non-dropping-particle":"","parse-names":false,"suffix":""},{"dropping-particle":"","family":"Polo","given":"Sara","non-dropping-particle":"","parse-names":false,"suffix":""},{"dropping-particle":"","family":"Leánez","given":"Sergi","non-dropping-particle":"","parse-names":false,"suffix":""},{"dropping-particle":"","family":"Leite-Panissi","given":"Christie Ramos Andrade","non-dropping-particle":"","parse-names":false,"suffix":""},{"dropping-particle":"","family":"Pol","given":"Olga","non-dropping-particle":"","parse-names":false,"suffix":""}],"container-title":"International Journal of Molecular Sciences","id":"ITEM-1","issue":"9","issued":{"date-parts":[["2019","5","1"]]},"publisher":"MDPI AG","title":"The effects of cobalt protoporphyrin IX and tricarbonyldichlororuthenium (II) dimer treatments and its interaction with nitric oxide in the locus coeruleus of mice with peripheral inflammation","type":"article-journal","volume":"20"},"uris":["http://www.mendeley.com/documents/?uuid=0d86516c-a285-3886-a8f1-41619b3a79ba"]}],"mendeley":{"formattedCitation":"(Moreno &lt;i&gt;et al.&lt;/i&gt;, 2019)","plainTextFormattedCitation":"(Moreno et al., 2019)","previouslyFormattedCitation":"(Moreno &lt;i&gt;et al.&lt;/i&gt;, 2019)"},"properties":{"noteIndex":0},"schema":"https://github.com/citation-style-language/schema/raw/master/csl-citation.json"}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(Moreno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2019)</w:t>
            </w:r>
            <w:r w:rsidRPr="008367BF">
              <w:rPr>
                <w:rFonts w:ascii="Times New Roman" w:hAnsi="Times New Roman" w:cs="Times New Roman"/>
                <w:sz w:val="24"/>
                <w:szCs w:val="24"/>
              </w:rPr>
              <w:fldChar w:fldCharType="end"/>
            </w:r>
          </w:p>
        </w:tc>
      </w:tr>
      <w:tr w:rsidR="0096012E" w:rsidRPr="008367BF" w:rsidTr="0003479B">
        <w:trPr>
          <w:trHeight w:val="422"/>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NOS-1 (WT), GFAP (astrocyte activation) (all genotypes)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67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p-ERK ½ (NOS1-KO), HO-1 (all genotypes)</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r w:rsidR="0096012E" w:rsidRPr="008367BF" w:rsidTr="0003479B">
        <w:trPr>
          <w:trHeight w:val="67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No change in NOS2, CD11b/c, p-JNK (WT, NOS1-KO), NOS-1, CD11b/c, p-JNK, p-ERK </w:t>
            </w:r>
            <w:proofErr w:type="gramStart"/>
            <w:r w:rsidRPr="008367BF">
              <w:rPr>
                <w:rFonts w:ascii="Times New Roman" w:hAnsi="Times New Roman" w:cs="Times New Roman"/>
                <w:sz w:val="24"/>
                <w:szCs w:val="24"/>
              </w:rPr>
              <w:t>½  (</w:t>
            </w:r>
            <w:proofErr w:type="gramEnd"/>
            <w:r w:rsidRPr="008367BF">
              <w:rPr>
                <w:rFonts w:ascii="Times New Roman" w:hAnsi="Times New Roman" w:cs="Times New Roman"/>
                <w:sz w:val="24"/>
                <w:szCs w:val="24"/>
              </w:rPr>
              <w:t>NOS2-KO)</w:t>
            </w:r>
          </w:p>
        </w:tc>
        <w:tc>
          <w:tcPr>
            <w:tcW w:w="2127"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r>
    </w:tbl>
    <w:p w:rsidR="0096012E" w:rsidRPr="008367BF" w:rsidRDefault="0096012E" w:rsidP="0096012E">
      <w:pPr>
        <w:rPr>
          <w:rFonts w:ascii="Times New Roman" w:hAnsi="Times New Roman" w:cs="Times New Roman"/>
          <w:sz w:val="24"/>
          <w:szCs w:val="24"/>
        </w:rPr>
      </w:pPr>
      <w:r w:rsidRPr="008367BF">
        <w:rPr>
          <w:rFonts w:ascii="Times New Roman" w:hAnsi="Times New Roman" w:cs="Times New Roman"/>
          <w:sz w:val="24"/>
          <w:szCs w:val="24"/>
        </w:rPr>
        <w:br w:type="page"/>
      </w:r>
    </w:p>
    <w:p w:rsidR="0096012E" w:rsidRPr="008367BF" w:rsidRDefault="0096012E" w:rsidP="0096012E">
      <w:pPr>
        <w:pStyle w:val="Caption"/>
        <w:keepNext/>
        <w:ind w:left="142"/>
        <w:rPr>
          <w:rFonts w:ascii="Times New Roman" w:hAnsi="Times New Roman" w:cs="Times New Roman"/>
          <w:color w:val="auto"/>
          <w:sz w:val="24"/>
          <w:szCs w:val="24"/>
        </w:rPr>
      </w:pPr>
      <w:bookmarkStart w:id="1" w:name="_Hlk121215258"/>
      <w:r w:rsidRPr="008367BF">
        <w:rPr>
          <w:rFonts w:ascii="Times New Roman" w:hAnsi="Times New Roman" w:cs="Times New Roman"/>
          <w:b/>
          <w:i w:val="0"/>
          <w:iCs w:val="0"/>
          <w:color w:val="auto"/>
          <w:sz w:val="24"/>
          <w:szCs w:val="24"/>
        </w:rPr>
        <w:lastRenderedPageBreak/>
        <w:t>Table 1</w:t>
      </w:r>
      <w:r w:rsidRPr="008367BF">
        <w:rPr>
          <w:rFonts w:ascii="Times New Roman" w:hAnsi="Times New Roman" w:cs="Times New Roman"/>
          <w:b/>
          <w:i w:val="0"/>
          <w:iCs w:val="0"/>
          <w:color w:val="auto"/>
          <w:sz w:val="24"/>
          <w:szCs w:val="24"/>
        </w:rPr>
        <w:tab/>
      </w:r>
      <w:r w:rsidRPr="008367BF">
        <w:rPr>
          <w:rFonts w:ascii="Times New Roman" w:hAnsi="Times New Roman" w:cs="Times New Roman"/>
          <w:color w:val="auto"/>
          <w:sz w:val="24"/>
          <w:szCs w:val="24"/>
        </w:rPr>
        <w:t xml:space="preserve">(continued)  </w:t>
      </w:r>
    </w:p>
    <w:tbl>
      <w:tblPr>
        <w:tblStyle w:val="TableGrid"/>
        <w:tblW w:w="13608" w:type="dxa"/>
        <w:jc w:val="center"/>
        <w:tblBorders>
          <w:insideV w:val="none" w:sz="0" w:space="0" w:color="auto"/>
        </w:tblBorders>
        <w:tblLayout w:type="fixed"/>
        <w:tblLook w:val="04A0" w:firstRow="1" w:lastRow="0" w:firstColumn="1" w:lastColumn="0" w:noHBand="0" w:noVBand="1"/>
      </w:tblPr>
      <w:tblGrid>
        <w:gridCol w:w="1696"/>
        <w:gridCol w:w="3123"/>
        <w:gridCol w:w="1843"/>
        <w:gridCol w:w="4819"/>
        <w:gridCol w:w="2127"/>
      </w:tblGrid>
      <w:tr w:rsidR="0096012E" w:rsidRPr="008367BF" w:rsidTr="0003479B">
        <w:trPr>
          <w:trHeight w:val="405"/>
          <w:jc w:val="center"/>
        </w:trPr>
        <w:tc>
          <w:tcPr>
            <w:tcW w:w="1696" w:type="dxa"/>
            <w:shd w:val="clear" w:color="auto" w:fill="FFC000"/>
            <w:vAlign w:val="center"/>
          </w:tcPr>
          <w:bookmarkEnd w:id="1"/>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iCs/>
                <w:sz w:val="24"/>
                <w:szCs w:val="24"/>
              </w:rPr>
              <w:t>Animal</w:t>
            </w:r>
            <w:r w:rsidRPr="008367BF">
              <w:rPr>
                <w:rFonts w:ascii="Times New Roman" w:hAnsi="Times New Roman" w:cs="Times New Roman"/>
                <w:b/>
                <w:bCs/>
                <w:sz w:val="24"/>
                <w:szCs w:val="24"/>
              </w:rPr>
              <w:t xml:space="preserve"> model</w:t>
            </w:r>
          </w:p>
        </w:tc>
        <w:tc>
          <w:tcPr>
            <w:tcW w:w="312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Species</w:t>
            </w:r>
          </w:p>
        </w:tc>
        <w:tc>
          <w:tcPr>
            <w:tcW w:w="1843" w:type="dxa"/>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Dose</w:t>
            </w:r>
          </w:p>
        </w:tc>
        <w:tc>
          <w:tcPr>
            <w:tcW w:w="4819" w:type="dxa"/>
            <w:tcBorders>
              <w:bottom w:val="single" w:sz="4" w:space="0" w:color="auto"/>
            </w:tcBorders>
            <w:shd w:val="clear" w:color="auto" w:fill="FFC000"/>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Overall effects</w:t>
            </w:r>
          </w:p>
        </w:tc>
        <w:tc>
          <w:tcPr>
            <w:tcW w:w="2127" w:type="dxa"/>
            <w:shd w:val="clear" w:color="auto" w:fill="FFC000"/>
            <w:vAlign w:val="center"/>
          </w:tcPr>
          <w:p w:rsidR="0096012E" w:rsidRPr="008367BF" w:rsidRDefault="0096012E" w:rsidP="0003479B">
            <w:pPr>
              <w:keepNext/>
              <w:spacing w:line="276" w:lineRule="auto"/>
              <w:jc w:val="center"/>
              <w:rPr>
                <w:rFonts w:ascii="Times New Roman" w:hAnsi="Times New Roman" w:cs="Times New Roman"/>
                <w:sz w:val="24"/>
                <w:szCs w:val="24"/>
              </w:rPr>
            </w:pPr>
            <w:r w:rsidRPr="008367BF">
              <w:rPr>
                <w:rFonts w:ascii="Times New Roman" w:hAnsi="Times New Roman" w:cs="Times New Roman"/>
                <w:b/>
                <w:bCs/>
                <w:sz w:val="24"/>
                <w:szCs w:val="24"/>
              </w:rPr>
              <w:t>References</w:t>
            </w:r>
          </w:p>
        </w:tc>
      </w:tr>
      <w:tr w:rsidR="0096012E" w:rsidRPr="008367BF" w:rsidTr="0003479B">
        <w:trPr>
          <w:trHeight w:val="405"/>
          <w:jc w:val="center"/>
        </w:trPr>
        <w:tc>
          <w:tcPr>
            <w:tcW w:w="1696"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CFA-induced</w:t>
            </w:r>
          </w:p>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C57BL/6J male mice - </w:t>
            </w:r>
            <w:r w:rsidRPr="008367BF">
              <w:rPr>
                <w:rFonts w:ascii="Times New Roman" w:hAnsi="Times New Roman" w:cs="Times New Roman"/>
                <w:sz w:val="24"/>
                <w:szCs w:val="24"/>
              </w:rPr>
              <w:br/>
              <w:t>Wild type and NOS2-KO</w:t>
            </w:r>
          </w:p>
        </w:tc>
        <w:tc>
          <w:tcPr>
            <w:tcW w:w="1843" w:type="dxa"/>
            <w:vMerge w:val="restart"/>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5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tcBorders>
              <w:bottom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 MA, pain </w:t>
            </w:r>
            <w:proofErr w:type="spellStart"/>
            <w:r w:rsidRPr="008367BF">
              <w:rPr>
                <w:rFonts w:ascii="Times New Roman" w:hAnsi="Times New Roman" w:cs="Times New Roman"/>
                <w:sz w:val="24"/>
                <w:szCs w:val="24"/>
              </w:rPr>
              <w:t>aversiveness</w:t>
            </w:r>
            <w:proofErr w:type="spellEnd"/>
          </w:p>
        </w:tc>
        <w:tc>
          <w:tcPr>
            <w:tcW w:w="2127" w:type="dxa"/>
            <w:vMerge w:val="restart"/>
            <w:vAlign w:val="center"/>
          </w:tcPr>
          <w:p w:rsidR="0096012E" w:rsidRPr="008367BF" w:rsidRDefault="0096012E" w:rsidP="0003479B">
            <w:pPr>
              <w:keepNext/>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{"citationItems":[{"id":"ITEM-1","itemData":{"DOI":"10.1016/j.brainresbull.2021.01.002","ISSN":"18732747","PMID":"33422660","abstract":"Carbon monoxide (CO) and nitric oxide (NO) modulate inflammatory nociception and anxiety. We evaluate whether treatments with a heme oxygenase-1 (HO-1) inducer (CoPP) or a carbon monoxide-releasing molecule (CORM-2) are capable of inhibiting inflammatory pain aversiveness in wild type (WT) and inducible nitric oxide synthase-knock out (NOS2-KO) mice with persistent inflammation and its relationship with μ- (MOR) and δ- (DOR) opioid receptors. WT and NOS2-KO male mice with complete Freund's adjuvant (CFA) injected into the hind paw were evaluated in the von Frey and the escape-avoidance paradigm (PEAP) tests, at 10 days, before and after the treatment with CORM-2 (5 mg/kg) or CoPP (2.5 mg/kg). WT mice groups treated with CORM-2 or CoPP also received naloxone (NLX, a non-specific opioid receptor antagonist). The HO-1, neuronal nitric oxide synthase, NOS2, MOR, and DOR expression in the dorsal hippocampus were evaluated by western blot. CFA reduced mechanical threshold in WT and NOS2-KO mice but only increased the percentage of time in the light compartment in the PEAP in WT mice. CORM-2 and CoPP inhibited these effects in both strains. Pre-treatment with NLX reverses the anti-allodynic and anti-aversive effects of CORM-2 or CoPP in WT mice. CORM-2 and CoPP increases the protein levels of HO-1, MOR and DOR in the dorsal hippocampus of WT mice but not in NOS2-KO animals. Results showed that HO–CO pathway activation promotes anti-allodynic effects and reduced pain aversiveness caused by peripheral inflammation by increasing the expression of MOR and DOR activated by HO-1 in the dorsal hippocampus.","author":[{"dropping-particle":"","family":"Cazuza","given":"Rafael A.","non-dropping-particle":"","parse-names":false,"suffix":""},{"dropping-particle":"","family":"Arantes","given":"Ana Luisa F.","non-dropping-particle":"","parse-names":false,"suffix":""},{"dropping-particle":"","family":"Pol","given":"Olga","non-dropping-particle":"","parse-names":false,"suffix":""},{"dropping-particle":"","family":"Leite-Panissi","given":"Christie R.A.","non-dropping-particle":"","parse-names":false,"suffix":""}],"container-title":"Brain Research Bulletin","id":"ITEM-1","issue":"April 2020","issued":{"date-parts":[["2021"]]},"page":"8-17","publisher":"Elsevier Inc.","title":"HO-CO pathway activation may be associated with hippocampal μ and δ opioid on receptors in inhibiting inflammatory pain aversiveness and nociception in WT but not NOS2-KO mice","type":"article-journal","volume":"169"},"uris":["http://www.mendeley.com/documents/?uuid=fa3053eb-8273-44c3-aa24-102422c24148"]}],"mendeley":{"formattedCitation":"(Cazuza &lt;i&gt;et al.&lt;/i&gt;, 2021)","plainTextFormattedCitation":"(Cazuza et al., 2021)","previouslyFormattedCitation":"(Cazuza &lt;i&gt;et al.&lt;/i&gt;, 2021)"},"properties":{"noteIndex":0},"schema":"https://github.com/citation-style-language/schema/raw/master/csl-citation.json"}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(Cazuza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2021)</w:t>
            </w:r>
            <w:r w:rsidRPr="008367BF">
              <w:rPr>
                <w:rFonts w:ascii="Times New Roman" w:hAnsi="Times New Roman" w:cs="Times New Roman"/>
                <w:sz w:val="24"/>
                <w:szCs w:val="24"/>
              </w:rPr>
              <w:fldChar w:fldCharType="end"/>
            </w:r>
          </w:p>
        </w:tc>
      </w:tr>
      <w:tr w:rsidR="0096012E" w:rsidRPr="008367BF" w:rsidTr="0003479B">
        <w:trPr>
          <w:trHeight w:val="405"/>
          <w:jc w:val="center"/>
        </w:trPr>
        <w:tc>
          <w:tcPr>
            <w:tcW w:w="1696"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312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1843" w:type="dxa"/>
            <w:vMerge/>
            <w:vAlign w:val="center"/>
          </w:tcPr>
          <w:p w:rsidR="0096012E" w:rsidRPr="008367BF" w:rsidRDefault="0096012E" w:rsidP="0003479B">
            <w:pPr>
              <w:spacing w:line="276" w:lineRule="auto"/>
              <w:jc w:val="center"/>
              <w:rPr>
                <w:rFonts w:ascii="Times New Roman" w:hAnsi="Times New Roman" w:cs="Times New Roman"/>
                <w:sz w:val="24"/>
                <w:szCs w:val="24"/>
              </w:rPr>
            </w:pPr>
          </w:p>
        </w:tc>
        <w:tc>
          <w:tcPr>
            <w:tcW w:w="4819" w:type="dxa"/>
            <w:tcBorders>
              <w:top w:val="single" w:sz="4" w:space="0" w:color="auto"/>
            </w:tcBorders>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HO-1, MOR, DOR (WT)</w:t>
            </w:r>
          </w:p>
        </w:tc>
        <w:tc>
          <w:tcPr>
            <w:tcW w:w="2127" w:type="dxa"/>
            <w:vMerge/>
            <w:vAlign w:val="center"/>
          </w:tcPr>
          <w:p w:rsidR="0096012E" w:rsidRPr="008367BF" w:rsidRDefault="0096012E" w:rsidP="0003479B">
            <w:pPr>
              <w:keepNext/>
              <w:spacing w:line="276" w:lineRule="auto"/>
              <w:jc w:val="center"/>
              <w:rPr>
                <w:rFonts w:ascii="Times New Roman" w:hAnsi="Times New Roman" w:cs="Times New Roman"/>
                <w:sz w:val="24"/>
                <w:szCs w:val="24"/>
              </w:rPr>
            </w:pPr>
          </w:p>
        </w:tc>
      </w:tr>
      <w:tr w:rsidR="0096012E" w:rsidRPr="008367BF" w:rsidTr="0003479B">
        <w:trPr>
          <w:trHeight w:val="246"/>
          <w:jc w:val="center"/>
        </w:trPr>
        <w:tc>
          <w:tcPr>
            <w:tcW w:w="1696"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Carrageenan-induced</w:t>
            </w:r>
          </w:p>
        </w:tc>
        <w:tc>
          <w:tcPr>
            <w:tcW w:w="3123" w:type="dxa"/>
            <w:vAlign w:val="center"/>
          </w:tcPr>
          <w:p w:rsidR="0096012E" w:rsidRPr="008367BF" w:rsidRDefault="0096012E" w:rsidP="0003479B">
            <w:pPr>
              <w:spacing w:line="276" w:lineRule="auto"/>
              <w:jc w:val="center"/>
              <w:rPr>
                <w:rFonts w:ascii="Times New Roman" w:hAnsi="Times New Roman" w:cs="Times New Roman"/>
                <w:sz w:val="24"/>
                <w:szCs w:val="24"/>
              </w:rPr>
            </w:pPr>
            <w:proofErr w:type="spellStart"/>
            <w:r w:rsidRPr="008367BF">
              <w:rPr>
                <w:rFonts w:ascii="Times New Roman" w:hAnsi="Times New Roman" w:cs="Times New Roman"/>
                <w:sz w:val="24"/>
                <w:szCs w:val="24"/>
              </w:rPr>
              <w:t>Wistar</w:t>
            </w:r>
            <w:proofErr w:type="spellEnd"/>
            <w:r w:rsidRPr="008367BF">
              <w:rPr>
                <w:rFonts w:ascii="Times New Roman" w:hAnsi="Times New Roman" w:cs="Times New Roman"/>
                <w:sz w:val="24"/>
                <w:szCs w:val="24"/>
              </w:rPr>
              <w:t xml:space="preserve"> male rats</w:t>
            </w:r>
          </w:p>
        </w:tc>
        <w:tc>
          <w:tcPr>
            <w:tcW w:w="1843"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xml:space="preserve">20 mg/kg, </w:t>
            </w:r>
            <w:proofErr w:type="spellStart"/>
            <w:proofErr w:type="gramStart"/>
            <w:r w:rsidRPr="008367BF">
              <w:rPr>
                <w:rFonts w:ascii="Times New Roman" w:hAnsi="Times New Roman" w:cs="Times New Roman"/>
                <w:sz w:val="24"/>
                <w:szCs w:val="24"/>
              </w:rPr>
              <w:t>i.p</w:t>
            </w:r>
            <w:proofErr w:type="spellEnd"/>
            <w:proofErr w:type="gramEnd"/>
          </w:p>
        </w:tc>
        <w:tc>
          <w:tcPr>
            <w:tcW w:w="4819" w:type="dxa"/>
            <w:vAlign w:val="center"/>
          </w:tcPr>
          <w:p w:rsidR="0096012E" w:rsidRPr="008367BF" w:rsidRDefault="0096012E" w:rsidP="0003479B">
            <w:pPr>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t>↓ oedema volume, leukocyte infiltration</w:t>
            </w:r>
          </w:p>
        </w:tc>
        <w:tc>
          <w:tcPr>
            <w:tcW w:w="2127" w:type="dxa"/>
            <w:vAlign w:val="center"/>
          </w:tcPr>
          <w:p w:rsidR="0096012E" w:rsidRPr="008367BF" w:rsidRDefault="0096012E" w:rsidP="0003479B">
            <w:pPr>
              <w:keepNext/>
              <w:spacing w:line="276" w:lineRule="auto"/>
              <w:jc w:val="center"/>
              <w:rPr>
                <w:rFonts w:ascii="Times New Roman" w:hAnsi="Times New Roman" w:cs="Times New Roman"/>
                <w:sz w:val="24"/>
                <w:szCs w:val="24"/>
              </w:rPr>
            </w:pPr>
            <w:r w:rsidRPr="008367BF">
              <w:rPr>
                <w:rFonts w:ascii="Times New Roman" w:hAnsi="Times New Roman" w:cs="Times New Roman"/>
                <w:sz w:val="24"/>
                <w:szCs w:val="24"/>
              </w:rPr>
              <w:fldChar w:fldCharType="begin" w:fldLock="1"/>
            </w:r>
            <w:r w:rsidRPr="008367BF">
              <w:rPr>
                <w:rFonts w:ascii="Times New Roman" w:hAnsi="Times New Roman" w:cs="Times New Roman"/>
                <w:sz w:val="24"/>
                <w:szCs w:val="24"/>
              </w:rPr>
              <w:instrText>ADDIN CSL_CITATION {"citationItems":[{"id":"ITEM-1","itemData":{"DOI":"10.1016/j.ejpb.2016.09.008","abstract":"The aim of this study was to enhance the anti-inflammatory effects of carbon monoxide (CO) via sustained release of CO from carbon monoxide-releasing molecule-2-loaded lipid nanoparticles (CORM-2-NPs). CORM-2-NPs were prepared by hot high pressure homogenization method using trilaurin as a solid lipid core and Tween 20/Span 20/Myrj S40 as surfactant mixture. The physicochemical properties of CORM-2-NPs were characterized and CO release from CORM-2-NPs was assessed by myoglobin assay. In vitro anti-inflammatory effects were evaluated by nitric oxide assay in lipopolysaccharide-stimulated RAW 264.7 macrophages. In vivo anti-inflammatory activity was investigated by measuring paw volumes and histological examination in carrageenan-induced rat paw edema. Spherical CORM-2-NPs were around 100 nm with narrow particle size distribution. The sustained CO release from CORM-2-NPs was observed and the half-life of CO release increased up to 10 times compared with CORM-2 solution. CORM-2-NPs showed enhanced in vitro anti-inflammatory effects by inhibition of nitric oxide production. Edema volume in rat paw was significantly reduced after treatment with CORM-2-NPs. Taken together, CORM-2-NPs have a great potential for CO therapeutics against inflammation via sustained release of CO.","author":[{"dropping-particle":"","family":"Qureshi","given":"Omer Salman","non-dropping-particle":"","parse-names":false,"suffix":""},{"dropping-particle":"","family":"Zeb","given":"Alam","non-dropping-particle":"","parse-names":false,"suffix":""},{"dropping-particle":"","family":"Akram","given":"Muhammad","non-dropping-particle":"","parse-names":false,"suffix":""},{"dropping-particle":"","family":"Kim","given":"Myung-Sic","non-dropping-particle":"","parse-names":false,"suffix":""},{"dropping-particle":"","family":"Kang","given":"Jong-Ho","non-dropping-particle":"","parse-names":false,"suffix":""},{"dropping-particle":"","family":"Kim","given":"Hoo-Seong","non-dropping-particle":"","parse-names":false,"suffix":""},{"dropping-particle":"","family":"Majid","given":"Arshad","non-dropping-particle":"","parse-names":false,"suffix":""},{"dropping-particle":"","family":"Han","given":"Inbo","non-dropping-particle":"","parse-names":false,"suffix":""},{"dropping-particle":"","family":"Chang","given":"Sun-Young","non-dropping-particle":"","parse-names":false,"suffix":""},{"dropping-particle":"","family":"Bae","given":"Ok-Nam","non-dropping-particle":"","parse-names":false,"suffix":""},{"dropping-particle":"","family":"Kim","given":"Jin-Ki","non-dropping-particle":"","parse-names":false,"suffix":""}],"id":"ITEM-1","issued":{"date-parts":[["2016"]]},"title":"Enhanced acute anti-inflammatory effects of CORM-2-loaded nanoparticles via sustained carbon monoxide delivery","type":"article-journal"},"uris":["http://www.mendeley.com/documents/?uuid=f209d123-7e67-3b2d-8457-41f9a0742dc1"]}],"mendeley":{"formattedCitation":"(Qureshi, Zeb, Akram, M.-S. Kim, &lt;i&gt;et al.&lt;/i&gt;, 2016)","plainTextFormattedCitation":"(Qureshi, Zeb, Akram, M.-S. Kim, et al., 2016)","previouslyFormattedCitation":"(Qureshi, Zeb, Akram, M.-S. Kim, &lt;i&gt;et al.&lt;/i&gt;, 2016)"},"properties":{"noteIndex":0},"schema":"https://github.com/citation-style-language/schema/raw/master/csl-citation.json"}</w:instrText>
            </w:r>
            <w:r w:rsidRPr="008367BF">
              <w:rPr>
                <w:rFonts w:ascii="Times New Roman" w:hAnsi="Times New Roman" w:cs="Times New Roman"/>
                <w:sz w:val="24"/>
                <w:szCs w:val="24"/>
              </w:rPr>
              <w:fldChar w:fldCharType="separate"/>
            </w:r>
            <w:r w:rsidRPr="008367BF">
              <w:rPr>
                <w:rFonts w:ascii="Times New Roman" w:hAnsi="Times New Roman" w:cs="Times New Roman"/>
                <w:noProof/>
                <w:sz w:val="24"/>
                <w:szCs w:val="24"/>
              </w:rPr>
              <w:t xml:space="preserve">(Qureshi, Zeb, Akram, M.-S. Kim, </w:t>
            </w:r>
            <w:r w:rsidRPr="008367BF">
              <w:rPr>
                <w:rFonts w:ascii="Times New Roman" w:hAnsi="Times New Roman" w:cs="Times New Roman"/>
                <w:i/>
                <w:noProof/>
                <w:sz w:val="24"/>
                <w:szCs w:val="24"/>
              </w:rPr>
              <w:t>et al.</w:t>
            </w:r>
            <w:r w:rsidRPr="008367BF">
              <w:rPr>
                <w:rFonts w:ascii="Times New Roman" w:hAnsi="Times New Roman" w:cs="Times New Roman"/>
                <w:noProof/>
                <w:sz w:val="24"/>
                <w:szCs w:val="24"/>
              </w:rPr>
              <w:t>, 2016)</w:t>
            </w:r>
            <w:r w:rsidRPr="008367BF">
              <w:rPr>
                <w:rFonts w:ascii="Times New Roman" w:hAnsi="Times New Roman" w:cs="Times New Roman"/>
                <w:sz w:val="24"/>
                <w:szCs w:val="24"/>
              </w:rPr>
              <w:fldChar w:fldCharType="end"/>
            </w:r>
          </w:p>
        </w:tc>
      </w:tr>
    </w:tbl>
    <w:p w:rsidR="0096012E" w:rsidRPr="008367BF" w:rsidRDefault="0096012E" w:rsidP="0096012E">
      <w:pPr>
        <w:jc w:val="both"/>
        <w:rPr>
          <w:rFonts w:ascii="Times New Roman" w:hAnsi="Times New Roman" w:cs="Times New Roman"/>
          <w:sz w:val="24"/>
          <w:szCs w:val="24"/>
        </w:rPr>
      </w:pPr>
    </w:p>
    <w:p w:rsidR="00F461A8" w:rsidRDefault="0096012E" w:rsidP="0096012E">
      <w:pPr>
        <w:jc w:val="both"/>
      </w:pPr>
      <w:r w:rsidRPr="008367BF">
        <w:rPr>
          <w:rFonts w:ascii="Times New Roman" w:hAnsi="Times New Roman" w:cs="Times New Roman"/>
          <w:sz w:val="24"/>
          <w:szCs w:val="24"/>
        </w:rPr>
        <w:t xml:space="preserve">Abbreviations: CCI – chronic constriction injury; CFA – complete Freud's adjuvant; SNL – spinal nerve ligation; SNI – spared nerve injury; PSL – partial sciatic ligation; SNI – spared nerve injury; SNL – spinal nerve ligation; SLNs – solid lipid nanoparticles; STZ – </w:t>
      </w:r>
      <w:proofErr w:type="spellStart"/>
      <w:r w:rsidRPr="008367BF">
        <w:rPr>
          <w:rFonts w:ascii="Times New Roman" w:hAnsi="Times New Roman" w:cs="Times New Roman"/>
          <w:sz w:val="24"/>
          <w:szCs w:val="24"/>
        </w:rPr>
        <w:t>streptozotocin</w:t>
      </w:r>
      <w:proofErr w:type="spellEnd"/>
      <w:r w:rsidRPr="008367BF">
        <w:rPr>
          <w:rFonts w:ascii="Times New Roman" w:hAnsi="Times New Roman" w:cs="Times New Roman"/>
          <w:sz w:val="24"/>
          <w:szCs w:val="24"/>
        </w:rPr>
        <w:t xml:space="preserve">; MA – mechanical allodynia; MH – mechanical hyperalgesia; TA – thermal allodynia; TH – thermal hyperalgesia; WT – wild type; NOS1-KO – NOS-1 knockout; NOS2-KO – NOS-2 knockout; HO‐1 – </w:t>
      </w:r>
      <w:proofErr w:type="spellStart"/>
      <w:r w:rsidRPr="008367BF">
        <w:rPr>
          <w:rFonts w:ascii="Times New Roman" w:hAnsi="Times New Roman" w:cs="Times New Roman"/>
          <w:sz w:val="24"/>
          <w:szCs w:val="24"/>
        </w:rPr>
        <w:t>heme</w:t>
      </w:r>
      <w:proofErr w:type="spellEnd"/>
      <w:r w:rsidRPr="008367BF">
        <w:rPr>
          <w:rFonts w:ascii="Times New Roman" w:hAnsi="Times New Roman" w:cs="Times New Roman"/>
          <w:sz w:val="24"/>
          <w:szCs w:val="24"/>
        </w:rPr>
        <w:t xml:space="preserve"> oxygenase-1; HO-2 – </w:t>
      </w:r>
      <w:proofErr w:type="spellStart"/>
      <w:r w:rsidRPr="008367BF">
        <w:rPr>
          <w:rFonts w:ascii="Times New Roman" w:hAnsi="Times New Roman" w:cs="Times New Roman"/>
          <w:sz w:val="24"/>
          <w:szCs w:val="24"/>
        </w:rPr>
        <w:t>heme</w:t>
      </w:r>
      <w:proofErr w:type="spellEnd"/>
      <w:r w:rsidRPr="008367BF">
        <w:rPr>
          <w:rFonts w:ascii="Times New Roman" w:hAnsi="Times New Roman" w:cs="Times New Roman"/>
          <w:sz w:val="24"/>
          <w:szCs w:val="24"/>
        </w:rPr>
        <w:t xml:space="preserve"> oxygenase-2; NOS-1 – nitric oxidase-1; NOS-2 – nitric oxidase-2; GFAP – glial fibrillary acidic protein  CD11b – integrin αM; Iba-1 – ionised binding adapter; IL-1β – interleukin-1β, TNF-α – </w:t>
      </w:r>
      <w:proofErr w:type="spellStart"/>
      <w:r w:rsidRPr="008367BF">
        <w:rPr>
          <w:rFonts w:ascii="Times New Roman" w:hAnsi="Times New Roman" w:cs="Times New Roman"/>
          <w:sz w:val="24"/>
          <w:szCs w:val="24"/>
        </w:rPr>
        <w:t>tumor</w:t>
      </w:r>
      <w:proofErr w:type="spellEnd"/>
      <w:r w:rsidRPr="008367BF">
        <w:rPr>
          <w:rFonts w:ascii="Times New Roman" w:hAnsi="Times New Roman" w:cs="Times New Roman"/>
          <w:sz w:val="24"/>
          <w:szCs w:val="24"/>
        </w:rPr>
        <w:t xml:space="preserve"> necrosis factor-α; TBARS – </w:t>
      </w:r>
      <w:proofErr w:type="spellStart"/>
      <w:r w:rsidRPr="008367BF">
        <w:rPr>
          <w:rFonts w:ascii="Times New Roman" w:hAnsi="Times New Roman" w:cs="Times New Roman"/>
          <w:sz w:val="24"/>
          <w:szCs w:val="24"/>
        </w:rPr>
        <w:t>thiobarbituric</w:t>
      </w:r>
      <w:proofErr w:type="spellEnd"/>
      <w:r w:rsidRPr="008367BF">
        <w:rPr>
          <w:rFonts w:ascii="Times New Roman" w:hAnsi="Times New Roman" w:cs="Times New Roman"/>
          <w:sz w:val="24"/>
          <w:szCs w:val="24"/>
        </w:rPr>
        <w:t xml:space="preserve"> acid reactive substance; SOD – superoxide dismutase; MAPK – mitogen-activated protein kinase; NRF-2 – nuclear factor erythroid 2-related factor 2; NQO1 – NADPH </w:t>
      </w:r>
      <w:proofErr w:type="spellStart"/>
      <w:r w:rsidRPr="008367BF">
        <w:rPr>
          <w:rFonts w:ascii="Times New Roman" w:hAnsi="Times New Roman" w:cs="Times New Roman"/>
          <w:sz w:val="24"/>
          <w:szCs w:val="24"/>
        </w:rPr>
        <w:t>quinone</w:t>
      </w:r>
      <w:proofErr w:type="spellEnd"/>
      <w:r w:rsidRPr="008367BF">
        <w:rPr>
          <w:rFonts w:ascii="Times New Roman" w:hAnsi="Times New Roman" w:cs="Times New Roman"/>
          <w:sz w:val="24"/>
          <w:szCs w:val="24"/>
        </w:rPr>
        <w:t xml:space="preserve"> oxidoreductase; CB2R – cannabinoid receptor-2; MOR – µ-opioid receptor; DOP – δ-opioid receptor; </w:t>
      </w:r>
      <w:proofErr w:type="spellStart"/>
      <w:r w:rsidRPr="008367BF">
        <w:rPr>
          <w:rFonts w:ascii="Times New Roman" w:hAnsi="Times New Roman" w:cs="Times New Roman"/>
          <w:sz w:val="24"/>
          <w:szCs w:val="24"/>
        </w:rPr>
        <w:t>iNOS</w:t>
      </w:r>
      <w:proofErr w:type="spellEnd"/>
      <w:r w:rsidRPr="008367BF">
        <w:rPr>
          <w:rFonts w:ascii="Times New Roman" w:hAnsi="Times New Roman" w:cs="Times New Roman"/>
          <w:sz w:val="24"/>
          <w:szCs w:val="24"/>
        </w:rPr>
        <w:t xml:space="preserve"> – inducible nitric oxide synthase; </w:t>
      </w:r>
      <w:proofErr w:type="spellStart"/>
      <w:r w:rsidRPr="008367BF">
        <w:rPr>
          <w:rFonts w:ascii="Times New Roman" w:hAnsi="Times New Roman" w:cs="Times New Roman"/>
          <w:sz w:val="24"/>
          <w:szCs w:val="24"/>
        </w:rPr>
        <w:t>nNOS</w:t>
      </w:r>
      <w:proofErr w:type="spellEnd"/>
      <w:r w:rsidRPr="008367BF">
        <w:rPr>
          <w:rFonts w:ascii="Times New Roman" w:hAnsi="Times New Roman" w:cs="Times New Roman"/>
          <w:sz w:val="24"/>
          <w:szCs w:val="24"/>
        </w:rPr>
        <w:t xml:space="preserve"> – neuronal nitric oxide synthase; IL-10 – interleukin-10; CCL-2 – C-C chemokine motif ligand 2; CCL-3 – C-C chemokine motif ligand 3; Casp-3 – caspase-3; TUNEL – terminal </w:t>
      </w:r>
      <w:proofErr w:type="spellStart"/>
      <w:r w:rsidRPr="008367BF">
        <w:rPr>
          <w:rFonts w:ascii="Times New Roman" w:hAnsi="Times New Roman" w:cs="Times New Roman"/>
          <w:sz w:val="24"/>
          <w:szCs w:val="24"/>
        </w:rPr>
        <w:t>deoxynucleotidyl</w:t>
      </w:r>
      <w:proofErr w:type="spellEnd"/>
      <w:r w:rsidRPr="008367BF">
        <w:rPr>
          <w:rFonts w:ascii="Times New Roman" w:hAnsi="Times New Roman" w:cs="Times New Roman"/>
          <w:sz w:val="24"/>
          <w:szCs w:val="24"/>
        </w:rPr>
        <w:t xml:space="preserve"> transferase </w:t>
      </w:r>
      <w:proofErr w:type="spellStart"/>
      <w:r w:rsidRPr="008367BF">
        <w:rPr>
          <w:rFonts w:ascii="Times New Roman" w:hAnsi="Times New Roman" w:cs="Times New Roman"/>
          <w:sz w:val="24"/>
          <w:szCs w:val="24"/>
        </w:rPr>
        <w:t>dUTP</w:t>
      </w:r>
      <w:proofErr w:type="spellEnd"/>
      <w:r w:rsidRPr="008367BF">
        <w:rPr>
          <w:rFonts w:ascii="Times New Roman" w:hAnsi="Times New Roman" w:cs="Times New Roman"/>
          <w:sz w:val="24"/>
          <w:szCs w:val="24"/>
        </w:rPr>
        <w:t xml:space="preserve"> nick end labelling; NT-3 – neurotrophin-3; BDNF – brain-derived neurotrophic factor; NF-H – </w:t>
      </w:r>
      <w:proofErr w:type="spellStart"/>
      <w:r w:rsidRPr="008367BF">
        <w:rPr>
          <w:rFonts w:ascii="Times New Roman" w:hAnsi="Times New Roman" w:cs="Times New Roman"/>
          <w:sz w:val="24"/>
          <w:szCs w:val="24"/>
        </w:rPr>
        <w:t>neurofilament</w:t>
      </w:r>
      <w:proofErr w:type="spellEnd"/>
      <w:r w:rsidRPr="008367BF">
        <w:rPr>
          <w:rFonts w:ascii="Times New Roman" w:hAnsi="Times New Roman" w:cs="Times New Roman"/>
          <w:sz w:val="24"/>
          <w:szCs w:val="24"/>
        </w:rPr>
        <w:t xml:space="preserve"> heavy; p-Akt – phosphorylated Akt; ARG-1 – arginase-1; ZO – zona </w:t>
      </w:r>
      <w:proofErr w:type="spellStart"/>
      <w:r w:rsidRPr="008367BF">
        <w:rPr>
          <w:rFonts w:ascii="Times New Roman" w:hAnsi="Times New Roman" w:cs="Times New Roman"/>
          <w:sz w:val="24"/>
          <w:szCs w:val="24"/>
        </w:rPr>
        <w:t>occludin</w:t>
      </w:r>
      <w:proofErr w:type="spellEnd"/>
      <w:r w:rsidRPr="008367BF">
        <w:rPr>
          <w:rFonts w:ascii="Times New Roman" w:hAnsi="Times New Roman" w:cs="Times New Roman"/>
          <w:sz w:val="24"/>
          <w:szCs w:val="24"/>
        </w:rPr>
        <w:t>; RECA-1 – rat endothelial cells antigen-1; ANGPT-1 – angiopoietin-1; PECAM-1 – platelet endothelial cell adhesion molecule-1; JWH-015 – selective CB2R agonist; DPDPE – [D-Pen(2),D-Pen(5)]-</w:t>
      </w:r>
      <w:proofErr w:type="spellStart"/>
      <w:r w:rsidRPr="008367BF">
        <w:rPr>
          <w:rFonts w:ascii="Times New Roman" w:hAnsi="Times New Roman" w:cs="Times New Roman"/>
          <w:sz w:val="24"/>
          <w:szCs w:val="24"/>
        </w:rPr>
        <w:t>Enkephalin</w:t>
      </w:r>
      <w:proofErr w:type="spellEnd"/>
      <w:r w:rsidRPr="008367BF">
        <w:rPr>
          <w:rFonts w:ascii="Times New Roman" w:hAnsi="Times New Roman" w:cs="Times New Roman"/>
          <w:sz w:val="24"/>
          <w:szCs w:val="24"/>
        </w:rPr>
        <w:t xml:space="preserve"> (DOR agonist); EPSCs – excitatory postsynaptic potentials; Cx43 – connexin-43; CD68  – Cluster of Differentiation 68; α2δ1 – neuronal thrombospondins receptor responsible for synaptogenesis; arg-1 – arginine-1; p-ERK ½ – phosphorylated extracellular signal-regulated kinases ½; p-JNK – phosphorylated c-Jun N-terminal kinases; DRG – dorsal root ganglion; </w:t>
      </w:r>
      <w:proofErr w:type="spellStart"/>
      <w:r w:rsidRPr="008367BF">
        <w:rPr>
          <w:rFonts w:ascii="Times New Roman" w:hAnsi="Times New Roman" w:cs="Times New Roman"/>
          <w:sz w:val="24"/>
          <w:szCs w:val="24"/>
        </w:rPr>
        <w:t>ip</w:t>
      </w:r>
      <w:proofErr w:type="spellEnd"/>
      <w:r w:rsidRPr="008367BF">
        <w:rPr>
          <w:rFonts w:ascii="Times New Roman" w:hAnsi="Times New Roman" w:cs="Times New Roman"/>
          <w:sz w:val="24"/>
          <w:szCs w:val="24"/>
        </w:rPr>
        <w:t xml:space="preserve"> – intraperitoneal; it – intrathecal and </w:t>
      </w:r>
      <w:proofErr w:type="spellStart"/>
      <w:r w:rsidRPr="008367BF">
        <w:rPr>
          <w:rFonts w:ascii="Times New Roman" w:hAnsi="Times New Roman" w:cs="Times New Roman"/>
          <w:sz w:val="24"/>
          <w:szCs w:val="24"/>
        </w:rPr>
        <w:t>sc</w:t>
      </w:r>
      <w:proofErr w:type="spellEnd"/>
      <w:r w:rsidRPr="008367BF">
        <w:rPr>
          <w:rFonts w:ascii="Times New Roman" w:hAnsi="Times New Roman" w:cs="Times New Roman"/>
          <w:sz w:val="24"/>
          <w:szCs w:val="24"/>
        </w:rPr>
        <w:t xml:space="preserve"> – subcutaneous.</w:t>
      </w:r>
      <w:bookmarkStart w:id="2" w:name="_GoBack"/>
      <w:bookmarkEnd w:id="2"/>
    </w:p>
    <w:sectPr w:rsidR="00F461A8" w:rsidSect="009601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2E"/>
    <w:rsid w:val="0096012E"/>
    <w:rsid w:val="00F461A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58E8E-B056-4C2E-9DD1-30B28F71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60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601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D7655-3549-4F8F-BC2A-9B3BB2EDE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10001</Words>
  <Characters>57008</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2022-12-18T07:51:00Z</dcterms:created>
  <dcterms:modified xsi:type="dcterms:W3CDTF">2022-12-18T07:53:00Z</dcterms:modified>
</cp:coreProperties>
</file>