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F9613" w14:textId="77777777" w:rsidR="006277A2" w:rsidRDefault="006277A2" w:rsidP="006277A2">
      <w:r>
        <w:t>Supplemental Methods</w:t>
      </w:r>
    </w:p>
    <w:p w14:paraId="23DD21AF" w14:textId="77777777" w:rsidR="006277A2" w:rsidRDefault="006277A2" w:rsidP="006277A2">
      <w:r>
        <w:t>7-loci Amplification Procedure</w:t>
      </w:r>
    </w:p>
    <w:p w14:paraId="7561F4B0" w14:textId="77777777" w:rsidR="006277A2" w:rsidRDefault="006277A2" w:rsidP="006277A2">
      <w:r>
        <w:t>DNA extractions were done using the protocol provided with a Promega Wizard Genomic DNA Purification kit. Extracted DNA was re-hydrated in 100 µl of water and stored at -20</w:t>
      </w:r>
      <w:r w:rsidRPr="002F61C1">
        <w:t>°</w:t>
      </w:r>
      <w:r>
        <w:t>C prior to being used for PCR amplification of microsatellite DNA alleles.</w:t>
      </w:r>
    </w:p>
    <w:p w14:paraId="49F4F408" w14:textId="77777777" w:rsidR="006277A2" w:rsidRDefault="006277A2" w:rsidP="006277A2">
      <w:r>
        <w:t xml:space="preserve">Forward primers for each locus were fluorescently labeled with tetramethyl rhodamine (TET). The 25.5 µl PCR reaction mix for each sample consisted of 1.5 µl of the hydrated DNA extraction, 1.0 µl (10 pmol/µl) each of labeled forward and unlabelled reverse primers, </w:t>
      </w:r>
      <w:r w:rsidRPr="00E408D0">
        <w:t>0.6 µ</w:t>
      </w:r>
      <w:r>
        <w:t>l</w:t>
      </w:r>
      <w:r w:rsidRPr="00E408D0">
        <w:t xml:space="preserve"> dNTP (10 mM of each dNTP</w:t>
      </w:r>
      <w:r>
        <w:t xml:space="preserve">: </w:t>
      </w:r>
      <w:r w:rsidRPr="00E408D0">
        <w:t>Roche Diagnostics</w:t>
      </w:r>
      <w:r>
        <w:t xml:space="preserve">), 0.15 µl Taq polymerase (New England Biolabs), </w:t>
      </w:r>
      <w:r w:rsidRPr="00C701AA">
        <w:t xml:space="preserve">2.5 </w:t>
      </w:r>
      <w:r>
        <w:t>µl</w:t>
      </w:r>
      <w:r w:rsidRPr="00C701AA">
        <w:t xml:space="preserve"> </w:t>
      </w:r>
      <w:r>
        <w:t xml:space="preserve">homemade </w:t>
      </w:r>
      <w:r w:rsidRPr="00C701AA">
        <w:t xml:space="preserve">PCR Buffer </w:t>
      </w:r>
      <w:r>
        <w:t>[each ml consisted of 25 µl 1M MgCl</w:t>
      </w:r>
      <w:r>
        <w:rPr>
          <w:vertAlign w:val="subscript"/>
        </w:rPr>
        <w:t xml:space="preserve">2, </w:t>
      </w:r>
      <w:r>
        <w:t xml:space="preserve">100 µl 1M Tris (pH 8.3), </w:t>
      </w:r>
      <w:r w:rsidRPr="000C3261">
        <w:t xml:space="preserve">500 µl 1M KCl, </w:t>
      </w:r>
      <w:r>
        <w:t>80</w:t>
      </w:r>
      <w:r w:rsidRPr="000C3261">
        <w:t xml:space="preserve"> µl Bovine S</w:t>
      </w:r>
      <w:r>
        <w:t xml:space="preserve">erum </w:t>
      </w:r>
      <w:r w:rsidRPr="000C3261">
        <w:t>A</w:t>
      </w:r>
      <w:r>
        <w:t xml:space="preserve">lbumin (BSA: 10 mg/mL: Sigma), </w:t>
      </w:r>
      <w:r w:rsidRPr="000C3261">
        <w:t xml:space="preserve">50 µl 2% gelatin (Sigma), </w:t>
      </w:r>
      <w:r>
        <w:t>245 µl water], and 18.75 µl water. The PCR reaction was initiated with a 1 min denaturation at 94</w:t>
      </w:r>
      <w:r w:rsidRPr="00D2266C">
        <w:rPr>
          <w:vertAlign w:val="superscript"/>
        </w:rPr>
        <w:t>o</w:t>
      </w:r>
      <w:r>
        <w:rPr>
          <w:vertAlign w:val="superscript"/>
        </w:rPr>
        <w:t xml:space="preserve"> </w:t>
      </w:r>
      <w:r>
        <w:t>C followed by 30 cycles of 94</w:t>
      </w:r>
      <w:r w:rsidRPr="002F61C1">
        <w:t>°</w:t>
      </w:r>
      <w:r>
        <w:t>C (45 sec) / annealing temperature of 56</w:t>
      </w:r>
      <w:r w:rsidRPr="002F61C1">
        <w:t>°</w:t>
      </w:r>
      <w:r>
        <w:t xml:space="preserve">C [Atex102, Atex141], </w:t>
      </w:r>
      <w:r w:rsidRPr="00AB095F">
        <w:t>57</w:t>
      </w:r>
      <w:r w:rsidRPr="002F61C1">
        <w:t>°</w:t>
      </w:r>
      <w:r w:rsidRPr="00AB095F">
        <w:t>C [AjeD94, AjeD346, AjeD422, Atex74] or 58</w:t>
      </w:r>
      <w:r w:rsidRPr="002F61C1">
        <w:t>°</w:t>
      </w:r>
      <w:r w:rsidRPr="00AB095F">
        <w:t>C [AjeD283]</w:t>
      </w:r>
      <w:r>
        <w:t xml:space="preserve"> (45 sec) </w:t>
      </w:r>
      <w:r w:rsidRPr="00AB095F">
        <w:t>/ 72</w:t>
      </w:r>
      <w:r w:rsidRPr="002F61C1">
        <w:t>°</w:t>
      </w:r>
      <w:r>
        <w:t>C extension (30 sec). PCR products were electrophoresed on vertical, 6 % denaturing polyacrylamide gels alongside</w:t>
      </w:r>
      <w:r w:rsidRPr="003D26EA">
        <w:rPr>
          <w:color w:val="000000"/>
        </w:rPr>
        <w:t xml:space="preserve"> </w:t>
      </w:r>
      <w:r w:rsidRPr="00C06A2B">
        <w:rPr>
          <w:color w:val="000000"/>
        </w:rPr>
        <w:t xml:space="preserve">a </w:t>
      </w:r>
      <w:r>
        <w:t>Genescan</w:t>
      </w:r>
      <w:r>
        <w:rPr>
          <w:vertAlign w:val="superscript"/>
        </w:rPr>
        <w:t>TM</w:t>
      </w:r>
      <w:r>
        <w:t xml:space="preserve">-350 </w:t>
      </w:r>
      <w:r w:rsidRPr="00C06A2B">
        <w:rPr>
          <w:color w:val="000000"/>
        </w:rPr>
        <w:t xml:space="preserve">TAMRA size standard </w:t>
      </w:r>
      <w:r>
        <w:rPr>
          <w:color w:val="000000"/>
        </w:rPr>
        <w:t>ladder</w:t>
      </w:r>
      <w:r>
        <w:t>. G</w:t>
      </w:r>
      <w:r w:rsidRPr="00C06A2B">
        <w:rPr>
          <w:color w:val="000000"/>
        </w:rPr>
        <w:t xml:space="preserve">els were scanned </w:t>
      </w:r>
      <w:r>
        <w:rPr>
          <w:color w:val="000000"/>
        </w:rPr>
        <w:t>with</w:t>
      </w:r>
      <w:r w:rsidRPr="00C06A2B">
        <w:rPr>
          <w:color w:val="000000"/>
        </w:rPr>
        <w:t xml:space="preserve"> a</w:t>
      </w:r>
      <w:r>
        <w:rPr>
          <w:color w:val="000000"/>
        </w:rPr>
        <w:t>n</w:t>
      </w:r>
      <w:r w:rsidRPr="00C06A2B">
        <w:rPr>
          <w:color w:val="000000"/>
        </w:rPr>
        <w:t xml:space="preserve"> Hitachi FMBioII</w:t>
      </w:r>
      <w:r>
        <w:rPr>
          <w:color w:val="000000"/>
        </w:rPr>
        <w:t>I</w:t>
      </w:r>
      <w:r w:rsidRPr="00C06A2B">
        <w:rPr>
          <w:color w:val="000000"/>
        </w:rPr>
        <w:t xml:space="preserve"> imager and </w:t>
      </w:r>
      <w:r>
        <w:rPr>
          <w:color w:val="000000"/>
        </w:rPr>
        <w:t xml:space="preserve">the PCR products (bands) </w:t>
      </w:r>
      <w:r w:rsidRPr="00C06A2B">
        <w:rPr>
          <w:color w:val="000000"/>
        </w:rPr>
        <w:t xml:space="preserve">were scored relative to </w:t>
      </w:r>
      <w:r>
        <w:rPr>
          <w:color w:val="000000"/>
        </w:rPr>
        <w:t xml:space="preserve">the ladder </w:t>
      </w:r>
      <w:r w:rsidRPr="00C06A2B">
        <w:rPr>
          <w:color w:val="000000"/>
        </w:rPr>
        <w:t>using Hitachi FMBioII</w:t>
      </w:r>
      <w:r>
        <w:rPr>
          <w:color w:val="000000"/>
        </w:rPr>
        <w:t>I</w:t>
      </w:r>
      <w:r w:rsidRPr="00C06A2B">
        <w:rPr>
          <w:color w:val="000000"/>
        </w:rPr>
        <w:t xml:space="preserve"> </w:t>
      </w:r>
      <w:r>
        <w:rPr>
          <w:color w:val="000000"/>
        </w:rPr>
        <w:t>i</w:t>
      </w:r>
      <w:r w:rsidRPr="00C06A2B">
        <w:rPr>
          <w:color w:val="000000"/>
        </w:rPr>
        <w:t>maging software.</w:t>
      </w:r>
      <w:r>
        <w:rPr>
          <w:color w:val="000000"/>
        </w:rPr>
        <w:t xml:space="preserve"> </w:t>
      </w:r>
      <w:r>
        <w:t xml:space="preserve">PCR reactions of the same samples were repeated, and the position of the samples on the gel was changed to minimize possible scoring errors. </w:t>
      </w:r>
    </w:p>
    <w:p w14:paraId="5542A68E" w14:textId="77777777" w:rsidR="006277A2" w:rsidRDefault="006277A2" w:rsidP="006277A2"/>
    <w:p w14:paraId="78FC72A5" w14:textId="77777777" w:rsidR="006277A2" w:rsidRDefault="006277A2" w:rsidP="006277A2">
      <w:r>
        <w:t>14-loci Amplification Procedure</w:t>
      </w:r>
    </w:p>
    <w:p w14:paraId="07C714B6" w14:textId="77777777" w:rsidR="006277A2" w:rsidRDefault="006277A2" w:rsidP="006277A2">
      <w:r>
        <w:t>DNA extractions were done following a standard ethanol precipitation procedure. Extracted DNA was re-hydrated in 200 µl of water and stored at -20</w:t>
      </w:r>
      <w:r w:rsidRPr="002F61C1">
        <w:t>°</w:t>
      </w:r>
      <w:r>
        <w:t>C prior to being used for PCR amplification of microsatellite DNA alleles.</w:t>
      </w:r>
    </w:p>
    <w:p w14:paraId="7B724BD3" w14:textId="160E6C9A" w:rsidR="006277A2" w:rsidRPr="00861127" w:rsidRDefault="006277A2" w:rsidP="006277A2">
      <w:r>
        <w:t xml:space="preserve">In addition to the previous seven loci used in the 7-loci procedure, seven more loci were chosen to further enhance genotype resolution. Of the additional loci, Atex102 and AmaD321 were </w:t>
      </w:r>
      <w:r>
        <w:rPr>
          <w:i/>
          <w:iCs/>
        </w:rPr>
        <w:t xml:space="preserve">A. texanum </w:t>
      </w:r>
      <w:r>
        <w:t xml:space="preserve">specific; AmaD42, AmaD367, and AcroD315 were </w:t>
      </w:r>
      <w:r>
        <w:rPr>
          <w:i/>
          <w:iCs/>
        </w:rPr>
        <w:t xml:space="preserve">A. laterale </w:t>
      </w:r>
      <w:r>
        <w:t xml:space="preserve">specific; AjeD23 and AjeD75 were monomorphic in </w:t>
      </w:r>
      <w:r>
        <w:rPr>
          <w:i/>
          <w:iCs/>
        </w:rPr>
        <w:t xml:space="preserve">A. texanum </w:t>
      </w:r>
      <w:r>
        <w:t xml:space="preserve">and varied in </w:t>
      </w:r>
      <w:r>
        <w:rPr>
          <w:i/>
          <w:iCs/>
        </w:rPr>
        <w:t>A. laterale</w:t>
      </w:r>
      <w:r>
        <w:t xml:space="preserve">; and AmmH123 had multiple alleles for both hosts. AmaD321 appears to have undergone a duplication event as diploid </w:t>
      </w:r>
      <w:r>
        <w:rPr>
          <w:i/>
          <w:iCs/>
        </w:rPr>
        <w:t xml:space="preserve">A. texanum </w:t>
      </w:r>
      <w:r>
        <w:t>regularly had three, and sometimes four, distinct alleles. Atex141 was found to primarily have 2-bp long stutter bands with some alleles having 4-bp stutter bands, though do not appear to be from different locations on the genome – these traits were considered informative and identified for each sample. Allele size ranges and overall allele richness are provided in Sup</w:t>
      </w:r>
      <w:r w:rsidR="00853498">
        <w:t>p. 2</w:t>
      </w:r>
      <w:r>
        <w:t>.</w:t>
      </w:r>
    </w:p>
    <w:p w14:paraId="6AD3E951" w14:textId="5CD1C1C2" w:rsidR="006277A2" w:rsidRDefault="006277A2" w:rsidP="006277A2">
      <w:r>
        <w:t xml:space="preserve">Forward primers for each locus were fluorescently tagged with one of four labels: NED, HEX, 6-FAM, or ROX. Four multiplex reactions (detailed in Supp </w:t>
      </w:r>
      <w:r w:rsidR="00853498">
        <w:t>2</w:t>
      </w:r>
      <w:r>
        <w:t xml:space="preserve">) were developed and optimized based on protocols provided by QIAGEN Multiplex Kit (cat. 206145) to avoid allele size overlap of loci with identical tags (Supp. </w:t>
      </w:r>
      <w:r w:rsidR="00853498">
        <w:t>2</w:t>
      </w:r>
      <w:r>
        <w:t>). All multiplexes were initiated with a 15 min denaturation at 94</w:t>
      </w:r>
      <w:r w:rsidRPr="002F61C1">
        <w:t>°</w:t>
      </w:r>
      <w:r>
        <w:t>C, followed by 40 cycles of 94</w:t>
      </w:r>
      <w:r w:rsidRPr="002F61C1">
        <w:t>°</w:t>
      </w:r>
      <w:r>
        <w:t>C (30 sec) / annealing temperature of 53</w:t>
      </w:r>
      <w:r w:rsidRPr="002F61C1">
        <w:t>°</w:t>
      </w:r>
      <w:r>
        <w:t>C [multiplex 3], 55</w:t>
      </w:r>
      <w:r w:rsidRPr="002F61C1">
        <w:t>°</w:t>
      </w:r>
      <w:r>
        <w:t>C [multiplex 1], or 56</w:t>
      </w:r>
      <w:r w:rsidRPr="002F61C1">
        <w:t>°</w:t>
      </w:r>
      <w:r>
        <w:t>C [multiplexes 2 and 4] (90 sec)/ 72</w:t>
      </w:r>
      <w:r w:rsidRPr="002F61C1">
        <w:t>°</w:t>
      </w:r>
      <w:r>
        <w:t>C extension (60 sec). A final extension step was run at 72</w:t>
      </w:r>
      <w:r w:rsidRPr="002F61C1">
        <w:t>°</w:t>
      </w:r>
      <w:r>
        <w:t xml:space="preserve">C for 30 min. </w:t>
      </w:r>
      <w:r w:rsidRPr="00FF3E96">
        <w:t>PCR outputs were read using a</w:t>
      </w:r>
      <w:r w:rsidR="00FF3E96">
        <w:t>n Applied Biosystems 3730xl sequence analyzer</w:t>
      </w:r>
      <w:r>
        <w:t xml:space="preserve"> with either GeneScan™ 500 ROX™ size </w:t>
      </w:r>
      <w:r>
        <w:lastRenderedPageBreak/>
        <w:t xml:space="preserve">standard [multiplexes 1 and 2] or GeneScan™ 500 LIZ™ size standard [multiplexes 3 and 4]. Trace reads were screened using Geneious 2022.2. </w:t>
      </w:r>
    </w:p>
    <w:p w14:paraId="00D9AEEB" w14:textId="662A541D" w:rsidR="006277A2" w:rsidRDefault="006277A2">
      <w:r>
        <w:br w:type="page"/>
      </w:r>
    </w:p>
    <w:p w14:paraId="43ECBEFA" w14:textId="22D5D85A" w:rsidR="00B22924" w:rsidRDefault="00B22924" w:rsidP="00B22924">
      <w:pPr>
        <w:keepNext/>
        <w:jc w:val="center"/>
      </w:pPr>
      <w:r w:rsidRPr="00B22924">
        <w:rPr>
          <w:noProof/>
        </w:rPr>
        <w:lastRenderedPageBreak/>
        <w:drawing>
          <wp:inline distT="0" distB="0" distL="0" distR="0" wp14:anchorId="6B6576D6" wp14:editId="73142308">
            <wp:extent cx="5891580" cy="4505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tretch>
                      <a:fillRect/>
                    </a:stretch>
                  </pic:blipFill>
                  <pic:spPr>
                    <a:xfrm>
                      <a:off x="0" y="0"/>
                      <a:ext cx="5916024" cy="4524018"/>
                    </a:xfrm>
                    <a:prstGeom prst="rect">
                      <a:avLst/>
                    </a:prstGeom>
                  </pic:spPr>
                </pic:pic>
              </a:graphicData>
            </a:graphic>
          </wp:inline>
        </w:drawing>
      </w:r>
    </w:p>
    <w:p w14:paraId="6C67669E" w14:textId="152FC0B3" w:rsidR="00B22924" w:rsidRDefault="00B22924" w:rsidP="00794C14">
      <w:pPr>
        <w:pStyle w:val="Caption"/>
        <w:rPr>
          <w:rFonts w:ascii="Times New Roman" w:hAnsi="Times New Roman" w:cs="Times New Roman"/>
          <w:i w:val="0"/>
          <w:iCs w:val="0"/>
          <w:color w:val="000000" w:themeColor="text1"/>
          <w:sz w:val="24"/>
          <w:szCs w:val="24"/>
        </w:rPr>
      </w:pPr>
      <w:r w:rsidRPr="00815FAD">
        <w:rPr>
          <w:rFonts w:ascii="Times New Roman" w:hAnsi="Times New Roman" w:cs="Times New Roman"/>
          <w:b/>
          <w:bCs/>
          <w:i w:val="0"/>
          <w:iCs w:val="0"/>
          <w:color w:val="000000" w:themeColor="text1"/>
          <w:sz w:val="24"/>
          <w:szCs w:val="24"/>
        </w:rPr>
        <w:t xml:space="preserve">Figure </w:t>
      </w:r>
      <w:r w:rsidR="0024598B">
        <w:rPr>
          <w:rFonts w:ascii="Times New Roman" w:hAnsi="Times New Roman" w:cs="Times New Roman"/>
          <w:b/>
          <w:bCs/>
          <w:i w:val="0"/>
          <w:iCs w:val="0"/>
          <w:color w:val="000000" w:themeColor="text1"/>
          <w:sz w:val="24"/>
          <w:szCs w:val="24"/>
        </w:rPr>
        <w:t>1.</w:t>
      </w:r>
      <w:r w:rsidR="00973958">
        <w:rPr>
          <w:rFonts w:ascii="Times New Roman" w:hAnsi="Times New Roman" w:cs="Times New Roman"/>
          <w:b/>
          <w:bCs/>
          <w:i w:val="0"/>
          <w:iCs w:val="0"/>
          <w:color w:val="000000" w:themeColor="text1"/>
          <w:sz w:val="24"/>
          <w:szCs w:val="24"/>
        </w:rPr>
        <w:t xml:space="preserve"> Relative</w:t>
      </w:r>
      <w:r w:rsidR="0013606F">
        <w:rPr>
          <w:rFonts w:ascii="Times New Roman" w:hAnsi="Times New Roman" w:cs="Times New Roman"/>
          <w:i w:val="0"/>
          <w:iCs w:val="0"/>
          <w:color w:val="000000" w:themeColor="text1"/>
          <w:sz w:val="24"/>
          <w:szCs w:val="24"/>
        </w:rPr>
        <w:t xml:space="preserve"> abundances of both hosts (</w:t>
      </w:r>
      <w:r w:rsidR="0013606F">
        <w:rPr>
          <w:rFonts w:ascii="Times New Roman" w:hAnsi="Times New Roman" w:cs="Times New Roman"/>
          <w:color w:val="000000" w:themeColor="text1"/>
          <w:sz w:val="24"/>
          <w:szCs w:val="24"/>
        </w:rPr>
        <w:t xml:space="preserve">A. laterale, </w:t>
      </w:r>
      <w:r w:rsidR="0013606F">
        <w:rPr>
          <w:rFonts w:ascii="Times New Roman" w:hAnsi="Times New Roman" w:cs="Times New Roman"/>
          <w:i w:val="0"/>
          <w:iCs w:val="0"/>
          <w:color w:val="000000" w:themeColor="text1"/>
          <w:sz w:val="24"/>
          <w:szCs w:val="24"/>
        </w:rPr>
        <w:t xml:space="preserve">LL; </w:t>
      </w:r>
      <w:r w:rsidR="0013606F">
        <w:rPr>
          <w:rFonts w:ascii="Times New Roman" w:hAnsi="Times New Roman" w:cs="Times New Roman"/>
          <w:color w:val="000000" w:themeColor="text1"/>
          <w:sz w:val="24"/>
          <w:szCs w:val="24"/>
        </w:rPr>
        <w:t>A. texanum</w:t>
      </w:r>
      <w:r w:rsidR="0013606F">
        <w:rPr>
          <w:rFonts w:ascii="Times New Roman" w:hAnsi="Times New Roman" w:cs="Times New Roman"/>
          <w:i w:val="0"/>
          <w:iCs w:val="0"/>
          <w:color w:val="000000" w:themeColor="text1"/>
          <w:sz w:val="24"/>
          <w:szCs w:val="24"/>
        </w:rPr>
        <w:t>, TT) and the unisexual genomotypes (LT, LLT, LTT, and LTTT)</w:t>
      </w:r>
      <w:r w:rsidR="00973958">
        <w:rPr>
          <w:rFonts w:ascii="Times New Roman" w:hAnsi="Times New Roman" w:cs="Times New Roman"/>
          <w:i w:val="0"/>
          <w:iCs w:val="0"/>
          <w:color w:val="000000" w:themeColor="text1"/>
          <w:sz w:val="24"/>
          <w:szCs w:val="24"/>
        </w:rPr>
        <w:t xml:space="preserve"> by site arranged in cluster groups</w:t>
      </w:r>
      <w:r w:rsidR="0013606F">
        <w:rPr>
          <w:rFonts w:ascii="Times New Roman" w:hAnsi="Times New Roman" w:cs="Times New Roman"/>
          <w:i w:val="0"/>
          <w:iCs w:val="0"/>
          <w:color w:val="000000" w:themeColor="text1"/>
          <w:sz w:val="24"/>
          <w:szCs w:val="24"/>
        </w:rPr>
        <w:t xml:space="preserve">. </w:t>
      </w:r>
    </w:p>
    <w:p w14:paraId="295C4DA6" w14:textId="551B9446" w:rsidR="00382724" w:rsidRDefault="00382724">
      <w:r>
        <w:br w:type="page"/>
      </w:r>
    </w:p>
    <w:p w14:paraId="18D391B3" w14:textId="3A608949" w:rsidR="0013606F" w:rsidRDefault="00FF296C" w:rsidP="0013606F">
      <w:pPr>
        <w:keepNext/>
        <w:jc w:val="center"/>
      </w:pPr>
      <w:r>
        <w:rPr>
          <w:noProof/>
        </w:rPr>
        <w:lastRenderedPageBreak/>
        <mc:AlternateContent>
          <mc:Choice Requires="wps">
            <w:drawing>
              <wp:anchor distT="45720" distB="45720" distL="114300" distR="114300" simplePos="0" relativeHeight="251661312" behindDoc="0" locked="0" layoutInCell="1" allowOverlap="1" wp14:anchorId="13F54478" wp14:editId="00816AD9">
                <wp:simplePos x="0" y="0"/>
                <wp:positionH relativeFrom="margin">
                  <wp:posOffset>3133090</wp:posOffset>
                </wp:positionH>
                <wp:positionV relativeFrom="paragraph">
                  <wp:posOffset>9525</wp:posOffset>
                </wp:positionV>
                <wp:extent cx="428625" cy="285750"/>
                <wp:effectExtent l="0" t="0" r="952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85750"/>
                        </a:xfrm>
                        <a:prstGeom prst="rect">
                          <a:avLst/>
                        </a:prstGeom>
                        <a:solidFill>
                          <a:srgbClr val="FFFFFF"/>
                        </a:solidFill>
                        <a:ln w="9525">
                          <a:noFill/>
                          <a:miter lim="800000"/>
                          <a:headEnd/>
                          <a:tailEnd/>
                        </a:ln>
                      </wps:spPr>
                      <wps:txbx>
                        <w:txbxContent>
                          <w:p w14:paraId="76EA6817" w14:textId="21569A83" w:rsidR="00794C14" w:rsidRPr="00382724" w:rsidRDefault="00794C14" w:rsidP="00794C14">
                            <w:pPr>
                              <w:rPr>
                                <w:rFonts w:ascii="Arial" w:hAnsi="Arial" w:cs="Arial"/>
                                <w:sz w:val="24"/>
                                <w:szCs w:val="24"/>
                              </w:rPr>
                            </w:pPr>
                            <w:r w:rsidRPr="00382724">
                              <w:rPr>
                                <w:rFonts w:ascii="Arial" w:hAnsi="Arial" w:cs="Arial"/>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F54478" id="_x0000_t202" coordsize="21600,21600" o:spt="202" path="m,l,21600r21600,l21600,xe">
                <v:stroke joinstyle="miter"/>
                <v:path gradientshapeok="t" o:connecttype="rect"/>
              </v:shapetype>
              <v:shape id="Text Box 2" o:spid="_x0000_s1026" type="#_x0000_t202" style="position:absolute;left:0;text-align:left;margin-left:246.7pt;margin-top:.75pt;width:33.75pt;height:2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" stroked="f">
                <v:textbox>
                  <w:txbxContent>
                    <w:p w14:paraId="76EA6817" w14:textId="21569A83" w:rsidR="00794C14" w:rsidRPr="00382724" w:rsidRDefault="00794C14" w:rsidP="00794C14">
                      <w:pPr>
                        <w:rPr>
                          <w:rFonts w:ascii="Arial" w:hAnsi="Arial" w:cs="Arial"/>
                          <w:sz w:val="24"/>
                          <w:szCs w:val="24"/>
                        </w:rPr>
                      </w:pPr>
                      <w:r w:rsidRPr="00382724">
                        <w:rPr>
                          <w:rFonts w:ascii="Arial" w:hAnsi="Arial" w:cs="Arial"/>
                          <w:sz w:val="24"/>
                          <w:szCs w:val="24"/>
                        </w:rPr>
                        <w:t>B)</w:t>
                      </w:r>
                    </w:p>
                  </w:txbxContent>
                </v:textbox>
                <w10:wrap anchorx="margin"/>
              </v:shape>
            </w:pict>
          </mc:Fallback>
        </mc:AlternateContent>
      </w:r>
      <w:r w:rsidR="00382724">
        <w:rPr>
          <w:noProof/>
        </w:rPr>
        <mc:AlternateContent>
          <mc:Choice Requires="wps">
            <w:drawing>
              <wp:anchor distT="45720" distB="45720" distL="114300" distR="114300" simplePos="0" relativeHeight="251659264" behindDoc="0" locked="0" layoutInCell="1" allowOverlap="1" wp14:anchorId="7E99B4B1" wp14:editId="572B9F87">
                <wp:simplePos x="0" y="0"/>
                <wp:positionH relativeFrom="margin">
                  <wp:posOffset>57149</wp:posOffset>
                </wp:positionH>
                <wp:positionV relativeFrom="paragraph">
                  <wp:posOffset>9525</wp:posOffset>
                </wp:positionV>
                <wp:extent cx="428625" cy="28575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85750"/>
                        </a:xfrm>
                        <a:prstGeom prst="rect">
                          <a:avLst/>
                        </a:prstGeom>
                        <a:solidFill>
                          <a:srgbClr val="FFFFFF"/>
                        </a:solidFill>
                        <a:ln w="9525">
                          <a:noFill/>
                          <a:miter lim="800000"/>
                          <a:headEnd/>
                          <a:tailEnd/>
                        </a:ln>
                      </wps:spPr>
                      <wps:txbx>
                        <w:txbxContent>
                          <w:p w14:paraId="7AB41525" w14:textId="2F9687F0" w:rsidR="00794C14" w:rsidRPr="00382724" w:rsidRDefault="00794C14">
                            <w:pPr>
                              <w:rPr>
                                <w:rFonts w:ascii="Arial" w:hAnsi="Arial" w:cs="Arial"/>
                                <w:sz w:val="24"/>
                                <w:szCs w:val="24"/>
                              </w:rPr>
                            </w:pPr>
                            <w:r w:rsidRPr="00382724">
                              <w:rPr>
                                <w:rFonts w:ascii="Arial" w:hAnsi="Arial" w:cs="Arial"/>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9B4B1" id="_x0000_s1027" type="#_x0000_t202" style="position:absolute;left:0;text-align:left;margin-left:4.5pt;margin-top:.75pt;width:33.75pt;height:2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" stroked="f">
                <v:textbox>
                  <w:txbxContent>
                    <w:p w14:paraId="7AB41525" w14:textId="2F9687F0" w:rsidR="00794C14" w:rsidRPr="00382724" w:rsidRDefault="00794C14">
                      <w:pPr>
                        <w:rPr>
                          <w:rFonts w:ascii="Arial" w:hAnsi="Arial" w:cs="Arial"/>
                          <w:sz w:val="24"/>
                          <w:szCs w:val="24"/>
                        </w:rPr>
                      </w:pPr>
                      <w:r w:rsidRPr="00382724">
                        <w:rPr>
                          <w:rFonts w:ascii="Arial" w:hAnsi="Arial" w:cs="Arial"/>
                          <w:sz w:val="24"/>
                          <w:szCs w:val="24"/>
                        </w:rPr>
                        <w:t>A)</w:t>
                      </w:r>
                    </w:p>
                  </w:txbxContent>
                </v:textbox>
                <w10:wrap anchorx="margin"/>
              </v:shape>
            </w:pict>
          </mc:Fallback>
        </mc:AlternateContent>
      </w:r>
      <w:r w:rsidR="00B22924" w:rsidRPr="00B22924">
        <w:rPr>
          <w:noProof/>
        </w:rPr>
        <w:drawing>
          <wp:inline distT="0" distB="0" distL="0" distR="0" wp14:anchorId="09C6B814" wp14:editId="0EEFFB62">
            <wp:extent cx="5941686" cy="324421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l="555" t="-8956" r="5083"/>
                    <a:stretch/>
                  </pic:blipFill>
                  <pic:spPr bwMode="auto">
                    <a:xfrm>
                      <a:off x="0" y="0"/>
                      <a:ext cx="5942330" cy="3244566"/>
                    </a:xfrm>
                    <a:prstGeom prst="rect">
                      <a:avLst/>
                    </a:prstGeom>
                    <a:ln>
                      <a:noFill/>
                    </a:ln>
                    <a:extLst>
                      <a:ext uri="{53640926-AAD7-44D8-BBD7-CCE9431645EC}">
                        <a14:shadowObscured xmlns:a14="http://schemas.microsoft.com/office/drawing/2010/main"/>
                      </a:ext>
                    </a:extLst>
                  </pic:spPr>
                </pic:pic>
              </a:graphicData>
            </a:graphic>
          </wp:inline>
        </w:drawing>
      </w:r>
    </w:p>
    <w:p w14:paraId="7FFCE6FE" w14:textId="7DB10596" w:rsidR="007773D5" w:rsidRPr="0013606F" w:rsidRDefault="0013606F" w:rsidP="00794C14">
      <w:pPr>
        <w:pStyle w:val="Caption"/>
        <w:rPr>
          <w:rFonts w:ascii="Times New Roman" w:hAnsi="Times New Roman" w:cs="Times New Roman"/>
          <w:i w:val="0"/>
          <w:iCs w:val="0"/>
          <w:color w:val="000000" w:themeColor="text1"/>
          <w:sz w:val="24"/>
          <w:szCs w:val="24"/>
        </w:rPr>
      </w:pPr>
      <w:r w:rsidRPr="00243D93">
        <w:rPr>
          <w:rFonts w:ascii="Times New Roman" w:hAnsi="Times New Roman" w:cs="Times New Roman"/>
          <w:b/>
          <w:bCs/>
          <w:i w:val="0"/>
          <w:iCs w:val="0"/>
          <w:color w:val="000000" w:themeColor="text1"/>
          <w:sz w:val="24"/>
          <w:szCs w:val="24"/>
        </w:rPr>
        <w:t xml:space="preserve">Figure </w:t>
      </w:r>
      <w:r w:rsidR="0024598B">
        <w:rPr>
          <w:rFonts w:ascii="Times New Roman" w:hAnsi="Times New Roman" w:cs="Times New Roman"/>
          <w:b/>
          <w:bCs/>
          <w:i w:val="0"/>
          <w:iCs w:val="0"/>
          <w:color w:val="000000" w:themeColor="text1"/>
          <w:sz w:val="24"/>
          <w:szCs w:val="24"/>
        </w:rPr>
        <w:t>2</w:t>
      </w:r>
      <w:r w:rsidRPr="00243D93">
        <w:rPr>
          <w:rFonts w:ascii="Times New Roman" w:hAnsi="Times New Roman" w:cs="Times New Roman"/>
          <w:b/>
          <w:bCs/>
          <w:i w:val="0"/>
          <w:iCs w:val="0"/>
          <w:color w:val="000000" w:themeColor="text1"/>
          <w:sz w:val="24"/>
          <w:szCs w:val="24"/>
        </w:rPr>
        <w:t>.</w:t>
      </w:r>
      <w:r>
        <w:rPr>
          <w:rFonts w:ascii="Times New Roman" w:hAnsi="Times New Roman" w:cs="Times New Roman"/>
          <w:i w:val="0"/>
          <w:iCs w:val="0"/>
          <w:color w:val="000000" w:themeColor="text1"/>
          <w:sz w:val="24"/>
          <w:szCs w:val="24"/>
        </w:rPr>
        <w:t xml:space="preserve"> Corrplot (A) of all Bray-Curtis similarities (1 - dissimilarity) displayed as pie charts above diagonal and numeric values below diagonal</w:t>
      </w:r>
      <w:r w:rsidR="00794C14">
        <w:rPr>
          <w:rFonts w:ascii="Times New Roman" w:hAnsi="Times New Roman" w:cs="Times New Roman"/>
          <w:i w:val="0"/>
          <w:iCs w:val="0"/>
          <w:color w:val="000000" w:themeColor="text1"/>
          <w:sz w:val="24"/>
          <w:szCs w:val="24"/>
        </w:rPr>
        <w:t>.</w:t>
      </w:r>
      <w:r>
        <w:rPr>
          <w:rFonts w:ascii="Times New Roman" w:hAnsi="Times New Roman" w:cs="Times New Roman"/>
          <w:i w:val="0"/>
          <w:iCs w:val="0"/>
          <w:color w:val="000000" w:themeColor="text1"/>
          <w:sz w:val="24"/>
          <w:szCs w:val="24"/>
        </w:rPr>
        <w:t xml:space="preserve"> </w:t>
      </w:r>
      <w:r w:rsidR="00794C14">
        <w:rPr>
          <w:rFonts w:ascii="Times New Roman" w:hAnsi="Times New Roman" w:cs="Times New Roman"/>
          <w:i w:val="0"/>
          <w:iCs w:val="0"/>
          <w:color w:val="000000" w:themeColor="text1"/>
          <w:sz w:val="24"/>
          <w:szCs w:val="24"/>
        </w:rPr>
        <w:t>Site clusters are enclosed in squares</w:t>
      </w:r>
      <w:r>
        <w:rPr>
          <w:rFonts w:ascii="Times New Roman" w:hAnsi="Times New Roman" w:cs="Times New Roman"/>
          <w:i w:val="0"/>
          <w:iCs w:val="0"/>
          <w:color w:val="000000" w:themeColor="text1"/>
          <w:sz w:val="24"/>
          <w:szCs w:val="24"/>
        </w:rPr>
        <w:t>. Bray-Curtis dendrogram aligned to map (B)</w:t>
      </w:r>
      <w:r w:rsidR="00794C14">
        <w:rPr>
          <w:rFonts w:ascii="Times New Roman" w:hAnsi="Times New Roman" w:cs="Times New Roman"/>
          <w:i w:val="0"/>
          <w:iCs w:val="0"/>
          <w:color w:val="000000" w:themeColor="text1"/>
          <w:sz w:val="24"/>
          <w:szCs w:val="24"/>
        </w:rPr>
        <w:t xml:space="preserve"> along with geographic Mantel test result</w:t>
      </w:r>
      <w:r>
        <w:rPr>
          <w:rFonts w:ascii="Times New Roman" w:hAnsi="Times New Roman" w:cs="Times New Roman"/>
          <w:i w:val="0"/>
          <w:iCs w:val="0"/>
          <w:color w:val="000000" w:themeColor="text1"/>
          <w:sz w:val="24"/>
          <w:szCs w:val="24"/>
        </w:rPr>
        <w:t>.</w:t>
      </w:r>
      <w:r w:rsidR="00794C14">
        <w:rPr>
          <w:rFonts w:ascii="Times New Roman" w:hAnsi="Times New Roman" w:cs="Times New Roman"/>
          <w:i w:val="0"/>
          <w:iCs w:val="0"/>
          <w:color w:val="000000" w:themeColor="text1"/>
          <w:sz w:val="24"/>
          <w:szCs w:val="24"/>
        </w:rPr>
        <w:t xml:space="preserve"> Site clusters are colored following the scheme from the corrplot (A).</w:t>
      </w:r>
      <w:r>
        <w:rPr>
          <w:rFonts w:ascii="Times New Roman" w:hAnsi="Times New Roman" w:cs="Times New Roman"/>
          <w:i w:val="0"/>
          <w:iCs w:val="0"/>
          <w:color w:val="000000" w:themeColor="text1"/>
          <w:sz w:val="24"/>
          <w:szCs w:val="24"/>
        </w:rPr>
        <w:t xml:space="preserve"> </w:t>
      </w:r>
    </w:p>
    <w:p w14:paraId="5DED5F0A" w14:textId="041F1AFA" w:rsidR="00382724" w:rsidRDefault="00382724">
      <w:r>
        <w:br w:type="page"/>
      </w:r>
    </w:p>
    <w:p w14:paraId="78C558DC" w14:textId="58B4F39B" w:rsidR="00794C14" w:rsidRDefault="00B22924" w:rsidP="00382724">
      <w:pPr>
        <w:keepNext/>
        <w:jc w:val="center"/>
      </w:pPr>
      <w:r>
        <w:rPr>
          <w:noProof/>
        </w:rPr>
        <w:lastRenderedPageBreak/>
        <w:drawing>
          <wp:inline distT="0" distB="0" distL="0" distR="0" wp14:anchorId="4C7CF2A5" wp14:editId="53E9CCDA">
            <wp:extent cx="5848350" cy="36092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3541" cy="3612470"/>
                    </a:xfrm>
                    <a:prstGeom prst="rect">
                      <a:avLst/>
                    </a:prstGeom>
                    <a:noFill/>
                  </pic:spPr>
                </pic:pic>
              </a:graphicData>
            </a:graphic>
          </wp:inline>
        </w:drawing>
      </w:r>
    </w:p>
    <w:p w14:paraId="46C5C696" w14:textId="588E430D" w:rsidR="00B22924" w:rsidRPr="00794C14" w:rsidRDefault="00794C14" w:rsidP="00794C14">
      <w:pPr>
        <w:pStyle w:val="Caption"/>
        <w:rPr>
          <w:rFonts w:ascii="Times New Roman" w:hAnsi="Times New Roman" w:cs="Times New Roman"/>
          <w:i w:val="0"/>
          <w:iCs w:val="0"/>
          <w:color w:val="000000" w:themeColor="text1"/>
          <w:sz w:val="24"/>
          <w:szCs w:val="24"/>
        </w:rPr>
      </w:pPr>
      <w:r w:rsidRPr="00243D93">
        <w:rPr>
          <w:rFonts w:ascii="Times New Roman" w:hAnsi="Times New Roman" w:cs="Times New Roman"/>
          <w:b/>
          <w:bCs/>
          <w:i w:val="0"/>
          <w:iCs w:val="0"/>
          <w:color w:val="000000" w:themeColor="text1"/>
          <w:sz w:val="24"/>
          <w:szCs w:val="24"/>
        </w:rPr>
        <w:t xml:space="preserve">Figure </w:t>
      </w:r>
      <w:r w:rsidR="0024598B">
        <w:rPr>
          <w:rFonts w:ascii="Times New Roman" w:hAnsi="Times New Roman" w:cs="Times New Roman"/>
          <w:b/>
          <w:bCs/>
          <w:i w:val="0"/>
          <w:iCs w:val="0"/>
          <w:color w:val="000000" w:themeColor="text1"/>
          <w:sz w:val="24"/>
          <w:szCs w:val="24"/>
        </w:rPr>
        <w:t>3</w:t>
      </w:r>
      <w:r w:rsidRPr="00243D93">
        <w:rPr>
          <w:rFonts w:ascii="Times New Roman" w:hAnsi="Times New Roman" w:cs="Times New Roman"/>
          <w:b/>
          <w:bCs/>
          <w:i w:val="0"/>
          <w:iCs w:val="0"/>
          <w:color w:val="000000" w:themeColor="text1"/>
          <w:sz w:val="24"/>
          <w:szCs w:val="24"/>
        </w:rPr>
        <w:t>.</w:t>
      </w:r>
      <w:r>
        <w:rPr>
          <w:rFonts w:ascii="Times New Roman" w:hAnsi="Times New Roman" w:cs="Times New Roman"/>
          <w:i w:val="0"/>
          <w:iCs w:val="0"/>
          <w:color w:val="000000" w:themeColor="text1"/>
          <w:sz w:val="24"/>
          <w:szCs w:val="24"/>
        </w:rPr>
        <w:t xml:space="preserve"> Screeplot of PCoA </w:t>
      </w:r>
      <w:r w:rsidR="0024598B">
        <w:rPr>
          <w:rFonts w:ascii="Times New Roman" w:hAnsi="Times New Roman" w:cs="Times New Roman"/>
          <w:i w:val="0"/>
          <w:iCs w:val="0"/>
          <w:color w:val="000000" w:themeColor="text1"/>
          <w:sz w:val="24"/>
          <w:szCs w:val="24"/>
        </w:rPr>
        <w:t>proportion of explained variances</w:t>
      </w:r>
      <w:r>
        <w:rPr>
          <w:rFonts w:ascii="Times New Roman" w:hAnsi="Times New Roman" w:cs="Times New Roman"/>
          <w:i w:val="0"/>
          <w:iCs w:val="0"/>
          <w:color w:val="000000" w:themeColor="text1"/>
          <w:sz w:val="24"/>
          <w:szCs w:val="24"/>
        </w:rPr>
        <w:t xml:space="preserve"> (solid) and comparative broken stick (dashed) with red line where </w:t>
      </w:r>
      <w:r w:rsidR="0024598B">
        <w:rPr>
          <w:rFonts w:ascii="Times New Roman" w:hAnsi="Times New Roman" w:cs="Times New Roman"/>
          <w:i w:val="0"/>
          <w:iCs w:val="0"/>
          <w:color w:val="000000" w:themeColor="text1"/>
          <w:sz w:val="24"/>
          <w:szCs w:val="24"/>
        </w:rPr>
        <w:t>explained variance</w:t>
      </w:r>
      <w:r>
        <w:rPr>
          <w:rFonts w:ascii="Times New Roman" w:hAnsi="Times New Roman" w:cs="Times New Roman"/>
          <w:i w:val="0"/>
          <w:iCs w:val="0"/>
          <w:color w:val="000000" w:themeColor="text1"/>
          <w:sz w:val="24"/>
          <w:szCs w:val="24"/>
        </w:rPr>
        <w:t xml:space="preserve"> fall below broken stick indicating loss of informative value.</w:t>
      </w:r>
    </w:p>
    <w:sectPr w:rsidR="00B22924" w:rsidRPr="00794C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24"/>
    <w:rsid w:val="000070AD"/>
    <w:rsid w:val="000B1D30"/>
    <w:rsid w:val="00124245"/>
    <w:rsid w:val="0013606F"/>
    <w:rsid w:val="00243D93"/>
    <w:rsid w:val="0024598B"/>
    <w:rsid w:val="00382724"/>
    <w:rsid w:val="004269F4"/>
    <w:rsid w:val="004A1FFA"/>
    <w:rsid w:val="006277A2"/>
    <w:rsid w:val="006C5962"/>
    <w:rsid w:val="007773D5"/>
    <w:rsid w:val="00794C14"/>
    <w:rsid w:val="00815FAD"/>
    <w:rsid w:val="00853498"/>
    <w:rsid w:val="00973958"/>
    <w:rsid w:val="00AC114F"/>
    <w:rsid w:val="00B22924"/>
    <w:rsid w:val="00BD51A2"/>
    <w:rsid w:val="00E2797A"/>
    <w:rsid w:val="00FF296C"/>
    <w:rsid w:val="00FF3E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55DD0"/>
  <w15:chartTrackingRefBased/>
  <w15:docId w15:val="{5D125C43-7E9F-4023-9ABD-57DD5AA21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22924"/>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AC114F"/>
    <w:rPr>
      <w:sz w:val="16"/>
      <w:szCs w:val="16"/>
    </w:rPr>
  </w:style>
  <w:style w:type="paragraph" w:styleId="CommentText">
    <w:name w:val="annotation text"/>
    <w:basedOn w:val="Normal"/>
    <w:link w:val="CommentTextChar"/>
    <w:uiPriority w:val="99"/>
    <w:unhideWhenUsed/>
    <w:rsid w:val="00AC114F"/>
    <w:pPr>
      <w:spacing w:line="240" w:lineRule="auto"/>
    </w:pPr>
    <w:rPr>
      <w:sz w:val="20"/>
      <w:szCs w:val="20"/>
    </w:rPr>
  </w:style>
  <w:style w:type="character" w:customStyle="1" w:styleId="CommentTextChar">
    <w:name w:val="Comment Text Char"/>
    <w:basedOn w:val="DefaultParagraphFont"/>
    <w:link w:val="CommentText"/>
    <w:uiPriority w:val="99"/>
    <w:rsid w:val="00AC114F"/>
    <w:rPr>
      <w:sz w:val="20"/>
      <w:szCs w:val="20"/>
    </w:rPr>
  </w:style>
  <w:style w:type="paragraph" w:styleId="CommentSubject">
    <w:name w:val="annotation subject"/>
    <w:basedOn w:val="CommentText"/>
    <w:next w:val="CommentText"/>
    <w:link w:val="CommentSubjectChar"/>
    <w:uiPriority w:val="99"/>
    <w:semiHidden/>
    <w:unhideWhenUsed/>
    <w:rsid w:val="00AC114F"/>
    <w:rPr>
      <w:b/>
      <w:bCs/>
    </w:rPr>
  </w:style>
  <w:style w:type="character" w:customStyle="1" w:styleId="CommentSubjectChar">
    <w:name w:val="Comment Subject Char"/>
    <w:basedOn w:val="CommentTextChar"/>
    <w:link w:val="CommentSubject"/>
    <w:uiPriority w:val="99"/>
    <w:semiHidden/>
    <w:rsid w:val="00AC11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Bare</dc:creator>
  <cp:keywords/>
  <dc:description/>
  <cp:lastModifiedBy>Evan Bare</cp:lastModifiedBy>
  <cp:revision>4</cp:revision>
  <dcterms:created xsi:type="dcterms:W3CDTF">2023-02-16T18:55:00Z</dcterms:created>
  <dcterms:modified xsi:type="dcterms:W3CDTF">2023-03-17T18:23:00Z</dcterms:modified>
</cp:coreProperties>
</file>