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F952" w14:textId="77777777" w:rsidR="00972F8C" w:rsidRDefault="00972F8C" w:rsidP="00972F8C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35F68825" w14:textId="77777777" w:rsidR="00972F8C" w:rsidRPr="009C2C3E" w:rsidRDefault="00972F8C" w:rsidP="00972F8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C2C3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9C2C3E">
        <w:rPr>
          <w:rFonts w:ascii="Times New Roman" w:hAnsi="Times New Roman" w:cs="Times New Roman"/>
          <w:b/>
          <w:bCs/>
          <w:lang w:val="en-US"/>
        </w:rPr>
        <w:t>1</w:t>
      </w:r>
    </w:p>
    <w:p w14:paraId="4DD1C69C" w14:textId="77777777" w:rsidR="00972F8C" w:rsidRPr="009C2C3E" w:rsidRDefault="00972F8C" w:rsidP="00972F8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C2C3E">
        <w:rPr>
          <w:rFonts w:ascii="Times New Roman" w:hAnsi="Times New Roman" w:cs="Times New Roman"/>
          <w:lang w:val="en-US"/>
        </w:rPr>
        <w:t xml:space="preserve">The distribution of cases across the surgical specialties included in this study. </w:t>
      </w:r>
      <w:r>
        <w:rPr>
          <w:rFonts w:ascii="Times New Roman" w:hAnsi="Times New Roman" w:cs="Times New Roman"/>
          <w:lang w:val="en-US"/>
        </w:rPr>
        <w:br/>
        <w:t>SSSI: Superficial Surgical Site Infection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4"/>
        <w:gridCol w:w="1245"/>
        <w:gridCol w:w="1379"/>
        <w:gridCol w:w="936"/>
        <w:gridCol w:w="1391"/>
        <w:gridCol w:w="1290"/>
      </w:tblGrid>
      <w:tr w:rsidR="00972F8C" w:rsidRPr="009C2C3E" w14:paraId="5149FEA3" w14:textId="77777777" w:rsidTr="00E26EEF">
        <w:tc>
          <w:tcPr>
            <w:tcW w:w="2274" w:type="dxa"/>
            <w:vAlign w:val="bottom"/>
          </w:tcPr>
          <w:p w14:paraId="03BD405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Surgical specialty</w:t>
            </w:r>
          </w:p>
        </w:tc>
        <w:tc>
          <w:tcPr>
            <w:tcW w:w="3560" w:type="dxa"/>
            <w:gridSpan w:val="3"/>
            <w:vAlign w:val="bottom"/>
          </w:tcPr>
          <w:p w14:paraId="0E5A1224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Number of surgical cases</w:t>
            </w:r>
          </w:p>
        </w:tc>
        <w:tc>
          <w:tcPr>
            <w:tcW w:w="2681" w:type="dxa"/>
            <w:gridSpan w:val="2"/>
          </w:tcPr>
          <w:p w14:paraId="30769BF6" w14:textId="77777777" w:rsidR="00972F8C" w:rsidRPr="009C2C3E" w:rsidRDefault="00972F8C" w:rsidP="00E26EE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SSSI Incidence</w:t>
            </w:r>
          </w:p>
        </w:tc>
      </w:tr>
      <w:tr w:rsidR="00972F8C" w:rsidRPr="009C2C3E" w14:paraId="5A8A38B9" w14:textId="77777777" w:rsidTr="00E26EEF">
        <w:tc>
          <w:tcPr>
            <w:tcW w:w="2274" w:type="dxa"/>
            <w:vAlign w:val="bottom"/>
          </w:tcPr>
          <w:p w14:paraId="1EBA9DFD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784BC687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Training data</w:t>
            </w:r>
          </w:p>
        </w:tc>
        <w:tc>
          <w:tcPr>
            <w:tcW w:w="1379" w:type="dxa"/>
            <w:vAlign w:val="center"/>
          </w:tcPr>
          <w:p w14:paraId="0E0C1E29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Validation data</w:t>
            </w:r>
          </w:p>
        </w:tc>
        <w:tc>
          <w:tcPr>
            <w:tcW w:w="936" w:type="dxa"/>
            <w:vAlign w:val="center"/>
          </w:tcPr>
          <w:p w14:paraId="01EDBAC7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Test data</w:t>
            </w:r>
          </w:p>
        </w:tc>
        <w:tc>
          <w:tcPr>
            <w:tcW w:w="1391" w:type="dxa"/>
            <w:vAlign w:val="center"/>
          </w:tcPr>
          <w:p w14:paraId="18231A65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Validation data</w:t>
            </w:r>
          </w:p>
        </w:tc>
        <w:tc>
          <w:tcPr>
            <w:tcW w:w="1290" w:type="dxa"/>
            <w:vAlign w:val="center"/>
          </w:tcPr>
          <w:p w14:paraId="15B84DB8" w14:textId="77777777" w:rsidR="00972F8C" w:rsidRPr="009C2C3E" w:rsidRDefault="00972F8C" w:rsidP="00E26EE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Test data</w:t>
            </w:r>
          </w:p>
        </w:tc>
      </w:tr>
      <w:tr w:rsidR="00972F8C" w:rsidRPr="009C2C3E" w14:paraId="71E0B432" w14:textId="77777777" w:rsidTr="00E26EEF">
        <w:tc>
          <w:tcPr>
            <w:tcW w:w="2274" w:type="dxa"/>
            <w:vAlign w:val="bottom"/>
          </w:tcPr>
          <w:p w14:paraId="03AF09D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Orthopedic surgery</w:t>
            </w:r>
          </w:p>
        </w:tc>
        <w:tc>
          <w:tcPr>
            <w:tcW w:w="1245" w:type="dxa"/>
            <w:vAlign w:val="bottom"/>
          </w:tcPr>
          <w:p w14:paraId="6D1967E0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101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748</w:t>
            </w:r>
          </w:p>
        </w:tc>
        <w:tc>
          <w:tcPr>
            <w:tcW w:w="1379" w:type="dxa"/>
            <w:vAlign w:val="bottom"/>
          </w:tcPr>
          <w:p w14:paraId="02B2F65D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en-US"/>
              </w:rPr>
              <w:t>,</w:t>
            </w:r>
            <w:r>
              <w:rPr>
                <w:rFonts w:ascii="Calibri" w:hAnsi="Calibri" w:cs="Calibri"/>
                <w:color w:val="000000"/>
              </w:rPr>
              <w:t>070</w:t>
            </w:r>
          </w:p>
        </w:tc>
        <w:tc>
          <w:tcPr>
            <w:tcW w:w="936" w:type="dxa"/>
            <w:vAlign w:val="bottom"/>
          </w:tcPr>
          <w:p w14:paraId="26A1F62C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  <w:tc>
          <w:tcPr>
            <w:tcW w:w="1391" w:type="dxa"/>
            <w:vAlign w:val="center"/>
          </w:tcPr>
          <w:p w14:paraId="2E6DCC28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17 (1.6%)</w:t>
            </w:r>
          </w:p>
        </w:tc>
        <w:tc>
          <w:tcPr>
            <w:tcW w:w="1290" w:type="dxa"/>
            <w:vAlign w:val="center"/>
          </w:tcPr>
          <w:p w14:paraId="453DE0AA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 (1.2%)</w:t>
            </w:r>
          </w:p>
        </w:tc>
      </w:tr>
      <w:tr w:rsidR="00972F8C" w:rsidRPr="009C2C3E" w14:paraId="3F950D28" w14:textId="77777777" w:rsidTr="00E26EEF">
        <w:tc>
          <w:tcPr>
            <w:tcW w:w="2274" w:type="dxa"/>
            <w:vAlign w:val="bottom"/>
          </w:tcPr>
          <w:p w14:paraId="546DC53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General surgery</w:t>
            </w:r>
          </w:p>
        </w:tc>
        <w:tc>
          <w:tcPr>
            <w:tcW w:w="1245" w:type="dxa"/>
            <w:vAlign w:val="bottom"/>
          </w:tcPr>
          <w:p w14:paraId="1233D44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72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519</w:t>
            </w:r>
          </w:p>
        </w:tc>
        <w:tc>
          <w:tcPr>
            <w:tcW w:w="1379" w:type="dxa"/>
            <w:vAlign w:val="bottom"/>
          </w:tcPr>
          <w:p w14:paraId="696386F3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822</w:t>
            </w:r>
          </w:p>
        </w:tc>
        <w:tc>
          <w:tcPr>
            <w:tcW w:w="936" w:type="dxa"/>
            <w:vAlign w:val="bottom"/>
          </w:tcPr>
          <w:p w14:paraId="2A3D0C5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418</w:t>
            </w:r>
          </w:p>
        </w:tc>
        <w:tc>
          <w:tcPr>
            <w:tcW w:w="1391" w:type="dxa"/>
            <w:vAlign w:val="center"/>
          </w:tcPr>
          <w:p w14:paraId="030F4D4F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26 (3.2%)</w:t>
            </w:r>
          </w:p>
        </w:tc>
        <w:tc>
          <w:tcPr>
            <w:tcW w:w="1290" w:type="dxa"/>
            <w:vAlign w:val="center"/>
          </w:tcPr>
          <w:p w14:paraId="7D159228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 (2.6%)</w:t>
            </w:r>
          </w:p>
        </w:tc>
      </w:tr>
      <w:tr w:rsidR="00972F8C" w:rsidRPr="009C2C3E" w14:paraId="46FCC6A5" w14:textId="77777777" w:rsidTr="00E26EEF">
        <w:tc>
          <w:tcPr>
            <w:tcW w:w="2274" w:type="dxa"/>
            <w:vAlign w:val="bottom"/>
          </w:tcPr>
          <w:p w14:paraId="5426956A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Gynecology and obstetrics</w:t>
            </w:r>
          </w:p>
        </w:tc>
        <w:tc>
          <w:tcPr>
            <w:tcW w:w="1245" w:type="dxa"/>
            <w:vAlign w:val="bottom"/>
          </w:tcPr>
          <w:p w14:paraId="673EF433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1379" w:type="dxa"/>
            <w:vAlign w:val="bottom"/>
          </w:tcPr>
          <w:p w14:paraId="752B298E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</w:p>
        </w:tc>
        <w:tc>
          <w:tcPr>
            <w:tcW w:w="936" w:type="dxa"/>
            <w:vAlign w:val="bottom"/>
          </w:tcPr>
          <w:p w14:paraId="13E6356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391" w:type="dxa"/>
            <w:vAlign w:val="center"/>
          </w:tcPr>
          <w:p w14:paraId="019BA456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 (2.7%)</w:t>
            </w:r>
          </w:p>
        </w:tc>
        <w:tc>
          <w:tcPr>
            <w:tcW w:w="1290" w:type="dxa"/>
            <w:vAlign w:val="center"/>
          </w:tcPr>
          <w:p w14:paraId="4AFC2AA5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 (2.5%)</w:t>
            </w:r>
          </w:p>
        </w:tc>
      </w:tr>
      <w:tr w:rsidR="00972F8C" w:rsidRPr="009C2C3E" w14:paraId="73AED3F9" w14:textId="77777777" w:rsidTr="00E26EEF">
        <w:tc>
          <w:tcPr>
            <w:tcW w:w="2274" w:type="dxa"/>
            <w:vAlign w:val="bottom"/>
          </w:tcPr>
          <w:p w14:paraId="6A5D90EA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Urology</w:t>
            </w:r>
          </w:p>
        </w:tc>
        <w:tc>
          <w:tcPr>
            <w:tcW w:w="1245" w:type="dxa"/>
            <w:vAlign w:val="bottom"/>
          </w:tcPr>
          <w:p w14:paraId="228D4D35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29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217</w:t>
            </w:r>
          </w:p>
        </w:tc>
        <w:tc>
          <w:tcPr>
            <w:tcW w:w="1379" w:type="dxa"/>
            <w:vAlign w:val="bottom"/>
          </w:tcPr>
          <w:p w14:paraId="21D7A8D2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367</w:t>
            </w:r>
          </w:p>
        </w:tc>
        <w:tc>
          <w:tcPr>
            <w:tcW w:w="936" w:type="dxa"/>
            <w:vAlign w:val="bottom"/>
          </w:tcPr>
          <w:p w14:paraId="69744D77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391" w:type="dxa"/>
            <w:vAlign w:val="center"/>
          </w:tcPr>
          <w:p w14:paraId="2DCCAB85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 (2.2%)</w:t>
            </w:r>
          </w:p>
        </w:tc>
        <w:tc>
          <w:tcPr>
            <w:tcW w:w="1290" w:type="dxa"/>
            <w:vAlign w:val="center"/>
          </w:tcPr>
          <w:p w14:paraId="1FDCC644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 (0.6%)</w:t>
            </w:r>
          </w:p>
        </w:tc>
      </w:tr>
      <w:tr w:rsidR="00972F8C" w:rsidRPr="009C2C3E" w14:paraId="59685925" w14:textId="77777777" w:rsidTr="00E26EEF">
        <w:tc>
          <w:tcPr>
            <w:tcW w:w="2274" w:type="dxa"/>
            <w:vAlign w:val="bottom"/>
          </w:tcPr>
          <w:p w14:paraId="1506FD4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Cardiothoracic surgery</w:t>
            </w:r>
          </w:p>
        </w:tc>
        <w:tc>
          <w:tcPr>
            <w:tcW w:w="1245" w:type="dxa"/>
            <w:vAlign w:val="bottom"/>
          </w:tcPr>
          <w:p w14:paraId="482F7684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812</w:t>
            </w:r>
          </w:p>
        </w:tc>
        <w:tc>
          <w:tcPr>
            <w:tcW w:w="1379" w:type="dxa"/>
            <w:vAlign w:val="bottom"/>
          </w:tcPr>
          <w:p w14:paraId="5FE28B1B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936" w:type="dxa"/>
            <w:vAlign w:val="bottom"/>
          </w:tcPr>
          <w:p w14:paraId="10FF6CE5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391" w:type="dxa"/>
            <w:vAlign w:val="center"/>
          </w:tcPr>
          <w:p w14:paraId="320137C0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 (4.2%)</w:t>
            </w:r>
          </w:p>
        </w:tc>
        <w:tc>
          <w:tcPr>
            <w:tcW w:w="1290" w:type="dxa"/>
            <w:vAlign w:val="center"/>
          </w:tcPr>
          <w:p w14:paraId="73C4A12E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 (8.9%)</w:t>
            </w:r>
          </w:p>
        </w:tc>
      </w:tr>
      <w:tr w:rsidR="00972F8C" w:rsidRPr="009C2C3E" w14:paraId="7CB6E3E7" w14:textId="77777777" w:rsidTr="00E26EEF">
        <w:tc>
          <w:tcPr>
            <w:tcW w:w="2274" w:type="dxa"/>
            <w:vAlign w:val="bottom"/>
          </w:tcPr>
          <w:p w14:paraId="1330CEF7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Ophthalmic surgery</w:t>
            </w:r>
          </w:p>
        </w:tc>
        <w:tc>
          <w:tcPr>
            <w:tcW w:w="1245" w:type="dxa"/>
            <w:vAlign w:val="bottom"/>
          </w:tcPr>
          <w:p w14:paraId="52808A22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739</w:t>
            </w:r>
          </w:p>
        </w:tc>
        <w:tc>
          <w:tcPr>
            <w:tcW w:w="1379" w:type="dxa"/>
            <w:vAlign w:val="bottom"/>
          </w:tcPr>
          <w:p w14:paraId="2840213B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522</w:t>
            </w:r>
          </w:p>
        </w:tc>
        <w:tc>
          <w:tcPr>
            <w:tcW w:w="936" w:type="dxa"/>
            <w:vAlign w:val="bottom"/>
          </w:tcPr>
          <w:p w14:paraId="3F4796F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1391" w:type="dxa"/>
            <w:vAlign w:val="center"/>
          </w:tcPr>
          <w:p w14:paraId="38778D53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 (0.2%)</w:t>
            </w:r>
          </w:p>
        </w:tc>
        <w:tc>
          <w:tcPr>
            <w:tcW w:w="1290" w:type="dxa"/>
            <w:vAlign w:val="center"/>
          </w:tcPr>
          <w:p w14:paraId="5D756BD6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 (0.5%)</w:t>
            </w:r>
          </w:p>
        </w:tc>
      </w:tr>
      <w:tr w:rsidR="00972F8C" w:rsidRPr="009C2C3E" w14:paraId="3FA516A3" w14:textId="77777777" w:rsidTr="00E26EEF">
        <w:tc>
          <w:tcPr>
            <w:tcW w:w="2274" w:type="dxa"/>
            <w:vAlign w:val="bottom"/>
          </w:tcPr>
          <w:p w14:paraId="0F521C1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Plastic surgery</w:t>
            </w:r>
          </w:p>
        </w:tc>
        <w:tc>
          <w:tcPr>
            <w:tcW w:w="1245" w:type="dxa"/>
            <w:vAlign w:val="bottom"/>
          </w:tcPr>
          <w:p w14:paraId="5C0C6BE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245</w:t>
            </w:r>
          </w:p>
        </w:tc>
        <w:tc>
          <w:tcPr>
            <w:tcW w:w="1379" w:type="dxa"/>
            <w:vAlign w:val="bottom"/>
          </w:tcPr>
          <w:p w14:paraId="63947D0B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936" w:type="dxa"/>
            <w:vAlign w:val="bottom"/>
          </w:tcPr>
          <w:p w14:paraId="528E0010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391" w:type="dxa"/>
            <w:vAlign w:val="center"/>
          </w:tcPr>
          <w:p w14:paraId="2CA54353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 (4.7%)</w:t>
            </w:r>
          </w:p>
        </w:tc>
        <w:tc>
          <w:tcPr>
            <w:tcW w:w="1290" w:type="dxa"/>
            <w:vAlign w:val="center"/>
          </w:tcPr>
          <w:p w14:paraId="5B149500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 (6.4%)</w:t>
            </w:r>
          </w:p>
        </w:tc>
      </w:tr>
      <w:tr w:rsidR="00972F8C" w:rsidRPr="009C2C3E" w14:paraId="1E18C2E7" w14:textId="77777777" w:rsidTr="00E26EEF">
        <w:tc>
          <w:tcPr>
            <w:tcW w:w="2274" w:type="dxa"/>
            <w:vAlign w:val="bottom"/>
          </w:tcPr>
          <w:p w14:paraId="3B624BCC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Neurological surgery</w:t>
            </w:r>
          </w:p>
        </w:tc>
        <w:tc>
          <w:tcPr>
            <w:tcW w:w="1245" w:type="dxa"/>
            <w:vAlign w:val="bottom"/>
          </w:tcPr>
          <w:p w14:paraId="4502B01E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792</w:t>
            </w:r>
          </w:p>
        </w:tc>
        <w:tc>
          <w:tcPr>
            <w:tcW w:w="1379" w:type="dxa"/>
            <w:vAlign w:val="bottom"/>
          </w:tcPr>
          <w:p w14:paraId="132B5507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936" w:type="dxa"/>
            <w:vAlign w:val="bottom"/>
          </w:tcPr>
          <w:p w14:paraId="0069B720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391" w:type="dxa"/>
            <w:vAlign w:val="center"/>
          </w:tcPr>
          <w:p w14:paraId="72A30856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 (1.6%)</w:t>
            </w:r>
          </w:p>
        </w:tc>
        <w:tc>
          <w:tcPr>
            <w:tcW w:w="1290" w:type="dxa"/>
            <w:vAlign w:val="center"/>
          </w:tcPr>
          <w:p w14:paraId="7383B08B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 (2.6%)</w:t>
            </w:r>
          </w:p>
        </w:tc>
      </w:tr>
      <w:tr w:rsidR="00972F8C" w:rsidRPr="009C2C3E" w14:paraId="6CC81716" w14:textId="77777777" w:rsidTr="00E26EEF">
        <w:tc>
          <w:tcPr>
            <w:tcW w:w="2274" w:type="dxa"/>
            <w:vAlign w:val="bottom"/>
          </w:tcPr>
          <w:p w14:paraId="36F9DBE1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Otorhinolaryngology</w:t>
            </w:r>
          </w:p>
        </w:tc>
        <w:tc>
          <w:tcPr>
            <w:tcW w:w="1245" w:type="dxa"/>
            <w:vAlign w:val="bottom"/>
          </w:tcPr>
          <w:p w14:paraId="2A7516EA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1379" w:type="dxa"/>
            <w:vAlign w:val="bottom"/>
          </w:tcPr>
          <w:p w14:paraId="68FCD01E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936" w:type="dxa"/>
            <w:vAlign w:val="bottom"/>
          </w:tcPr>
          <w:p w14:paraId="45C9092E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391" w:type="dxa"/>
            <w:vAlign w:val="center"/>
          </w:tcPr>
          <w:p w14:paraId="4C721455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 (0.0%)</w:t>
            </w:r>
          </w:p>
        </w:tc>
        <w:tc>
          <w:tcPr>
            <w:tcW w:w="1290" w:type="dxa"/>
            <w:vAlign w:val="center"/>
          </w:tcPr>
          <w:p w14:paraId="4F82ECED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 (0.0%)</w:t>
            </w:r>
          </w:p>
        </w:tc>
      </w:tr>
      <w:tr w:rsidR="00972F8C" w:rsidRPr="009C2C3E" w14:paraId="384E1CE8" w14:textId="77777777" w:rsidTr="00E26EEF">
        <w:tc>
          <w:tcPr>
            <w:tcW w:w="2274" w:type="dxa"/>
            <w:vAlign w:val="bottom"/>
          </w:tcPr>
          <w:p w14:paraId="532AA2C6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Oral and maxillofacial surgery</w:t>
            </w:r>
          </w:p>
        </w:tc>
        <w:tc>
          <w:tcPr>
            <w:tcW w:w="1245" w:type="dxa"/>
            <w:vAlign w:val="bottom"/>
          </w:tcPr>
          <w:p w14:paraId="25B36278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635</w:t>
            </w:r>
          </w:p>
        </w:tc>
        <w:tc>
          <w:tcPr>
            <w:tcW w:w="1379" w:type="dxa"/>
            <w:vAlign w:val="bottom"/>
          </w:tcPr>
          <w:p w14:paraId="6DD55594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936" w:type="dxa"/>
            <w:vAlign w:val="bottom"/>
          </w:tcPr>
          <w:p w14:paraId="2C41139D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391" w:type="dxa"/>
            <w:vAlign w:val="center"/>
          </w:tcPr>
          <w:p w14:paraId="579A49D2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 (2.5%)</w:t>
            </w:r>
          </w:p>
        </w:tc>
        <w:tc>
          <w:tcPr>
            <w:tcW w:w="1290" w:type="dxa"/>
            <w:vAlign w:val="center"/>
          </w:tcPr>
          <w:p w14:paraId="550EEAAF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 (1.9%)</w:t>
            </w:r>
          </w:p>
        </w:tc>
      </w:tr>
      <w:tr w:rsidR="00972F8C" w:rsidRPr="009C2C3E" w14:paraId="1218F128" w14:textId="77777777" w:rsidTr="00E26EEF">
        <w:tc>
          <w:tcPr>
            <w:tcW w:w="2274" w:type="dxa"/>
            <w:vAlign w:val="bottom"/>
          </w:tcPr>
          <w:p w14:paraId="27B7C840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9C2C3E">
              <w:rPr>
                <w:rFonts w:ascii="Times New Roman" w:hAnsi="Times New Roman" w:cs="Times New Roman"/>
                <w:lang w:val="en-US"/>
              </w:rPr>
              <w:t>Vascular surgery</w:t>
            </w:r>
          </w:p>
        </w:tc>
        <w:tc>
          <w:tcPr>
            <w:tcW w:w="1245" w:type="dxa"/>
            <w:vAlign w:val="bottom"/>
          </w:tcPr>
          <w:p w14:paraId="5089FC2B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B97414"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97414">
              <w:rPr>
                <w:rFonts w:ascii="Times New Roman" w:hAnsi="Times New Roman" w:cs="Times New Roman"/>
                <w:lang w:val="en-US"/>
              </w:rPr>
              <w:t>305</w:t>
            </w:r>
          </w:p>
        </w:tc>
        <w:tc>
          <w:tcPr>
            <w:tcW w:w="1379" w:type="dxa"/>
            <w:vAlign w:val="bottom"/>
          </w:tcPr>
          <w:p w14:paraId="589BCAF2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936" w:type="dxa"/>
            <w:vAlign w:val="bottom"/>
          </w:tcPr>
          <w:p w14:paraId="6BC59122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91" w:type="dxa"/>
            <w:vAlign w:val="center"/>
          </w:tcPr>
          <w:p w14:paraId="155DC2C9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 (7.6%)</w:t>
            </w:r>
          </w:p>
        </w:tc>
        <w:tc>
          <w:tcPr>
            <w:tcW w:w="1290" w:type="dxa"/>
            <w:vAlign w:val="center"/>
          </w:tcPr>
          <w:p w14:paraId="49064F31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 (2.9%)</w:t>
            </w:r>
          </w:p>
        </w:tc>
      </w:tr>
      <w:tr w:rsidR="00972F8C" w14:paraId="6E502CCC" w14:textId="77777777" w:rsidTr="00E26EEF">
        <w:tc>
          <w:tcPr>
            <w:tcW w:w="2274" w:type="dxa"/>
            <w:vAlign w:val="bottom"/>
          </w:tcPr>
          <w:p w14:paraId="61E843A7" w14:textId="77777777" w:rsidR="00972F8C" w:rsidRPr="009C2C3E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2C3E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  <w:tc>
          <w:tcPr>
            <w:tcW w:w="1245" w:type="dxa"/>
            <w:vAlign w:val="bottom"/>
          </w:tcPr>
          <w:p w14:paraId="26783962" w14:textId="77777777" w:rsidR="00972F8C" w:rsidRPr="00890099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0099">
              <w:rPr>
                <w:rFonts w:ascii="Times New Roman" w:hAnsi="Times New Roman" w:cs="Times New Roman"/>
                <w:b/>
                <w:bCs/>
                <w:lang w:val="en-US"/>
              </w:rPr>
              <w:t>383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890099">
              <w:rPr>
                <w:rFonts w:ascii="Times New Roman" w:hAnsi="Times New Roman" w:cs="Times New Roman"/>
                <w:b/>
                <w:bCs/>
                <w:lang w:val="en-US"/>
              </w:rPr>
              <w:t>298</w:t>
            </w:r>
          </w:p>
        </w:tc>
        <w:tc>
          <w:tcPr>
            <w:tcW w:w="1379" w:type="dxa"/>
            <w:vAlign w:val="bottom"/>
          </w:tcPr>
          <w:p w14:paraId="6D3E24AA" w14:textId="77777777" w:rsidR="00972F8C" w:rsidRPr="00890099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0099">
              <w:rPr>
                <w:rFonts w:ascii="Calibri" w:hAnsi="Calibri" w:cs="Calibri"/>
                <w:b/>
                <w:bCs/>
                <w:color w:val="000000"/>
              </w:rPr>
              <w:t>4487</w:t>
            </w:r>
          </w:p>
        </w:tc>
        <w:tc>
          <w:tcPr>
            <w:tcW w:w="936" w:type="dxa"/>
            <w:vAlign w:val="bottom"/>
          </w:tcPr>
          <w:p w14:paraId="04117337" w14:textId="77777777" w:rsidR="00972F8C" w:rsidRPr="00890099" w:rsidRDefault="00972F8C" w:rsidP="00E26EEF">
            <w:pPr>
              <w:outlineLvl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0099">
              <w:rPr>
                <w:rFonts w:ascii="Calibri" w:hAnsi="Calibri" w:cs="Calibri"/>
                <w:b/>
                <w:bCs/>
                <w:color w:val="000000"/>
              </w:rPr>
              <w:t>2080</w:t>
            </w:r>
          </w:p>
        </w:tc>
        <w:tc>
          <w:tcPr>
            <w:tcW w:w="1391" w:type="dxa"/>
          </w:tcPr>
          <w:p w14:paraId="2C7DB65C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890099">
              <w:rPr>
                <w:rFonts w:ascii="Calibri" w:hAnsi="Calibri" w:cs="Calibri"/>
                <w:b/>
                <w:bCs/>
                <w:color w:val="000000"/>
                <w:lang w:val="en-US"/>
              </w:rPr>
              <w:t>108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(2.4%)</w:t>
            </w:r>
          </w:p>
        </w:tc>
        <w:tc>
          <w:tcPr>
            <w:tcW w:w="1290" w:type="dxa"/>
          </w:tcPr>
          <w:p w14:paraId="6DC9B5CB" w14:textId="77777777" w:rsidR="00972F8C" w:rsidRPr="00890099" w:rsidRDefault="00972F8C" w:rsidP="00E26EEF">
            <w:pPr>
              <w:jc w:val="center"/>
              <w:outlineLvl w:val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890099">
              <w:rPr>
                <w:rFonts w:ascii="Calibri" w:hAnsi="Calibri" w:cs="Calibri"/>
                <w:b/>
                <w:bCs/>
                <w:color w:val="000000"/>
                <w:lang w:val="en-US"/>
              </w:rPr>
              <w:t>48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(2.3%)</w:t>
            </w:r>
          </w:p>
        </w:tc>
      </w:tr>
    </w:tbl>
    <w:p w14:paraId="14D37849" w14:textId="77777777" w:rsidR="00972F8C" w:rsidRDefault="00972F8C" w:rsidP="00972F8C">
      <w:pPr>
        <w:rPr>
          <w:rFonts w:ascii="Times New Roman" w:hAnsi="Times New Roman" w:cs="Times New Roman"/>
          <w:b/>
          <w:bCs/>
          <w:lang w:val="en-US"/>
        </w:rPr>
      </w:pPr>
    </w:p>
    <w:p w14:paraId="0FBA4AD6" w14:textId="77777777" w:rsidR="00972F8C" w:rsidRDefault="00972F8C" w:rsidP="00972F8C">
      <w:pPr>
        <w:rPr>
          <w:rFonts w:ascii="Times New Roman" w:hAnsi="Times New Roman" w:cs="Times New Roman"/>
          <w:b/>
          <w:bCs/>
          <w:lang w:val="en-US"/>
        </w:rPr>
      </w:pPr>
    </w:p>
    <w:p w14:paraId="78D59DB3" w14:textId="77777777" w:rsidR="00972F8C" w:rsidRDefault="00972F8C" w:rsidP="00972F8C">
      <w:pPr>
        <w:rPr>
          <w:rFonts w:ascii="Times New Roman" w:hAnsi="Times New Roman" w:cs="Times New Roman"/>
          <w:b/>
          <w:bCs/>
          <w:lang w:val="en-US"/>
        </w:rPr>
        <w:sectPr w:rsidR="00972F8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60FD171" w14:textId="77777777" w:rsidR="00972F8C" w:rsidRDefault="00972F8C" w:rsidP="00972F8C">
      <w:pPr>
        <w:spacing w:line="480" w:lineRule="auto"/>
        <w:rPr>
          <w:rFonts w:ascii="Times New Roman" w:hAnsi="Times New Roman" w:cs="Times New Roman"/>
          <w:color w:val="000000" w:themeColor="text1"/>
          <w:lang w:val="en-US" w:eastAsia="en-GB"/>
        </w:rPr>
      </w:pPr>
      <w:r w:rsidRPr="007D210C">
        <w:rPr>
          <w:rFonts w:ascii="Times New Roman" w:hAnsi="Times New Roman" w:cs="Times New Roman"/>
          <w:b/>
          <w:bCs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S1</w:t>
      </w:r>
      <w:r w:rsidRPr="007D210C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D210C">
        <w:rPr>
          <w:rFonts w:ascii="Times New Roman" w:hAnsi="Times New Roman" w:cs="Times New Roman"/>
          <w:color w:val="000000" w:themeColor="text1"/>
          <w:lang w:val="en-US" w:eastAsia="en-GB"/>
        </w:rPr>
        <w:t>R</w:t>
      </w:r>
      <w:r w:rsidRPr="007D210C">
        <w:rPr>
          <w:rFonts w:ascii="Times New Roman" w:hAnsi="Times New Roman" w:cs="Times New Roman"/>
          <w:lang w:val="en-US"/>
        </w:rPr>
        <w:t xml:space="preserve">eceiver Operating Characteristics </w:t>
      </w:r>
      <w:r>
        <w:rPr>
          <w:rFonts w:ascii="Times New Roman" w:hAnsi="Times New Roman" w:cs="Times New Roman"/>
          <w:lang w:val="en-US"/>
        </w:rPr>
        <w:t xml:space="preserve">for </w:t>
      </w:r>
      <w:r w:rsidRPr="007D210C">
        <w:rPr>
          <w:rFonts w:ascii="Times New Roman" w:hAnsi="Times New Roman" w:cs="Times New Roman"/>
          <w:lang w:val="en-US"/>
        </w:rPr>
        <w:t>NLP algorithms</w:t>
      </w:r>
      <w:r>
        <w:rPr>
          <w:rFonts w:ascii="Times New Roman" w:hAnsi="Times New Roman" w:cs="Times New Roman"/>
          <w:lang w:val="en-US"/>
        </w:rPr>
        <w:t xml:space="preserve"> on each surgical specialty with more than one Superficial Surgical Site Infection (SSSI) case in the test dataset</w:t>
      </w:r>
      <w:r w:rsidRPr="007D210C">
        <w:rPr>
          <w:rFonts w:ascii="Times New Roman" w:hAnsi="Times New Roman" w:cs="Times New Roman"/>
          <w:lang w:val="en-US"/>
        </w:rPr>
        <w:t>.</w:t>
      </w:r>
      <w:r w:rsidRPr="007D210C">
        <w:rPr>
          <w:rFonts w:ascii="Times New Roman" w:hAnsi="Times New Roman" w:cs="Times New Roman"/>
          <w:color w:val="000000" w:themeColor="text1"/>
          <w:lang w:val="en-US" w:eastAsia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 w:eastAsia="en-GB"/>
        </w:rPr>
        <w:t>Performance is compared</w:t>
      </w:r>
      <w:r w:rsidRPr="007D210C">
        <w:rPr>
          <w:rFonts w:ascii="Times New Roman" w:hAnsi="Times New Roman" w:cs="Times New Roman"/>
          <w:color w:val="000000" w:themeColor="text1"/>
          <w:lang w:val="en-US" w:eastAsia="en-GB"/>
        </w:rPr>
        <w:t xml:space="preserve"> to manual curation and presented on a case level.  </w:t>
      </w:r>
    </w:p>
    <w:p w14:paraId="17E2A7CE" w14:textId="77777777" w:rsidR="00972F8C" w:rsidRDefault="00972F8C" w:rsidP="00972F8C">
      <w:pPr>
        <w:rPr>
          <w:rFonts w:ascii="Times New Roman" w:hAnsi="Times New Roman" w:cs="Times New Roman"/>
          <w:color w:val="000000" w:themeColor="text1"/>
          <w:lang w:val="en-US" w:eastAsia="en-GB"/>
        </w:rPr>
      </w:pPr>
    </w:p>
    <w:p w14:paraId="6D4C55D0" w14:textId="77777777" w:rsidR="00972F8C" w:rsidRPr="00B2525E" w:rsidRDefault="00972F8C" w:rsidP="00972F8C">
      <w:pPr>
        <w:rPr>
          <w:rFonts w:ascii="Times New Roman" w:hAnsi="Times New Roman" w:cs="Times New Roman"/>
          <w:b/>
          <w:bCs/>
          <w:lang w:val="en-US"/>
        </w:rPr>
      </w:pPr>
    </w:p>
    <w:p w14:paraId="2484ED72" w14:textId="77777777" w:rsidR="00972F8C" w:rsidRPr="002F1F0D" w:rsidRDefault="00972F8C" w:rsidP="00972F8C">
      <w:pPr>
        <w:rPr>
          <w:rFonts w:ascii="Times New Roman" w:hAnsi="Times New Roman" w:cs="Times New Roman"/>
          <w:b/>
          <w:bCs/>
          <w:lang w:val="da-DK"/>
        </w:rPr>
      </w:pPr>
      <w:r w:rsidRPr="007D210C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S2</w:t>
      </w:r>
      <w:r w:rsidRPr="007D210C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D210C">
        <w:rPr>
          <w:rFonts w:ascii="Times New Roman" w:hAnsi="Times New Roman" w:cs="Times New Roman"/>
          <w:lang w:val="en-US"/>
        </w:rPr>
        <w:t xml:space="preserve">A comparative bar graph of </w:t>
      </w:r>
      <w:r>
        <w:rPr>
          <w:rFonts w:ascii="Times New Roman" w:hAnsi="Times New Roman" w:cs="Times New Roman"/>
          <w:lang w:val="en-US"/>
        </w:rPr>
        <w:t>Superficial Surgical Site Infection (</w:t>
      </w:r>
      <w:r w:rsidRPr="007D210C">
        <w:rPr>
          <w:rFonts w:ascii="Times New Roman" w:hAnsi="Times New Roman" w:cs="Times New Roman"/>
          <w:lang w:val="en-US"/>
        </w:rPr>
        <w:t>SSSI</w:t>
      </w:r>
      <w:r>
        <w:rPr>
          <w:rFonts w:ascii="Times New Roman" w:hAnsi="Times New Roman" w:cs="Times New Roman"/>
          <w:lang w:val="en-US"/>
        </w:rPr>
        <w:t>)</w:t>
      </w:r>
      <w:r w:rsidRPr="007D210C">
        <w:rPr>
          <w:rFonts w:ascii="Times New Roman" w:hAnsi="Times New Roman" w:cs="Times New Roman"/>
          <w:lang w:val="en-US"/>
        </w:rPr>
        <w:t xml:space="preserve"> cases identified by manual curation, administrative data, the </w:t>
      </w:r>
      <w:r>
        <w:rPr>
          <w:rFonts w:ascii="Times New Roman" w:hAnsi="Times New Roman" w:cs="Times New Roman"/>
          <w:lang w:val="en-US"/>
        </w:rPr>
        <w:t>Stand-alone model (</w:t>
      </w:r>
      <w:r w:rsidRPr="007D210C">
        <w:rPr>
          <w:rFonts w:ascii="Times New Roman" w:hAnsi="Times New Roman" w:cs="Times New Roman"/>
          <w:lang w:val="en-US"/>
        </w:rPr>
        <w:t>SAM</w:t>
      </w:r>
      <w:r>
        <w:rPr>
          <w:rFonts w:ascii="Times New Roman" w:hAnsi="Times New Roman" w:cs="Times New Roman"/>
          <w:lang w:val="en-US"/>
        </w:rPr>
        <w:t>)</w:t>
      </w:r>
      <w:r w:rsidRPr="007D210C">
        <w:rPr>
          <w:rFonts w:ascii="Times New Roman" w:hAnsi="Times New Roman" w:cs="Times New Roman"/>
          <w:lang w:val="en-US"/>
        </w:rPr>
        <w:t>,</w:t>
      </w:r>
      <w:r w:rsidRPr="007D210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D210C">
        <w:rPr>
          <w:rFonts w:ascii="Times New Roman" w:hAnsi="Times New Roman" w:cs="Times New Roman"/>
          <w:lang w:val="en-US"/>
        </w:rPr>
        <w:t xml:space="preserve">and the </w:t>
      </w:r>
      <w:r>
        <w:rPr>
          <w:rFonts w:ascii="Times New Roman" w:hAnsi="Times New Roman" w:cs="Times New Roman"/>
          <w:lang w:val="en-US"/>
        </w:rPr>
        <w:t>Human-in-the-loop (</w:t>
      </w:r>
      <w:r w:rsidRPr="007D210C">
        <w:rPr>
          <w:rFonts w:ascii="Times New Roman" w:hAnsi="Times New Roman" w:cs="Times New Roman"/>
          <w:lang w:val="en-US"/>
        </w:rPr>
        <w:t>HITL</w:t>
      </w:r>
      <w:r>
        <w:rPr>
          <w:rFonts w:ascii="Times New Roman" w:hAnsi="Times New Roman" w:cs="Times New Roman"/>
          <w:lang w:val="en-US"/>
        </w:rPr>
        <w:t>)</w:t>
      </w:r>
      <w:r w:rsidRPr="007D210C">
        <w:rPr>
          <w:rFonts w:ascii="Times New Roman" w:hAnsi="Times New Roman" w:cs="Times New Roman"/>
          <w:lang w:val="en-US"/>
        </w:rPr>
        <w:t xml:space="preserve"> Model for both the validation and the test data.</w:t>
      </w:r>
      <w:r w:rsidRPr="007D210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D210C">
        <w:rPr>
          <w:rFonts w:ascii="Times New Roman" w:hAnsi="Times New Roman" w:cs="Times New Roman"/>
          <w:lang w:val="en-US"/>
        </w:rPr>
        <w:t xml:space="preserve">Each bar illustrates true positives (dark grey) and false positives (light grey). The y-axis represents the number of cases. </w:t>
      </w:r>
    </w:p>
    <w:p w14:paraId="1A960303" w14:textId="77777777" w:rsidR="00972F8C" w:rsidRPr="007D210C" w:rsidRDefault="00972F8C" w:rsidP="00972F8C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7FE4057" w14:textId="77777777" w:rsidR="00972F8C" w:rsidRPr="007D210C" w:rsidRDefault="00972F8C" w:rsidP="00972F8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7D210C">
        <w:rPr>
          <w:rFonts w:ascii="Times New Roman" w:hAnsi="Times New Roman" w:cs="Times New Roman"/>
          <w:b/>
          <w:bCs/>
          <w:lang w:val="en-US"/>
        </w:rPr>
        <w:t xml:space="preserve">     </w:t>
      </w:r>
    </w:p>
    <w:p w14:paraId="3FF71090" w14:textId="77777777" w:rsidR="00972F8C" w:rsidRPr="008E7DC5" w:rsidRDefault="00972F8C" w:rsidP="00972F8C">
      <w:pPr>
        <w:rPr>
          <w:rFonts w:ascii="Times New Roman" w:hAnsi="Times New Roman" w:cs="Times New Roman"/>
          <w:b/>
          <w:bCs/>
          <w:lang w:val="en-US"/>
        </w:rPr>
      </w:pPr>
      <w:r w:rsidRPr="008E7DC5">
        <w:rPr>
          <w:rFonts w:ascii="Times New Roman" w:hAnsi="Times New Roman" w:cs="Times New Roman"/>
          <w:b/>
          <w:bCs/>
          <w:lang w:val="en-US"/>
        </w:rPr>
        <w:br w:type="page"/>
      </w:r>
    </w:p>
    <w:p w14:paraId="518AE746" w14:textId="77777777" w:rsidR="00127F00" w:rsidRDefault="00127F00"/>
    <w:sectPr w:rsidR="00127F00" w:rsidSect="00EA4E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8C"/>
    <w:rsid w:val="00006D45"/>
    <w:rsid w:val="00014837"/>
    <w:rsid w:val="00027C22"/>
    <w:rsid w:val="00035819"/>
    <w:rsid w:val="0008772A"/>
    <w:rsid w:val="00093CAE"/>
    <w:rsid w:val="000A0BE9"/>
    <w:rsid w:val="000A7833"/>
    <w:rsid w:val="000B6139"/>
    <w:rsid w:val="000C2AFE"/>
    <w:rsid w:val="000C75BB"/>
    <w:rsid w:val="000D1470"/>
    <w:rsid w:val="00127F00"/>
    <w:rsid w:val="001423DC"/>
    <w:rsid w:val="001A2CD5"/>
    <w:rsid w:val="001A63C1"/>
    <w:rsid w:val="00261DDB"/>
    <w:rsid w:val="00262BB5"/>
    <w:rsid w:val="002631CA"/>
    <w:rsid w:val="00274B8A"/>
    <w:rsid w:val="002A1736"/>
    <w:rsid w:val="002A3D5A"/>
    <w:rsid w:val="002A5208"/>
    <w:rsid w:val="002B14AC"/>
    <w:rsid w:val="002B6420"/>
    <w:rsid w:val="002C6B0D"/>
    <w:rsid w:val="002F44C8"/>
    <w:rsid w:val="00304F88"/>
    <w:rsid w:val="0031712B"/>
    <w:rsid w:val="00324442"/>
    <w:rsid w:val="00336DDE"/>
    <w:rsid w:val="00361D79"/>
    <w:rsid w:val="003908AD"/>
    <w:rsid w:val="003E064B"/>
    <w:rsid w:val="003F03A4"/>
    <w:rsid w:val="00417389"/>
    <w:rsid w:val="00432D14"/>
    <w:rsid w:val="004353A3"/>
    <w:rsid w:val="004669BF"/>
    <w:rsid w:val="00491E41"/>
    <w:rsid w:val="004D3C10"/>
    <w:rsid w:val="005055B9"/>
    <w:rsid w:val="00580BCF"/>
    <w:rsid w:val="00605AA7"/>
    <w:rsid w:val="006116EA"/>
    <w:rsid w:val="00611AB9"/>
    <w:rsid w:val="0066702F"/>
    <w:rsid w:val="00677F4E"/>
    <w:rsid w:val="00696058"/>
    <w:rsid w:val="006A17AE"/>
    <w:rsid w:val="006C7636"/>
    <w:rsid w:val="0072275B"/>
    <w:rsid w:val="00742A67"/>
    <w:rsid w:val="007460D2"/>
    <w:rsid w:val="00837538"/>
    <w:rsid w:val="00845184"/>
    <w:rsid w:val="00845D15"/>
    <w:rsid w:val="00860295"/>
    <w:rsid w:val="0087114C"/>
    <w:rsid w:val="008737B3"/>
    <w:rsid w:val="00896DA4"/>
    <w:rsid w:val="008B1970"/>
    <w:rsid w:val="008C7C11"/>
    <w:rsid w:val="00901DBE"/>
    <w:rsid w:val="00914EC6"/>
    <w:rsid w:val="00972F8C"/>
    <w:rsid w:val="009761DF"/>
    <w:rsid w:val="009965A2"/>
    <w:rsid w:val="00996764"/>
    <w:rsid w:val="00996B8F"/>
    <w:rsid w:val="009A12BC"/>
    <w:rsid w:val="009C2178"/>
    <w:rsid w:val="00A14A2B"/>
    <w:rsid w:val="00A16144"/>
    <w:rsid w:val="00A45FAB"/>
    <w:rsid w:val="00A56D3E"/>
    <w:rsid w:val="00A62E88"/>
    <w:rsid w:val="00A82A8F"/>
    <w:rsid w:val="00A82AFF"/>
    <w:rsid w:val="00A91035"/>
    <w:rsid w:val="00AA1FF7"/>
    <w:rsid w:val="00AC005D"/>
    <w:rsid w:val="00AC2767"/>
    <w:rsid w:val="00AF0F31"/>
    <w:rsid w:val="00AF4C08"/>
    <w:rsid w:val="00B06E11"/>
    <w:rsid w:val="00B23BA8"/>
    <w:rsid w:val="00B431F0"/>
    <w:rsid w:val="00B61E53"/>
    <w:rsid w:val="00BA3D2C"/>
    <w:rsid w:val="00BA63AF"/>
    <w:rsid w:val="00BC5D00"/>
    <w:rsid w:val="00BF320D"/>
    <w:rsid w:val="00BF75BC"/>
    <w:rsid w:val="00C01DD9"/>
    <w:rsid w:val="00C06A6B"/>
    <w:rsid w:val="00C13334"/>
    <w:rsid w:val="00C308D2"/>
    <w:rsid w:val="00C813CA"/>
    <w:rsid w:val="00C907E7"/>
    <w:rsid w:val="00C94CEF"/>
    <w:rsid w:val="00CA2700"/>
    <w:rsid w:val="00D06B32"/>
    <w:rsid w:val="00D15221"/>
    <w:rsid w:val="00D32721"/>
    <w:rsid w:val="00D45F2F"/>
    <w:rsid w:val="00DA6B2C"/>
    <w:rsid w:val="00DC025B"/>
    <w:rsid w:val="00DC6670"/>
    <w:rsid w:val="00DD2FA1"/>
    <w:rsid w:val="00DF055F"/>
    <w:rsid w:val="00E02417"/>
    <w:rsid w:val="00E67003"/>
    <w:rsid w:val="00E96F67"/>
    <w:rsid w:val="00EA4E3B"/>
    <w:rsid w:val="00EC2180"/>
    <w:rsid w:val="00F0608D"/>
    <w:rsid w:val="00F50C9E"/>
    <w:rsid w:val="00F6717E"/>
    <w:rsid w:val="00FA3659"/>
    <w:rsid w:val="00FC19CF"/>
    <w:rsid w:val="00F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F321C2"/>
  <w15:chartTrackingRefBased/>
  <w15:docId w15:val="{EE3B2325-C9DD-8145-852D-C1DC916A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Sillesen</dc:creator>
  <cp:keywords/>
  <dc:description/>
  <cp:lastModifiedBy>Martin Sillesen</cp:lastModifiedBy>
  <cp:revision>1</cp:revision>
  <dcterms:created xsi:type="dcterms:W3CDTF">2023-03-17T18:09:00Z</dcterms:created>
  <dcterms:modified xsi:type="dcterms:W3CDTF">2023-03-17T18:09:00Z</dcterms:modified>
</cp:coreProperties>
</file>