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B28" w:rsidRDefault="00855B28" w:rsidP="00855B28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Supplementary</w:t>
      </w:r>
    </w:p>
    <w:p w:rsidR="00855B28" w:rsidRPr="00C73023" w:rsidRDefault="00855B28" w:rsidP="00855B28">
      <w:pPr>
        <w:spacing w:line="48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nl-NL"/>
        </w:rPr>
        <w:drawing>
          <wp:inline distT="0" distB="0" distL="0" distR="0" wp14:anchorId="7F2724FF" wp14:editId="1BC342D3">
            <wp:extent cx="5760000" cy="2419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4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5B28" w:rsidRDefault="00855B28" w:rsidP="00855B28">
      <w:pPr>
        <w:spacing w:line="480" w:lineRule="auto"/>
        <w:jc w:val="both"/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  <w:lang w:val="en-US"/>
        </w:rPr>
        <w:t>Fig</w:t>
      </w:r>
      <w:r w:rsidRPr="001A3D11">
        <w:rPr>
          <w:i/>
          <w:iCs/>
          <w:sz w:val="20"/>
          <w:szCs w:val="20"/>
          <w:lang w:val="en-US"/>
        </w:rPr>
        <w:t xml:space="preserve"> S1</w:t>
      </w:r>
      <w:r w:rsidRPr="26712FF1">
        <w:rPr>
          <w:i/>
          <w:iCs/>
          <w:sz w:val="20"/>
          <w:szCs w:val="20"/>
          <w:lang w:val="en-US"/>
        </w:rPr>
        <w:t>. Example showing the expected output of triplifier processing. A hypothetical input table is shown on the left. Namespace aliases (bottom left) are used to simplify and improve readability of the figure. A fragment of the serialized database contents is shown top right in the TTL file, and a part of the database schema is shown with a database-specific ontology in the OWL file at bottom right.</w:t>
      </w:r>
    </w:p>
    <w:p w:rsidR="00855B28" w:rsidRDefault="00855B28" w:rsidP="00855B28">
      <w:pPr>
        <w:spacing w:line="240" w:lineRule="auto"/>
        <w:jc w:val="both"/>
        <w:rPr>
          <w:i/>
          <w:iCs/>
          <w:sz w:val="20"/>
          <w:szCs w:val="20"/>
          <w:lang w:val="en-US"/>
        </w:rPr>
      </w:pPr>
    </w:p>
    <w:p w:rsidR="00855B28" w:rsidRDefault="00855B28" w:rsidP="00855B28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nl-NL"/>
        </w:rPr>
        <w:drawing>
          <wp:inline distT="0" distB="0" distL="0" distR="0" wp14:anchorId="2CE7599E" wp14:editId="4265C862">
            <wp:extent cx="4626000" cy="3600000"/>
            <wp:effectExtent l="0" t="0" r="3175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000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5B28" w:rsidRPr="009C0B98" w:rsidRDefault="00855B28" w:rsidP="00855B28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  <w:r w:rsidRPr="00F563EA">
        <w:rPr>
          <w:rFonts w:ascii="Times New Roman" w:hAnsi="Times New Roman" w:cs="Times New Roman"/>
          <w:b/>
          <w:noProof/>
          <w:lang w:eastAsia="nl-NL"/>
        </w:rPr>
        <w:lastRenderedPageBreak/>
        <w:drawing>
          <wp:inline distT="0" distB="0" distL="0" distR="0" wp14:anchorId="55C5241A" wp14:editId="0706E4BF">
            <wp:extent cx="4626000" cy="3600000"/>
            <wp:effectExtent l="0" t="0" r="317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6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B28" w:rsidRDefault="00855B28" w:rsidP="00855B28">
      <w:pPr>
        <w:spacing w:line="480" w:lineRule="auto"/>
        <w:jc w:val="both"/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  <w:lang w:val="en-US"/>
        </w:rPr>
        <w:t>Fig S2</w:t>
      </w:r>
      <w:r w:rsidRPr="003B49CE">
        <w:rPr>
          <w:i/>
          <w:iCs/>
          <w:sz w:val="20"/>
          <w:szCs w:val="20"/>
          <w:lang w:val="en-US"/>
        </w:rPr>
        <w:t xml:space="preserve">. </w:t>
      </w:r>
      <w:r w:rsidRPr="006C1669">
        <w:rPr>
          <w:i/>
          <w:iCs/>
          <w:sz w:val="20"/>
          <w:szCs w:val="20"/>
          <w:lang w:val="en-US"/>
        </w:rPr>
        <w:t>Uni-varia</w:t>
      </w:r>
      <w:r>
        <w:rPr>
          <w:i/>
          <w:iCs/>
          <w:sz w:val="20"/>
          <w:szCs w:val="20"/>
          <w:lang w:val="en-US"/>
        </w:rPr>
        <w:t>ble</w:t>
      </w:r>
      <w:r w:rsidRPr="006C1669">
        <w:rPr>
          <w:i/>
          <w:iCs/>
          <w:sz w:val="20"/>
          <w:szCs w:val="20"/>
          <w:lang w:val="en-US"/>
        </w:rPr>
        <w:t xml:space="preserve"> (upper inset) a</w:t>
      </w:r>
      <w:r>
        <w:rPr>
          <w:i/>
          <w:iCs/>
          <w:sz w:val="20"/>
          <w:szCs w:val="20"/>
          <w:lang w:val="en-US"/>
        </w:rPr>
        <w:t>nd multi-variable Federated Cox regression with Clinical predictors only. Results are fitted over all 5 HNC datasets, indicating</w:t>
      </w:r>
      <w:r w:rsidRPr="006C1669">
        <w:rPr>
          <w:i/>
          <w:iCs/>
          <w:sz w:val="20"/>
          <w:szCs w:val="20"/>
          <w:lang w:val="en-US"/>
        </w:rPr>
        <w:t xml:space="preserve"> hazard ratio (HR) and 95% confidence intervals of the HR. First line treatment type, T stage and N stage were independently predictive of OS in the final C-Model. Human papilloma virus (HPV) tests were not consistently done for all OPC patients, hence there was a large proportion of “unknown” HPV status which obscured the prognostic importance of HPV positive versus HPV negative.</w:t>
      </w:r>
      <w:r>
        <w:rPr>
          <w:i/>
          <w:iCs/>
          <w:sz w:val="20"/>
          <w:szCs w:val="20"/>
          <w:lang w:val="en-US"/>
        </w:rPr>
        <w:t xml:space="preserve"> For categorical predictors, the prefix (*) indicated which category was assumed as the reference value for the predictor.</w:t>
      </w:r>
    </w:p>
    <w:p w:rsidR="00855B28" w:rsidRDefault="00855B28" w:rsidP="00855B28">
      <w:pPr>
        <w:rPr>
          <w:i/>
          <w:iCs/>
          <w:sz w:val="20"/>
          <w:szCs w:val="20"/>
          <w:lang w:val="en-US"/>
        </w:rPr>
      </w:pPr>
      <w:r>
        <w:rPr>
          <w:i/>
          <w:iCs/>
          <w:sz w:val="20"/>
          <w:szCs w:val="20"/>
          <w:lang w:val="en-US"/>
        </w:rPr>
        <w:br w:type="page"/>
      </w:r>
    </w:p>
    <w:p w:rsidR="00855B28" w:rsidRPr="00CB025A" w:rsidRDefault="00855B28" w:rsidP="00855B28">
      <w:pPr>
        <w:spacing w:line="480" w:lineRule="auto"/>
        <w:jc w:val="center"/>
        <w:rPr>
          <w:iCs/>
          <w:sz w:val="20"/>
          <w:szCs w:val="20"/>
          <w:lang w:val="en-US"/>
        </w:rPr>
      </w:pPr>
      <w:r>
        <w:rPr>
          <w:iCs/>
          <w:noProof/>
          <w:sz w:val="20"/>
          <w:szCs w:val="20"/>
          <w:lang w:eastAsia="nl-NL"/>
        </w:rPr>
        <w:lastRenderedPageBreak/>
        <w:drawing>
          <wp:inline distT="0" distB="0" distL="0" distR="0" wp14:anchorId="2E822B0F" wp14:editId="52BAB6B7">
            <wp:extent cx="4626000" cy="3855600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000" cy="385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5B28" w:rsidRPr="006C1669" w:rsidRDefault="00855B28" w:rsidP="00855B28">
      <w:pPr>
        <w:spacing w:line="480" w:lineRule="auto"/>
        <w:jc w:val="center"/>
        <w:rPr>
          <w:rFonts w:ascii="Times New Roman" w:hAnsi="Times New Roman" w:cs="Times New Roman"/>
          <w:lang w:val="en-US"/>
        </w:rPr>
      </w:pPr>
      <w:r w:rsidRPr="00254B46">
        <w:rPr>
          <w:rFonts w:ascii="Times New Roman" w:hAnsi="Times New Roman" w:cs="Times New Roman"/>
          <w:noProof/>
          <w:lang w:eastAsia="nl-NL"/>
        </w:rPr>
        <w:drawing>
          <wp:inline distT="0" distB="0" distL="0" distR="0" wp14:anchorId="60006345" wp14:editId="09ED3146">
            <wp:extent cx="4626000" cy="3085200"/>
            <wp:effectExtent l="0" t="0" r="317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6000" cy="308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B28" w:rsidRDefault="00855B28" w:rsidP="00855B28">
      <w:pPr>
        <w:spacing w:line="480" w:lineRule="auto"/>
        <w:rPr>
          <w:i/>
          <w:iCs/>
          <w:sz w:val="20"/>
          <w:szCs w:val="20"/>
          <w:lang w:val="en-US"/>
        </w:rPr>
      </w:pPr>
      <w:r w:rsidRPr="00CD0678">
        <w:rPr>
          <w:i/>
          <w:iCs/>
          <w:sz w:val="20"/>
          <w:szCs w:val="20"/>
          <w:lang w:val="en-US"/>
        </w:rPr>
        <w:t>Fig S</w:t>
      </w:r>
      <w:r>
        <w:rPr>
          <w:i/>
          <w:iCs/>
          <w:sz w:val="20"/>
          <w:szCs w:val="20"/>
          <w:lang w:val="en-US"/>
        </w:rPr>
        <w:t>3</w:t>
      </w:r>
      <w:r w:rsidRPr="00CD0678">
        <w:rPr>
          <w:i/>
          <w:iCs/>
          <w:sz w:val="20"/>
          <w:szCs w:val="20"/>
          <w:lang w:val="en-US"/>
        </w:rPr>
        <w:t xml:space="preserve">. </w:t>
      </w:r>
      <w:r w:rsidRPr="006C1669">
        <w:rPr>
          <w:i/>
          <w:iCs/>
          <w:sz w:val="20"/>
          <w:szCs w:val="20"/>
          <w:lang w:val="en-US"/>
        </w:rPr>
        <w:t>Uni-varia</w:t>
      </w:r>
      <w:r>
        <w:rPr>
          <w:i/>
          <w:iCs/>
          <w:sz w:val="20"/>
          <w:szCs w:val="20"/>
          <w:lang w:val="en-US"/>
        </w:rPr>
        <w:t>ble</w:t>
      </w:r>
      <w:r w:rsidRPr="006C1669">
        <w:rPr>
          <w:i/>
          <w:iCs/>
          <w:sz w:val="20"/>
          <w:szCs w:val="20"/>
          <w:lang w:val="en-US"/>
        </w:rPr>
        <w:t xml:space="preserve"> (upper inset) a</w:t>
      </w:r>
      <w:r>
        <w:rPr>
          <w:i/>
          <w:iCs/>
          <w:sz w:val="20"/>
          <w:szCs w:val="20"/>
          <w:lang w:val="en-US"/>
        </w:rPr>
        <w:t>nd multi-variable Federated Cox regression with Radiomics predictors only. Results are fitted over all 5 HNC datasets, indicating</w:t>
      </w:r>
      <w:r w:rsidRPr="006C1669">
        <w:rPr>
          <w:i/>
          <w:iCs/>
          <w:sz w:val="20"/>
          <w:szCs w:val="20"/>
          <w:lang w:val="en-US"/>
        </w:rPr>
        <w:t xml:space="preserve"> hazard ratio (HR) and 95% confidence intervals of the HR.</w:t>
      </w:r>
      <w:r>
        <w:rPr>
          <w:i/>
          <w:iCs/>
          <w:sz w:val="20"/>
          <w:szCs w:val="20"/>
          <w:lang w:val="en-US"/>
        </w:rPr>
        <w:t xml:space="preserve"> In the multi-variable fit, radiomics feature “GLRLM_NonUniformity” was clearly not an independent predictor and was thus dropped from the final multi-variable model. All radiomics features were continuous numerical variables.</w:t>
      </w:r>
    </w:p>
    <w:p w:rsidR="00855B28" w:rsidRDefault="00855B28" w:rsidP="00855B28">
      <w:pPr>
        <w:spacing w:line="480" w:lineRule="auto"/>
        <w:jc w:val="center"/>
        <w:rPr>
          <w:rFonts w:ascii="Times New Roman" w:hAnsi="Times New Roman" w:cs="Times New Roman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lang w:eastAsia="nl-NL"/>
        </w:rPr>
        <w:lastRenderedPageBreak/>
        <w:drawing>
          <wp:inline distT="0" distB="0" distL="0" distR="0" wp14:anchorId="6B8810C9" wp14:editId="5DF8DE5D">
            <wp:extent cx="4626000" cy="3085200"/>
            <wp:effectExtent l="0" t="0" r="3175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000" cy="308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5B28" w:rsidRPr="006C1669" w:rsidRDefault="00855B28" w:rsidP="00855B28">
      <w:pPr>
        <w:spacing w:line="48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nl-NL"/>
        </w:rPr>
        <w:drawing>
          <wp:inline distT="0" distB="0" distL="0" distR="0" wp14:anchorId="2F776CA1" wp14:editId="138F23F9">
            <wp:extent cx="4626000" cy="3085200"/>
            <wp:effectExtent l="0" t="0" r="3175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000" cy="308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5B28" w:rsidRDefault="00855B28" w:rsidP="00855B28">
      <w:pPr>
        <w:spacing w:line="480" w:lineRule="auto"/>
        <w:jc w:val="both"/>
        <w:rPr>
          <w:i/>
          <w:iCs/>
          <w:sz w:val="20"/>
          <w:szCs w:val="20"/>
          <w:lang w:val="en-US"/>
        </w:rPr>
      </w:pPr>
      <w:r w:rsidRPr="00CD0678">
        <w:rPr>
          <w:i/>
          <w:iCs/>
          <w:sz w:val="20"/>
          <w:szCs w:val="20"/>
          <w:lang w:val="en-US"/>
        </w:rPr>
        <w:t>Fig S</w:t>
      </w:r>
      <w:r>
        <w:rPr>
          <w:i/>
          <w:iCs/>
          <w:sz w:val="20"/>
          <w:szCs w:val="20"/>
          <w:lang w:val="en-US"/>
        </w:rPr>
        <w:t>4</w:t>
      </w:r>
      <w:r w:rsidRPr="00CD0678">
        <w:rPr>
          <w:i/>
          <w:iCs/>
          <w:sz w:val="20"/>
          <w:szCs w:val="20"/>
          <w:lang w:val="en-US"/>
        </w:rPr>
        <w:t xml:space="preserve">. </w:t>
      </w:r>
      <w:r w:rsidRPr="006C1669">
        <w:rPr>
          <w:i/>
          <w:iCs/>
          <w:sz w:val="20"/>
          <w:szCs w:val="20"/>
          <w:lang w:val="en-US"/>
        </w:rPr>
        <w:t>Uni-varia</w:t>
      </w:r>
      <w:r>
        <w:rPr>
          <w:i/>
          <w:iCs/>
          <w:sz w:val="20"/>
          <w:szCs w:val="20"/>
          <w:lang w:val="en-US"/>
        </w:rPr>
        <w:t>ble</w:t>
      </w:r>
      <w:r w:rsidRPr="006C1669">
        <w:rPr>
          <w:i/>
          <w:iCs/>
          <w:sz w:val="20"/>
          <w:szCs w:val="20"/>
          <w:lang w:val="en-US"/>
        </w:rPr>
        <w:t xml:space="preserve"> (upper inset) a</w:t>
      </w:r>
      <w:r>
        <w:rPr>
          <w:i/>
          <w:iCs/>
          <w:sz w:val="20"/>
          <w:szCs w:val="20"/>
          <w:lang w:val="en-US"/>
        </w:rPr>
        <w:t>nd multi-variable Federated Cox regression using the linear predictors (LPs) from the C-Model and R-Model previously obtained. Results are fitted over all 5 HNC datasets, indicating</w:t>
      </w:r>
      <w:r w:rsidRPr="006C1669">
        <w:rPr>
          <w:i/>
          <w:iCs/>
          <w:sz w:val="20"/>
          <w:szCs w:val="20"/>
          <w:lang w:val="en-US"/>
        </w:rPr>
        <w:t xml:space="preserve"> hazard ratio (HR) and 95% confidence intervals of the HR.</w:t>
      </w:r>
      <w:r>
        <w:rPr>
          <w:i/>
          <w:iCs/>
          <w:sz w:val="20"/>
          <w:szCs w:val="20"/>
          <w:lang w:val="en-US"/>
        </w:rPr>
        <w:t xml:space="preserve"> While the LPs of the individual models do support survival stratification by themselves, in combination it is found that the R-Model linear predictors are not an independent predictor for survival and do not have added value for prediction in the CR-Model.</w:t>
      </w:r>
    </w:p>
    <w:p w:rsidR="00855B28" w:rsidRPr="006C1669" w:rsidRDefault="00855B28" w:rsidP="00855B28">
      <w:pPr>
        <w:spacing w:line="240" w:lineRule="auto"/>
        <w:jc w:val="both"/>
        <w:rPr>
          <w:i/>
          <w:iCs/>
          <w:sz w:val="20"/>
          <w:szCs w:val="20"/>
          <w:highlight w:val="yellow"/>
          <w:lang w:val="en-US"/>
        </w:rPr>
      </w:pPr>
    </w:p>
    <w:p w:rsidR="00855B28" w:rsidRDefault="00855B28" w:rsidP="00855B28">
      <w:pPr>
        <w:spacing w:line="480" w:lineRule="auto"/>
        <w:rPr>
          <w:rFonts w:ascii="Times New Roman" w:hAnsi="Times New Roman" w:cs="Times New Roman"/>
          <w:b/>
          <w:lang w:val="en-US"/>
        </w:rPr>
      </w:pP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1418"/>
        <w:gridCol w:w="2410"/>
        <w:gridCol w:w="2551"/>
        <w:gridCol w:w="2637"/>
      </w:tblGrid>
      <w:tr w:rsidR="00855B28" w:rsidTr="005B64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855B28" w:rsidRPr="00184544" w:rsidRDefault="00855B28" w:rsidP="005B649E">
            <w:pPr>
              <w:spacing w:line="360" w:lineRule="auto"/>
              <w:jc w:val="right"/>
              <w:rPr>
                <w:rFonts w:ascii="Times New Roman" w:hAnsi="Times New Roman" w:cs="Times New Roman"/>
                <w:b w:val="0"/>
                <w:i/>
                <w:lang w:val="en-US"/>
              </w:rPr>
            </w:pPr>
            <w:r w:rsidRPr="00184544">
              <w:rPr>
                <w:rFonts w:ascii="Times New Roman" w:hAnsi="Times New Roman" w:cs="Times New Roman"/>
                <w:b w:val="0"/>
                <w:i/>
                <w:lang w:val="en-US"/>
              </w:rPr>
              <w:lastRenderedPageBreak/>
              <w:t>Dataset</w:t>
            </w:r>
          </w:p>
        </w:tc>
        <w:tc>
          <w:tcPr>
            <w:tcW w:w="2410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HCI : </w:t>
            </w:r>
            <w:r w:rsidRPr="00184544">
              <w:rPr>
                <w:rFonts w:ascii="Times New Roman" w:hAnsi="Times New Roman" w:cs="Times New Roman"/>
                <w:lang w:val="en-US"/>
              </w:rPr>
              <w:t>C-Model</w:t>
            </w:r>
          </w:p>
        </w:tc>
        <w:tc>
          <w:tcPr>
            <w:tcW w:w="2551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HCI : </w:t>
            </w:r>
            <w:r w:rsidRPr="00184544">
              <w:rPr>
                <w:rFonts w:ascii="Times New Roman" w:hAnsi="Times New Roman" w:cs="Times New Roman"/>
                <w:lang w:val="en-US"/>
              </w:rPr>
              <w:t>R-Model</w:t>
            </w:r>
          </w:p>
        </w:tc>
        <w:tc>
          <w:tcPr>
            <w:tcW w:w="2637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HCI : </w:t>
            </w:r>
            <w:r w:rsidRPr="00184544">
              <w:rPr>
                <w:rFonts w:ascii="Times New Roman" w:hAnsi="Times New Roman" w:cs="Times New Roman"/>
                <w:lang w:val="en-US"/>
              </w:rPr>
              <w:t>CR-Model</w:t>
            </w:r>
          </w:p>
        </w:tc>
      </w:tr>
      <w:tr w:rsidR="00855B28" w:rsidTr="005B6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55B28" w:rsidRPr="00184544" w:rsidRDefault="00855B28" w:rsidP="005B649E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184544">
              <w:t>HN1</w:t>
            </w:r>
          </w:p>
        </w:tc>
        <w:tc>
          <w:tcPr>
            <w:tcW w:w="2410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0.73</w:t>
            </w:r>
            <w:r w:rsidRPr="00184544">
              <w:rPr>
                <w:rFonts w:ascii="Times New Roman" w:hAnsi="Times New Roman" w:cs="Times New Roman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lang w:val="en-US"/>
              </w:rPr>
              <w:t>0.72)</w:t>
            </w:r>
          </w:p>
        </w:tc>
        <w:tc>
          <w:tcPr>
            <w:tcW w:w="2551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0.63</w:t>
            </w:r>
            <w:r w:rsidRPr="00184544">
              <w:rPr>
                <w:rFonts w:ascii="Times New Roman" w:hAnsi="Times New Roman" w:cs="Times New Roman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lang w:val="en-US"/>
              </w:rPr>
              <w:t>0.63)</w:t>
            </w:r>
          </w:p>
        </w:tc>
        <w:tc>
          <w:tcPr>
            <w:tcW w:w="2637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0.72</w:t>
            </w:r>
            <w:r w:rsidRPr="00184544">
              <w:rPr>
                <w:rFonts w:ascii="Times New Roman" w:hAnsi="Times New Roman" w:cs="Times New Roman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lang w:val="en-US"/>
              </w:rPr>
              <w:t>0.72)</w:t>
            </w:r>
          </w:p>
        </w:tc>
      </w:tr>
      <w:tr w:rsidR="00855B28" w:rsidTr="005B6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55B28" w:rsidRPr="00184544" w:rsidRDefault="00855B28" w:rsidP="005B649E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184544">
              <w:t>HNSCC</w:t>
            </w:r>
          </w:p>
        </w:tc>
        <w:tc>
          <w:tcPr>
            <w:tcW w:w="2410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0.63</w:t>
            </w:r>
            <w:r>
              <w:rPr>
                <w:rFonts w:ascii="Times New Roman" w:hAnsi="Times New Roman" w:cs="Times New Roman"/>
                <w:lang w:val="en-US"/>
              </w:rPr>
              <w:t xml:space="preserve"> (0.63)</w:t>
            </w:r>
          </w:p>
        </w:tc>
        <w:tc>
          <w:tcPr>
            <w:tcW w:w="2551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0.68</w:t>
            </w:r>
            <w:r>
              <w:rPr>
                <w:rFonts w:ascii="Times New Roman" w:hAnsi="Times New Roman" w:cs="Times New Roman"/>
                <w:lang w:val="en-US"/>
              </w:rPr>
              <w:t xml:space="preserve"> (0.68)</w:t>
            </w:r>
          </w:p>
        </w:tc>
        <w:tc>
          <w:tcPr>
            <w:tcW w:w="2637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0.64</w:t>
            </w:r>
            <w:r>
              <w:rPr>
                <w:rFonts w:ascii="Times New Roman" w:hAnsi="Times New Roman" w:cs="Times New Roman"/>
                <w:lang w:val="en-US"/>
              </w:rPr>
              <w:t xml:space="preserve"> (0.64)</w:t>
            </w:r>
          </w:p>
        </w:tc>
      </w:tr>
      <w:tr w:rsidR="00855B28" w:rsidTr="005B6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55B28" w:rsidRPr="00184544" w:rsidRDefault="00855B28" w:rsidP="005B649E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184544">
              <w:t>HN-PET-CT</w:t>
            </w:r>
          </w:p>
        </w:tc>
        <w:tc>
          <w:tcPr>
            <w:tcW w:w="2410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0.62</w:t>
            </w:r>
            <w:r>
              <w:rPr>
                <w:rFonts w:ascii="Times New Roman" w:hAnsi="Times New Roman" w:cs="Times New Roman"/>
                <w:lang w:val="en-US"/>
              </w:rPr>
              <w:t xml:space="preserve"> (0.62)</w:t>
            </w:r>
          </w:p>
        </w:tc>
        <w:tc>
          <w:tcPr>
            <w:tcW w:w="2551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0.61</w:t>
            </w:r>
            <w:r>
              <w:rPr>
                <w:rFonts w:ascii="Times New Roman" w:hAnsi="Times New Roman" w:cs="Times New Roman"/>
                <w:lang w:val="en-US"/>
              </w:rPr>
              <w:t xml:space="preserve"> (0.60)</w:t>
            </w:r>
          </w:p>
        </w:tc>
        <w:tc>
          <w:tcPr>
            <w:tcW w:w="2637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0.60</w:t>
            </w:r>
            <w:r>
              <w:rPr>
                <w:rFonts w:ascii="Times New Roman" w:hAnsi="Times New Roman" w:cs="Times New Roman"/>
                <w:lang w:val="en-US"/>
              </w:rPr>
              <w:t xml:space="preserve"> (0.59)</w:t>
            </w:r>
          </w:p>
        </w:tc>
      </w:tr>
      <w:tr w:rsidR="00855B28" w:rsidTr="005B64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55B28" w:rsidRPr="00184544" w:rsidRDefault="00855B28" w:rsidP="005B649E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184544">
              <w:t>OPC</w:t>
            </w:r>
          </w:p>
        </w:tc>
        <w:tc>
          <w:tcPr>
            <w:tcW w:w="2410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0.72</w:t>
            </w:r>
            <w:r>
              <w:rPr>
                <w:rFonts w:ascii="Times New Roman" w:hAnsi="Times New Roman" w:cs="Times New Roman"/>
                <w:lang w:val="en-US"/>
              </w:rPr>
              <w:t xml:space="preserve"> (0.72)</w:t>
            </w:r>
          </w:p>
        </w:tc>
        <w:tc>
          <w:tcPr>
            <w:tcW w:w="2551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0.65</w:t>
            </w:r>
            <w:r>
              <w:rPr>
                <w:rFonts w:ascii="Times New Roman" w:hAnsi="Times New Roman" w:cs="Times New Roman"/>
                <w:lang w:val="en-US"/>
              </w:rPr>
              <w:t xml:space="preserve"> (0.65)</w:t>
            </w:r>
          </w:p>
        </w:tc>
        <w:tc>
          <w:tcPr>
            <w:tcW w:w="2637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0.73</w:t>
            </w:r>
            <w:r>
              <w:rPr>
                <w:rFonts w:ascii="Times New Roman" w:hAnsi="Times New Roman" w:cs="Times New Roman"/>
                <w:lang w:val="en-US"/>
              </w:rPr>
              <w:t xml:space="preserve"> (0.73)</w:t>
            </w:r>
          </w:p>
        </w:tc>
      </w:tr>
      <w:tr w:rsidR="00855B28" w:rsidTr="005B64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55B28" w:rsidRPr="00184544" w:rsidRDefault="00855B28" w:rsidP="005B649E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184544">
              <w:t>HN3</w:t>
            </w:r>
          </w:p>
        </w:tc>
        <w:tc>
          <w:tcPr>
            <w:tcW w:w="2410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0.66</w:t>
            </w:r>
            <w:r>
              <w:rPr>
                <w:rFonts w:ascii="Times New Roman" w:hAnsi="Times New Roman" w:cs="Times New Roman"/>
                <w:lang w:val="en-US"/>
              </w:rPr>
              <w:t xml:space="preserve"> (0.66)</w:t>
            </w:r>
          </w:p>
        </w:tc>
        <w:tc>
          <w:tcPr>
            <w:tcW w:w="2551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0.65</w:t>
            </w:r>
            <w:r>
              <w:rPr>
                <w:rFonts w:ascii="Times New Roman" w:hAnsi="Times New Roman" w:cs="Times New Roman"/>
                <w:lang w:val="en-US"/>
              </w:rPr>
              <w:t xml:space="preserve"> (0.65)</w:t>
            </w:r>
          </w:p>
        </w:tc>
        <w:tc>
          <w:tcPr>
            <w:tcW w:w="2637" w:type="dxa"/>
          </w:tcPr>
          <w:p w:rsidR="00855B28" w:rsidRPr="00184544" w:rsidRDefault="00855B28" w:rsidP="005B649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84544">
              <w:rPr>
                <w:rFonts w:ascii="Times New Roman" w:hAnsi="Times New Roman" w:cs="Times New Roman"/>
                <w:b/>
                <w:lang w:val="en-US"/>
              </w:rPr>
              <w:t>0.66</w:t>
            </w:r>
            <w:r>
              <w:rPr>
                <w:rFonts w:ascii="Times New Roman" w:hAnsi="Times New Roman" w:cs="Times New Roman"/>
                <w:lang w:val="en-US"/>
              </w:rPr>
              <w:t xml:space="preserve"> (0.66)</w:t>
            </w:r>
          </w:p>
        </w:tc>
      </w:tr>
    </w:tbl>
    <w:p w:rsidR="00855B28" w:rsidRDefault="00855B28" w:rsidP="00855B28">
      <w:pPr>
        <w:spacing w:line="240" w:lineRule="auto"/>
        <w:rPr>
          <w:rFonts w:ascii="Times New Roman" w:hAnsi="Times New Roman" w:cs="Times New Roman"/>
          <w:b/>
          <w:lang w:val="en-US"/>
        </w:rPr>
      </w:pPr>
    </w:p>
    <w:p w:rsidR="00855B28" w:rsidRDefault="00855B28" w:rsidP="00855B28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0E6043">
        <w:rPr>
          <w:i/>
          <w:iCs/>
          <w:sz w:val="20"/>
          <w:szCs w:val="20"/>
          <w:lang w:val="en-US"/>
        </w:rPr>
        <w:t>Table S</w:t>
      </w:r>
      <w:r>
        <w:rPr>
          <w:i/>
          <w:iCs/>
          <w:sz w:val="20"/>
          <w:szCs w:val="20"/>
          <w:lang w:val="en-US"/>
        </w:rPr>
        <w:t>1</w:t>
      </w:r>
      <w:r w:rsidRPr="000E6043">
        <w:rPr>
          <w:i/>
          <w:iCs/>
          <w:sz w:val="20"/>
          <w:szCs w:val="20"/>
          <w:lang w:val="en-US"/>
        </w:rPr>
        <w:t xml:space="preserve">. </w:t>
      </w:r>
      <w:r>
        <w:rPr>
          <w:i/>
          <w:iCs/>
          <w:sz w:val="20"/>
          <w:szCs w:val="20"/>
          <w:lang w:val="en-US"/>
        </w:rPr>
        <w:t xml:space="preserve">Harrell concordance indices (HCIs) computed on each distributed dataset using the multivariable </w:t>
      </w:r>
      <w:r w:rsidRPr="007142A2">
        <w:rPr>
          <w:i/>
          <w:iCs/>
          <w:sz w:val="20"/>
          <w:szCs w:val="20"/>
          <w:lang w:val="en-US"/>
        </w:rPr>
        <w:t xml:space="preserve">models C, R and CR. In bold, the model was fitted on all datasets and then tested in the one dataset indicated in the leftmost column. To estimate magnitude of over-optimistic model performance, we fitted the coefficients for the selected features in 4 </w:t>
      </w:r>
      <w:r w:rsidRPr="007142A2">
        <w:rPr>
          <w:i/>
          <w:iCs/>
          <w:sz w:val="20"/>
          <w:szCs w:val="20"/>
          <w:u w:val="single"/>
          <w:lang w:val="en-US"/>
        </w:rPr>
        <w:t>other</w:t>
      </w:r>
      <w:r w:rsidRPr="007142A2">
        <w:rPr>
          <w:i/>
          <w:iCs/>
          <w:sz w:val="20"/>
          <w:szCs w:val="20"/>
          <w:lang w:val="en-US"/>
        </w:rPr>
        <w:t xml:space="preserve"> datasets, then computed the HCI in the one dataset left out. The number in parentheses represents the HCI where the one dataset left out is indicated in the leftmost column. Therefore</w:t>
      </w:r>
      <w:r>
        <w:rPr>
          <w:i/>
          <w:iCs/>
          <w:sz w:val="20"/>
          <w:szCs w:val="20"/>
          <w:lang w:val="en-US"/>
        </w:rPr>
        <w:t xml:space="preserve"> the divergence between the value in bold and the value in the adjacent parentheses is an estimate of the over-optimism.</w:t>
      </w:r>
    </w:p>
    <w:p w:rsidR="00855B28" w:rsidRDefault="00855B28" w:rsidP="00855B28">
      <w:pPr>
        <w:spacing w:line="480" w:lineRule="auto"/>
        <w:rPr>
          <w:rFonts w:ascii="Times New Roman" w:hAnsi="Times New Roman" w:cs="Times New Roman"/>
          <w:b/>
          <w:lang w:val="en-US"/>
        </w:rPr>
      </w:pPr>
    </w:p>
    <w:p w:rsidR="00855B28" w:rsidRDefault="00855B28" w:rsidP="00855B28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855B28" w:rsidRPr="009C0B98" w:rsidRDefault="00855B28" w:rsidP="00855B28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9C0B98">
        <w:rPr>
          <w:rFonts w:ascii="Times New Roman" w:hAnsi="Times New Roman" w:cs="Times New Roman"/>
          <w:b/>
          <w:lang w:val="en-US"/>
        </w:rPr>
        <w:lastRenderedPageBreak/>
        <w:t>Additional files</w:t>
      </w:r>
    </w:p>
    <w:p w:rsidR="00855B28" w:rsidRPr="00154E2C" w:rsidRDefault="00855B28" w:rsidP="00855B28">
      <w:pPr>
        <w:spacing w:line="240" w:lineRule="auto"/>
        <w:rPr>
          <w:rFonts w:ascii="Times New Roman" w:hAnsi="Times New Roman" w:cs="Times New Roman"/>
          <w:i/>
          <w:lang w:val="en-US"/>
        </w:rPr>
      </w:pPr>
      <w:r w:rsidRPr="00154E2C">
        <w:rPr>
          <w:rFonts w:ascii="Times New Roman" w:hAnsi="Times New Roman" w:cs="Times New Roman"/>
          <w:i/>
          <w:lang w:val="en-US"/>
        </w:rPr>
        <w:t>Example SPARQL query</w:t>
      </w:r>
    </w:p>
    <w:p w:rsidR="00855B28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</w:p>
    <w:p w:rsidR="00855B28" w:rsidRPr="00A06294" w:rsidRDefault="00855B28" w:rsidP="00855B28">
      <w:pPr>
        <w:spacing w:line="480" w:lineRule="auto"/>
        <w:jc w:val="both"/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 xml:space="preserve">The following </w:t>
      </w:r>
      <w:r w:rsidRPr="001925FD"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 xml:space="preserve">query is built to retrieve patient’s ID and age from </w:t>
      </w:r>
      <w:r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>an</w:t>
      </w:r>
      <w:r w:rsidRPr="001925FD"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 xml:space="preserve"> annotated </w:t>
      </w:r>
      <w:r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>RDF</w:t>
      </w:r>
      <w:r w:rsidRPr="001925FD"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>database</w:t>
      </w:r>
      <w:r w:rsidRPr="001925FD"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 xml:space="preserve"> in the following manner. The query first looks for the instances of classes that include the predicates P100061 and P100000 (which resolves to has_identifier and has_age from ROO respectively), which is added on top of the common dbo predicate “has_column” (as seen in the OWL) in the annotation graph. Following that, it finds the cells for those instances by matching them to the dbo predicate has_cell and finally the values in those cells are fetched by using the dbo predicate has_value. The namespace “dbo” is in the structure of the output TTL file and can be viewed using the OWL schema. 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26712FF1">
        <w:rPr>
          <w:rFonts w:ascii="Times New Roman" w:hAnsi="Times New Roman" w:cs="Times New Roman"/>
          <w:lang w:val="en-US"/>
        </w:rPr>
        <w:t xml:space="preserve">    PREFIX dbo: &lt;http://um-cds/ontologies/databaseontology/&gt;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26712FF1">
        <w:rPr>
          <w:rFonts w:ascii="Times New Roman" w:hAnsi="Times New Roman" w:cs="Times New Roman"/>
          <w:lang w:val="en-US"/>
        </w:rPr>
        <w:t xml:space="preserve">    PREFIX roo: &lt;http://www.cancerdata.org/roo/&gt;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26712FF1">
        <w:rPr>
          <w:rFonts w:ascii="Times New Roman" w:hAnsi="Times New Roman" w:cs="Times New Roman"/>
          <w:lang w:val="en-US"/>
        </w:rPr>
        <w:t xml:space="preserve">    SELECT ?patientID ?agevalue   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26712FF1">
        <w:rPr>
          <w:rFonts w:ascii="Times New Roman" w:hAnsi="Times New Roman" w:cs="Times New Roman"/>
          <w:lang w:val="en-US"/>
        </w:rPr>
        <w:t xml:space="preserve">    WHERE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26712FF1">
        <w:rPr>
          <w:rFonts w:ascii="Times New Roman" w:hAnsi="Times New Roman" w:cs="Times New Roman"/>
          <w:lang w:val="en-US"/>
        </w:rPr>
        <w:t xml:space="preserve">        {</w:t>
      </w:r>
    </w:p>
    <w:p w:rsidR="00855B28" w:rsidRPr="00B31950" w:rsidRDefault="00855B28" w:rsidP="00855B28">
      <w:pPr>
        <w:spacing w:line="240" w:lineRule="auto"/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</w:pPr>
      <w:r w:rsidRPr="5690163E">
        <w:rPr>
          <w:rFonts w:ascii="Times New Roman" w:hAnsi="Times New Roman" w:cs="Times New Roman"/>
          <w:lang w:val="en-US"/>
        </w:rPr>
        <w:t xml:space="preserve">        ?tablerow roo:P100061 ?ID.        #returns instances with predicates roo:</w:t>
      </w:r>
      <w:r w:rsidRPr="5690163E"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>P100061 (has_identifier)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5690163E">
        <w:rPr>
          <w:rFonts w:ascii="Times New Roman" w:hAnsi="Times New Roman" w:cs="Times New Roman"/>
          <w:lang w:val="en-US"/>
        </w:rPr>
        <w:t xml:space="preserve">        ?ID dbo:has_cell ?IDcell.             #returns the triples with cells for those instances 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5690163E">
        <w:rPr>
          <w:rFonts w:ascii="Times New Roman" w:hAnsi="Times New Roman" w:cs="Times New Roman"/>
          <w:lang w:val="en-US"/>
        </w:rPr>
        <w:t xml:space="preserve">        ?IDcell roo:P100042 ?patientID.  #gets the values in those cells, which gives the patient IDs </w:t>
      </w:r>
    </w:p>
    <w:p w:rsidR="00855B28" w:rsidRPr="00B31950" w:rsidRDefault="00855B28" w:rsidP="00855B28">
      <w:pPr>
        <w:spacing w:line="240" w:lineRule="auto"/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</w:pPr>
      <w:r w:rsidRPr="5690163E">
        <w:rPr>
          <w:rFonts w:ascii="Times New Roman" w:hAnsi="Times New Roman" w:cs="Times New Roman"/>
          <w:lang w:val="en-US"/>
        </w:rPr>
        <w:t xml:space="preserve">        ?tablerow roo:P100000 ?age.        #returns instances with predicates roo:</w:t>
      </w:r>
      <w:r w:rsidRPr="5690163E">
        <w:rPr>
          <w:rFonts w:ascii="Times New Roman" w:eastAsia="Times New Roman" w:hAnsi="Times New Roman" w:cs="Times New Roman"/>
          <w:color w:val="242424"/>
          <w:sz w:val="21"/>
          <w:szCs w:val="21"/>
          <w:lang w:val="en-US"/>
        </w:rPr>
        <w:t>P100000 (has_age)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5690163E">
        <w:rPr>
          <w:rFonts w:ascii="Times New Roman" w:hAnsi="Times New Roman" w:cs="Times New Roman"/>
          <w:lang w:val="en-US"/>
        </w:rPr>
        <w:t xml:space="preserve">        ?age dbo:has_cell ?agecell.           #returns the triples with cells for those instances</w:t>
      </w:r>
    </w:p>
    <w:p w:rsidR="00855B28" w:rsidRPr="00B31950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5690163E">
        <w:rPr>
          <w:rFonts w:ascii="Times New Roman" w:hAnsi="Times New Roman" w:cs="Times New Roman"/>
          <w:lang w:val="en-US"/>
        </w:rPr>
        <w:t xml:space="preserve">        ?agecell roo:P100042 ?agevalue.  #gets the values in those cells, which gives the age values</w:t>
      </w:r>
    </w:p>
    <w:p w:rsidR="00855B28" w:rsidRDefault="00855B28" w:rsidP="00855B28">
      <w:pPr>
        <w:spacing w:line="240" w:lineRule="auto"/>
        <w:rPr>
          <w:rFonts w:ascii="Times New Roman" w:hAnsi="Times New Roman" w:cs="Times New Roman"/>
          <w:lang w:val="en-US"/>
        </w:rPr>
      </w:pPr>
      <w:r w:rsidRPr="26712FF1">
        <w:rPr>
          <w:rFonts w:ascii="Times New Roman" w:hAnsi="Times New Roman" w:cs="Times New Roman"/>
          <w:lang w:val="en-US"/>
        </w:rPr>
        <w:t xml:space="preserve">    }</w:t>
      </w:r>
    </w:p>
    <w:p w:rsidR="00855B28" w:rsidRPr="00752D2C" w:rsidRDefault="00855B28" w:rsidP="00855B28">
      <w:pPr>
        <w:spacing w:line="480" w:lineRule="auto"/>
        <w:rPr>
          <w:rFonts w:ascii="Times New Roman" w:hAnsi="Times New Roman" w:cs="Times New Roman"/>
          <w:lang w:val="en-US"/>
        </w:rPr>
      </w:pPr>
    </w:p>
    <w:p w:rsidR="00122784" w:rsidRDefault="00122784"/>
    <w:sectPr w:rsidR="00122784" w:rsidSect="00DF17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B28"/>
    <w:rsid w:val="00122784"/>
    <w:rsid w:val="0085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E93B2"/>
  <w15:chartTrackingRefBased/>
  <w15:docId w15:val="{83AD965C-87E5-46A7-8F17-E01096415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5B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855B2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698</Words>
  <Characters>3839</Characters>
  <Application>Microsoft Office Word</Application>
  <DocSecurity>0</DocSecurity>
  <Lines>31</Lines>
  <Paragraphs>9</Paragraphs>
  <ScaleCrop>false</ScaleCrop>
  <Company>Maastricht University</Company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Varsha Gouthamchand</dc:creator>
  <cp:keywords/>
  <dc:description/>
  <cp:lastModifiedBy>Varsha Gouthamchand</cp:lastModifiedBy>
  <cp:revision>1</cp:revision>
  <dcterms:created xsi:type="dcterms:W3CDTF">2023-03-17T16:07:00Z</dcterms:created>
  <dcterms:modified xsi:type="dcterms:W3CDTF">2023-03-17T16:08:00Z</dcterms:modified>
</cp:coreProperties>
</file>