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5549F" w:rsidRDefault="00000000">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S4. Conservation Planning Based on Current and Future Critical Habitat for Canada Warbler and Wood Thrush</w:t>
      </w:r>
    </w:p>
    <w:p w14:paraId="00000002" w14:textId="77777777" w:rsidR="0065549F" w:rsidRDefault="00000000">
      <w:pPr>
        <w:pStyle w:val="Heading1"/>
        <w:rPr>
          <w:rFonts w:ascii="Times New Roman" w:eastAsia="Times New Roman" w:hAnsi="Times New Roman" w:cs="Times New Roman"/>
          <w:sz w:val="24"/>
          <w:szCs w:val="24"/>
        </w:rPr>
      </w:pPr>
      <w:r>
        <w:rPr>
          <w:rFonts w:ascii="Times New Roman" w:eastAsia="Times New Roman" w:hAnsi="Times New Roman" w:cs="Times New Roman"/>
          <w:sz w:val="24"/>
          <w:szCs w:val="24"/>
        </w:rPr>
        <w:t>Methods</w:t>
      </w:r>
    </w:p>
    <w:p w14:paraId="00000003" w14:textId="638AA1F5"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conservation planning software Zonation 4.0 (</w:t>
      </w:r>
      <w:proofErr w:type="spellStart"/>
      <w:r w:rsidRPr="008A46FC">
        <w:rPr>
          <w:rFonts w:ascii="Times New Roman" w:eastAsia="Times New Roman" w:hAnsi="Times New Roman" w:cs="Times New Roman"/>
          <w:sz w:val="24"/>
          <w:szCs w:val="24"/>
        </w:rPr>
        <w:t>Moilanen</w:t>
      </w:r>
      <w:proofErr w:type="spellEnd"/>
      <w:r w:rsidRPr="008A46FC">
        <w:rPr>
          <w:rFonts w:ascii="Times New Roman" w:eastAsia="Times New Roman" w:hAnsi="Times New Roman" w:cs="Times New Roman"/>
          <w:sz w:val="24"/>
          <w:szCs w:val="24"/>
        </w:rPr>
        <w:t xml:space="preserve"> et al. 20</w:t>
      </w:r>
      <w:r w:rsidR="005E6987" w:rsidRPr="008A46FC">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was used to run conservation planning scenarios that prioritized and visualized locations of potential </w:t>
      </w:r>
      <w:r w:rsidR="00A02DAA">
        <w:rPr>
          <w:rFonts w:ascii="Times New Roman" w:eastAsia="Times New Roman" w:hAnsi="Times New Roman" w:cs="Times New Roman"/>
          <w:sz w:val="24"/>
          <w:szCs w:val="24"/>
        </w:rPr>
        <w:t xml:space="preserve">current and future </w:t>
      </w:r>
      <w:r>
        <w:rPr>
          <w:rFonts w:ascii="Times New Roman" w:eastAsia="Times New Roman" w:hAnsi="Times New Roman" w:cs="Times New Roman"/>
          <w:sz w:val="24"/>
          <w:szCs w:val="24"/>
        </w:rPr>
        <w:t>habitat in two management units for Canada Warbler (northern Nova Scotia, Al-Pac Forest Management Area in northeastern Alberta) and across</w:t>
      </w:r>
      <w:r w:rsidR="00A02DAA">
        <w:rPr>
          <w:rFonts w:ascii="Times New Roman" w:eastAsia="Times New Roman" w:hAnsi="Times New Roman" w:cs="Times New Roman"/>
          <w:sz w:val="24"/>
          <w:szCs w:val="24"/>
        </w:rPr>
        <w:t xml:space="preserve"> individual</w:t>
      </w:r>
      <w:r>
        <w:rPr>
          <w:rFonts w:ascii="Times New Roman" w:eastAsia="Times New Roman" w:hAnsi="Times New Roman" w:cs="Times New Roman"/>
          <w:sz w:val="24"/>
          <w:szCs w:val="24"/>
        </w:rPr>
        <w:t xml:space="preserve"> eastern provinces for Wood Thrush (Ontario, Quebec, New Brunswick, Nova Scotia) (Appendix S</w:t>
      </w:r>
      <w:r w:rsidR="00A02DA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Zonation is a spatial prioritization software package which analyzes raster data on selected features in a study area such as species occurrences, distribution data, habitat quality, anthropogenic disturbance, and any other features of interest. The Zonation algorithm systematically ranks each cell according to its absolute value (how much of that feature it contributes on the landscape) and its benefit to connectivity (how connected it is to other instances of the same feature, or other features considered desirable) </w:t>
      </w:r>
      <w:r w:rsidR="00A02DAA">
        <w:rPr>
          <w:rFonts w:ascii="Times New Roman" w:eastAsia="Times New Roman" w:hAnsi="Times New Roman" w:cs="Times New Roman"/>
          <w:sz w:val="24"/>
          <w:szCs w:val="24"/>
        </w:rPr>
        <w:fldChar w:fldCharType="begin"/>
      </w:r>
      <w:r w:rsidR="00A02DAA">
        <w:rPr>
          <w:rFonts w:ascii="Times New Roman" w:eastAsia="Times New Roman" w:hAnsi="Times New Roman" w:cs="Times New Roman"/>
          <w:sz w:val="24"/>
          <w:szCs w:val="24"/>
        </w:rPr>
        <w:instrText xml:space="preserve"> ADDIN ZOTERO_ITEM CSL_CITATION {"citationID":"Jqr7krUx","properties":{"formattedCitation":"(Lehtom\\uc0\\u228{}ki and Moilanen 2013)","plainCitation":"(Lehtomäki and Moilanen 2013)","noteIndex":0},"citationItems":[{"id":260,"uris":["http://zotero.org/groups/4916363/items/RGSUMXAI"],"itemData":{"id":260,"type":"article-journal","abstract":"Spatial conservation prioritization concerns the effective allocation of conservation action. Its stages include development of an ecologically based model of conservation value, data pre-processing, spatial prioritization analysis, and interpretation of results for conservation action. Here we investigate the details of each stage for analyses done using the Zonation prioritization framework. While there is much literature about analytical methods implemented in Zonation, there is only scattered information available about what happens before and after the computational analysis. Here we fill this information gap by summarizing the pre-analysis and post-analysis stages of the Zonation framework. Concerning the entire process, we summarize the full workflow and list examples of operational best-case, worst-case, and typical scenarios for each analysis stage. We discuss resources needed in different analysis stages. We also discuss benefits, disadvantages, and risks involved in the application of spatial prioritization from the perspective of different stakeholders. Concerning pre-analysis stages, we explain the development of the ecological model and discuss the setting of priority weights and connectivity responses. We also explain practical aspects of data pre-processing and the post-processing interpretation of results for different conservation objectives. This work facilitates well-informed design and application of Zonation analyses for the purpose of spatial conservation planning. It should be useful for both scientists working on conservation related research as well as for practitioners looking for useful tools for conservation resource allocation.","container-title":"Environmental Modelling &amp; Software","DOI":"10.1016/j.envsoft.2013.05.001","ISSN":"1364-8152","journalAbbreviation":"Environmental Modelling &amp; Software","language":"en","page":"128-137","source":"ScienceDirect","title":"Methods and workflow for spatial conservation prioritization using Zonation","volume":"47","author":[{"family":"Lehtomäki","given":"Joona"},{"family":"Moilanen","given":"Atte"}],"issued":{"date-parts":[["2013",9,1]]}}}],"schema":"https://github.com/citation-style-language/schema/raw/master/csl-citation.json"} </w:instrText>
      </w:r>
      <w:r w:rsidR="00A02DAA">
        <w:rPr>
          <w:rFonts w:ascii="Times New Roman" w:eastAsia="Times New Roman" w:hAnsi="Times New Roman" w:cs="Times New Roman"/>
          <w:sz w:val="24"/>
          <w:szCs w:val="24"/>
        </w:rPr>
        <w:fldChar w:fldCharType="separate"/>
      </w:r>
      <w:r w:rsidR="00A02DAA" w:rsidRPr="00A02DAA">
        <w:rPr>
          <w:rFonts w:ascii="Times New Roman" w:hAnsi="Times New Roman" w:cs="Times New Roman"/>
          <w:sz w:val="24"/>
          <w:szCs w:val="24"/>
        </w:rPr>
        <w:t>(Lehtomäki and Moilanen 2013)</w:t>
      </w:r>
      <w:r w:rsidR="00A02DAA">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00000004" w14:textId="77777777" w:rsidR="0065549F" w:rsidRDefault="0065549F">
      <w:pPr>
        <w:widowControl w:val="0"/>
        <w:spacing w:after="0"/>
        <w:ind w:firstLine="720"/>
        <w:rPr>
          <w:rFonts w:ascii="Times New Roman" w:eastAsia="Times New Roman" w:hAnsi="Times New Roman" w:cs="Times New Roman"/>
          <w:sz w:val="24"/>
          <w:szCs w:val="24"/>
        </w:rPr>
      </w:pPr>
    </w:p>
    <w:p w14:paraId="00000005" w14:textId="77777777"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algorithm first calculates the overall value of each cell in a raster by totaling the presence of desirable features in each cell, subtracting the presence of undesirable features, and then connecting the area to other cells of high value. The user can weight the value of features as well as the importance of connectivity. Zonation then removes the cell with the lowest value on the entire landscape. Zonation then recalculates the value of all the remaining cells and removes the next least valuable cell. This proceeds iteratively over the landscape until all cells have been removed and ranked. The cells removed last represent the highest value both for retaining desirable features on the landscape and ensuring their connectivity. The output integer raster displays the most valuable cells as closer to ‘1’ and the least valuable as closer to ‘0’. Areas with high values can then be prioritized by users for conservation or management.</w:t>
      </w:r>
    </w:p>
    <w:p w14:paraId="00000006" w14:textId="77777777" w:rsidR="0065549F" w:rsidRDefault="0065549F">
      <w:pPr>
        <w:widowControl w:val="0"/>
        <w:spacing w:after="0"/>
        <w:ind w:firstLine="720"/>
        <w:rPr>
          <w:rFonts w:ascii="Times New Roman" w:eastAsia="Times New Roman" w:hAnsi="Times New Roman" w:cs="Times New Roman"/>
          <w:sz w:val="24"/>
          <w:szCs w:val="24"/>
        </w:rPr>
      </w:pPr>
    </w:p>
    <w:p w14:paraId="00000007" w14:textId="72D69945"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parameters which govern which cells are removed are set by the operator (</w:t>
      </w:r>
      <w:proofErr w:type="spellStart"/>
      <w:r w:rsidRPr="008A46FC">
        <w:rPr>
          <w:rFonts w:ascii="Times New Roman" w:eastAsia="Times New Roman" w:hAnsi="Times New Roman" w:cs="Times New Roman"/>
          <w:sz w:val="24"/>
          <w:szCs w:val="24"/>
        </w:rPr>
        <w:t>Moilanen</w:t>
      </w:r>
      <w:proofErr w:type="spellEnd"/>
      <w:r w:rsidRPr="008A46FC">
        <w:rPr>
          <w:rFonts w:ascii="Times New Roman" w:eastAsia="Times New Roman" w:hAnsi="Times New Roman" w:cs="Times New Roman"/>
          <w:sz w:val="24"/>
          <w:szCs w:val="24"/>
        </w:rPr>
        <w:t xml:space="preserve"> et al., 20</w:t>
      </w:r>
      <w:r w:rsidR="005E698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We used the ‘core-area Zonation’ (CAZ) parameter which first removes cells that have common and low-weighted features. Eventually, features that were once common become </w:t>
      </w:r>
      <w:r w:rsidR="008A46FC">
        <w:rPr>
          <w:rFonts w:ascii="Times New Roman" w:eastAsia="Times New Roman" w:hAnsi="Times New Roman" w:cs="Times New Roman"/>
          <w:sz w:val="24"/>
          <w:szCs w:val="24"/>
        </w:rPr>
        <w:t>rarer</w:t>
      </w:r>
      <w:r>
        <w:rPr>
          <w:rFonts w:ascii="Times New Roman" w:eastAsia="Times New Roman" w:hAnsi="Times New Roman" w:cs="Times New Roman"/>
          <w:sz w:val="24"/>
          <w:szCs w:val="24"/>
        </w:rPr>
        <w:t>, and then are prioritized so that cells containing other, now more common, features are removed. The model output of a CAZ scenario will preserve core areas for each species and may therefore prioritize areas that have relatively low predicted density but maintain the species on the landscape over time</w:t>
      </w:r>
      <w:r w:rsidR="00A02D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Moilanen</w:t>
      </w:r>
      <w:proofErr w:type="spellEnd"/>
      <w:r>
        <w:rPr>
          <w:rFonts w:ascii="Times New Roman" w:eastAsia="Times New Roman" w:hAnsi="Times New Roman" w:cs="Times New Roman"/>
          <w:sz w:val="24"/>
          <w:szCs w:val="24"/>
        </w:rPr>
        <w:t xml:space="preserve"> et al.</w:t>
      </w:r>
      <w:r w:rsidR="00A02D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w:t>
      </w:r>
      <w:r w:rsidR="005E6987">
        <w:rPr>
          <w:rFonts w:ascii="Times New Roman" w:eastAsia="Times New Roman" w:hAnsi="Times New Roman" w:cs="Times New Roman"/>
          <w:sz w:val="24"/>
          <w:szCs w:val="24"/>
        </w:rPr>
        <w:t>14</w:t>
      </w:r>
      <w:r>
        <w:rPr>
          <w:rFonts w:ascii="Times New Roman" w:eastAsia="Times New Roman" w:hAnsi="Times New Roman" w:cs="Times New Roman"/>
          <w:sz w:val="24"/>
          <w:szCs w:val="24"/>
        </w:rPr>
        <w:t>).</w:t>
      </w:r>
    </w:p>
    <w:p w14:paraId="00000008" w14:textId="77777777" w:rsidR="0065549F" w:rsidRDefault="0065549F">
      <w:pPr>
        <w:widowControl w:val="0"/>
        <w:spacing w:after="0"/>
        <w:ind w:firstLine="720"/>
        <w:rPr>
          <w:rFonts w:ascii="Times New Roman" w:eastAsia="Times New Roman" w:hAnsi="Times New Roman" w:cs="Times New Roman"/>
          <w:sz w:val="24"/>
          <w:szCs w:val="24"/>
        </w:rPr>
      </w:pPr>
    </w:p>
    <w:p w14:paraId="00000009" w14:textId="4206AC02"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value areas of connectivity, we applied the distribution smoothing (DS) parameter. DS essentially adjusts a cell’s value so that it is more valuable if connected to other cells which contain features representing the species</w:t>
      </w:r>
      <w:r w:rsidR="00A02DAA">
        <w:rPr>
          <w:rFonts w:ascii="Times New Roman" w:eastAsia="Times New Roman" w:hAnsi="Times New Roman" w:cs="Times New Roman"/>
          <w:sz w:val="24"/>
          <w:szCs w:val="24"/>
        </w:rPr>
        <w:t xml:space="preserve"> </w:t>
      </w:r>
      <w:r w:rsidR="00A02DAA">
        <w:rPr>
          <w:rFonts w:ascii="Times New Roman" w:eastAsia="Times New Roman" w:hAnsi="Times New Roman" w:cs="Times New Roman"/>
          <w:sz w:val="24"/>
          <w:szCs w:val="24"/>
        </w:rPr>
        <w:fldChar w:fldCharType="begin"/>
      </w:r>
      <w:r w:rsidR="00A02DAA">
        <w:rPr>
          <w:rFonts w:ascii="Times New Roman" w:eastAsia="Times New Roman" w:hAnsi="Times New Roman" w:cs="Times New Roman"/>
          <w:sz w:val="24"/>
          <w:szCs w:val="24"/>
        </w:rPr>
        <w:instrText xml:space="preserve"> ADDIN ZOTERO_ITEM CSL_CITATION {"citationID":"ilqiHTsq","properties":{"formattedCitation":"(Moilanen and Wintle 2006; Moilanen et al. 2006)","plainCitation":"(Moilanen and Wintle 2006; Moilanen et al. 2006)","noteIndex":0},"citationItems":[{"id":265,"uris":["http://zotero.org/groups/4916363/items/448KVRS4"],"itemData":{"id":265,"type":"article-journal","abstract":"It has been widely argued that habitat fragmentation is bad for (meta)population persistence and that a high level of fragmentation is a similarly undesirable characteristic for a reserve network. However, modelling the effects of fragmentation for many species is very difficult due to high data demands and uncertainty concerning its effect on particular species. Hence, several reserve selection methods employ qualitative heuristics such as boundary length penalties that aggregate reserve network structures. This aggregation usually comes at a cost because low quality habitats will be included for the sake of increased connectivity. Here a biologically justified method for designing aggregated reserve networks based on a technique called distribution smoothing is investigated. As with the boundary length penalty, its use incurs an apparent biological cost. However, taking a step further, potential negative effects of fragmentation on individual species are evaluated using a decision-theoretic uncertainty analysis approach. This analysis shows that the aggregated reserve network (based on smoothed distributions) is likely to be biologically more valuable than a more fragmented one (based on habitat model predictions). The method is illustrated with a reserve design case study in the Hunter Valley of south-eastern Australia. The uncertainty analysis method, based on information-gap decision theory, provides a systematic framework for making robust decisions under severe uncertainty, making it particularly well adapted to reserve design problems.","container-title":"Biological Conservation","DOI":"10.1016/j.biocon.2005.11.006","ISSN":"0006-3207","issue":"3","journalAbbreviation":"Biological Conservation","language":"en","page":"427-434","source":"ScienceDirect","title":"Uncertainty analysis favours selection of spatially aggregated reserve networks","volume":"129","author":[{"family":"Moilanen","given":"Atte"},{"family":"Wintle","given":"Brendan A."}],"issued":{"date-parts":[["2006",5,1]]}}},{"id":268,"uris":["http://zotero.org/groups/4916363/items/K862TS3J"],"itemData":{"id":268,"type":"article-journal","abstract":"Planning land-use for biodiversity conservation frequently involves computer-assisted reserve selection algorithms. Typically such algorithms operate on matrices of species presence–absence in sites, or on species-specific distributions of model predicted probabilities of occurrence in grid cells. There are practically always errors in input data—erroneous species presence–absence data, structural and parametric uncertainty in predictive habitat models, and lack of correspondence between temporal presence and long-run persistence. Despite these uncertainties, typical reserve selection methods proceed as if there is no uncertainty in the data or models. Having two conservation options of apparently equal biological value, one would prefer the option whose value is relatively insensitive to errors in planning inputs. In this work we show how uncertainty analysis for reserve planning can be implemented within a framework of information-gap decision theory, generating reserve designs that are robust to uncertainty. Consideration of uncertainty involves modifications to the typical objective functions used in reserve selection. Search for robust-optimal reserve structures can still be implemented via typical reserve selection optimization techniques, including stepwise heuristics, integer-programming and stochastic global search.","container-title":"Ecological Modelling","DOI":"10.1016/j.ecolmodel.2006.07.004","ISSN":"0304-3800","issue":"1","journalAbbreviation":"Ecological Modelling","language":"en","page":"115-124","source":"ScienceDirect","title":"Planning for robust reserve networks using uncertainty analysis","volume":"199","author":[{"family":"Moilanen","given":"Atte"},{"family":"Runge","given":"Michael C."},{"family":"Elith","given":"Jane"},{"family":"Tyre","given":"Andrew"},{"family":"Carmel","given":"Yohay"},{"family":"Fegraus","given":"Eric"},{"family":"Wintle","given":"Brendan A."},{"family":"Burgman","given":"Mark"},{"family":"Ben-Haim","given":"Yakov"}],"issued":{"date-parts":[["2006",11,1]]}}}],"schema":"https://github.com/citation-style-language/schema/raw/master/csl-citation.json"} </w:instrText>
      </w:r>
      <w:r w:rsidR="00A02DAA">
        <w:rPr>
          <w:rFonts w:ascii="Times New Roman" w:eastAsia="Times New Roman" w:hAnsi="Times New Roman" w:cs="Times New Roman"/>
          <w:sz w:val="24"/>
          <w:szCs w:val="24"/>
        </w:rPr>
        <w:fldChar w:fldCharType="separate"/>
      </w:r>
      <w:r w:rsidR="00A02DAA" w:rsidRPr="00A02DAA">
        <w:rPr>
          <w:rFonts w:ascii="Times New Roman" w:hAnsi="Times New Roman" w:cs="Times New Roman"/>
          <w:sz w:val="24"/>
        </w:rPr>
        <w:t>(Moilanen and Wintle 2006; Moilanen et al. 2006)</w:t>
      </w:r>
      <w:r w:rsidR="00A02DAA">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For each species, it is necessary to provide a quantitative expression that indicates </w:t>
      </w:r>
      <w:r w:rsidR="00A02DAA">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two instances of that indicator are ‘connected’. For species and species groups, this is measured as an estimate for dispersal. Dispersal is an important determinant of whether a species selects or colonizes a habitat and is also critical in determining its response to climate change (i.e., the </w:t>
      </w:r>
      <w:r>
        <w:rPr>
          <w:rFonts w:ascii="Times New Roman" w:eastAsia="Times New Roman" w:hAnsi="Times New Roman" w:cs="Times New Roman"/>
          <w:sz w:val="24"/>
          <w:szCs w:val="24"/>
        </w:rPr>
        <w:lastRenderedPageBreak/>
        <w:t>ability to move from current to future suitable habitats).</w:t>
      </w:r>
    </w:p>
    <w:p w14:paraId="0000000A" w14:textId="77777777" w:rsidR="0065549F" w:rsidRDefault="0065549F">
      <w:pPr>
        <w:widowControl w:val="0"/>
        <w:spacing w:after="0"/>
        <w:ind w:firstLine="720"/>
        <w:rPr>
          <w:rFonts w:ascii="Times New Roman" w:eastAsia="Times New Roman" w:hAnsi="Times New Roman" w:cs="Times New Roman"/>
          <w:sz w:val="24"/>
          <w:szCs w:val="24"/>
        </w:rPr>
      </w:pPr>
    </w:p>
    <w:p w14:paraId="0000000B" w14:textId="561FB4AA"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each species for each management unit, we ran a series of scenarios based on current and predicted future distributions using 250m rasters. For each species in each management unit, we ran a </w:t>
      </w:r>
      <w:r w:rsidR="00A02DAA">
        <w:rPr>
          <w:rFonts w:ascii="Times New Roman" w:eastAsia="Times New Roman" w:hAnsi="Times New Roman" w:cs="Times New Roman"/>
          <w:sz w:val="24"/>
          <w:szCs w:val="24"/>
        </w:rPr>
        <w:t>scenario that prioritized locations</w:t>
      </w:r>
      <w:r>
        <w:rPr>
          <w:rFonts w:ascii="Times New Roman" w:eastAsia="Times New Roman" w:hAnsi="Times New Roman" w:cs="Times New Roman"/>
          <w:sz w:val="24"/>
          <w:szCs w:val="24"/>
        </w:rPr>
        <w:t xml:space="preserve"> based on predicted current distribution (Appendi</w:t>
      </w:r>
      <w:r w:rsidR="00A02DAA">
        <w:rPr>
          <w:rFonts w:ascii="Times New Roman" w:eastAsia="Times New Roman" w:hAnsi="Times New Roman" w:cs="Times New Roman"/>
          <w:sz w:val="24"/>
          <w:szCs w:val="24"/>
        </w:rPr>
        <w:t>ces</w:t>
      </w:r>
      <w:r>
        <w:rPr>
          <w:rFonts w:ascii="Times New Roman" w:eastAsia="Times New Roman" w:hAnsi="Times New Roman" w:cs="Times New Roman"/>
          <w:sz w:val="24"/>
          <w:szCs w:val="24"/>
        </w:rPr>
        <w:t xml:space="preserve"> S2</w:t>
      </w:r>
      <w:r w:rsidR="00A02DAA">
        <w:rPr>
          <w:rFonts w:ascii="Times New Roman" w:eastAsia="Times New Roman" w:hAnsi="Times New Roman" w:cs="Times New Roman"/>
          <w:sz w:val="24"/>
          <w:szCs w:val="24"/>
        </w:rPr>
        <w:t>-S3</w:t>
      </w:r>
      <w:r>
        <w:rPr>
          <w:rFonts w:ascii="Times New Roman" w:eastAsia="Times New Roman" w:hAnsi="Times New Roman" w:cs="Times New Roman"/>
          <w:sz w:val="24"/>
          <w:szCs w:val="24"/>
        </w:rPr>
        <w:t>) alone. We also developed scenarios which prioritized areas based on both current and future distributions (and the connectivity between them). For management units where predicted future distribution was developed using LANDIS models (Appendix S3), we developed three scenarios: best-case (</w:t>
      </w:r>
      <w:r w:rsidR="00A02DAA">
        <w:rPr>
          <w:rFonts w:ascii="Times New Roman" w:eastAsia="Times New Roman" w:hAnsi="Times New Roman" w:cs="Times New Roman"/>
          <w:sz w:val="24"/>
          <w:szCs w:val="24"/>
        </w:rPr>
        <w:t>largest future population</w:t>
      </w:r>
      <w:r>
        <w:rPr>
          <w:rFonts w:ascii="Times New Roman" w:eastAsia="Times New Roman" w:hAnsi="Times New Roman" w:cs="Times New Roman"/>
          <w:sz w:val="24"/>
          <w:szCs w:val="24"/>
        </w:rPr>
        <w:t>), medium-case (</w:t>
      </w:r>
      <w:r w:rsidR="00FB5F15">
        <w:rPr>
          <w:rFonts w:ascii="Times New Roman" w:eastAsia="Times New Roman" w:hAnsi="Times New Roman" w:cs="Times New Roman"/>
          <w:sz w:val="24"/>
          <w:szCs w:val="24"/>
        </w:rPr>
        <w:t>scenario with median future population size</w:t>
      </w:r>
      <w:r>
        <w:rPr>
          <w:rFonts w:ascii="Times New Roman" w:eastAsia="Times New Roman" w:hAnsi="Times New Roman" w:cs="Times New Roman"/>
          <w:sz w:val="24"/>
          <w:szCs w:val="24"/>
        </w:rPr>
        <w:t>), and worst-case (</w:t>
      </w:r>
      <w:r w:rsidR="00A02DAA">
        <w:rPr>
          <w:rFonts w:ascii="Times New Roman" w:eastAsia="Times New Roman" w:hAnsi="Times New Roman" w:cs="Times New Roman"/>
          <w:sz w:val="24"/>
          <w:szCs w:val="24"/>
        </w:rPr>
        <w:t>smallest future population</w:t>
      </w:r>
      <w:r>
        <w:rPr>
          <w:rFonts w:ascii="Times New Roman" w:eastAsia="Times New Roman" w:hAnsi="Times New Roman" w:cs="Times New Roman"/>
          <w:sz w:val="24"/>
          <w:szCs w:val="24"/>
        </w:rPr>
        <w:t>). For management units where predicted future distribution was developed using ALCES (Appendix S3), we only developed one modelling scenario using forecasting data.</w:t>
      </w:r>
    </w:p>
    <w:p w14:paraId="0000000C" w14:textId="77777777" w:rsidR="0065549F" w:rsidRDefault="0065549F">
      <w:pPr>
        <w:widowControl w:val="0"/>
        <w:spacing w:after="0"/>
        <w:ind w:firstLine="720"/>
        <w:rPr>
          <w:rFonts w:ascii="Times New Roman" w:eastAsia="Times New Roman" w:hAnsi="Times New Roman" w:cs="Times New Roman"/>
          <w:sz w:val="24"/>
          <w:szCs w:val="24"/>
        </w:rPr>
      </w:pPr>
    </w:p>
    <w:p w14:paraId="0000000D" w14:textId="77777777"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each scenario, we used run-time data to determine what proportion of the predicted current (2020) population of the species of interest remained as pixels in the study area were “removed” from the landscape. Custom run-time plots were then generated showing the amount and location of lands to conserve up to 50, 75, 90, and 100% of the current population as habitat for each scenario. We also generated custom maps from the rank raster maps where each pixel was reclassified according to if the pixel was prioritized for conserving at least 50, 75, 90, or 100% of the current population of a species. These latter maps enable estimation of the conservation efficiency of each Zonation scenario. It should be noted that if the future predicted population was smaller than the current population, it was not possible to use Zonation to identify enough land to protect 100 % of the current population. </w:t>
      </w:r>
    </w:p>
    <w:p w14:paraId="0000000E" w14:textId="77777777" w:rsidR="0065549F" w:rsidRDefault="0065549F">
      <w:pPr>
        <w:widowControl w:val="0"/>
        <w:spacing w:after="0"/>
        <w:rPr>
          <w:rFonts w:ascii="Times New Roman" w:eastAsia="Times New Roman" w:hAnsi="Times New Roman" w:cs="Times New Roman"/>
          <w:sz w:val="24"/>
          <w:szCs w:val="24"/>
        </w:rPr>
      </w:pPr>
    </w:p>
    <w:p w14:paraId="0000000F" w14:textId="77777777" w:rsidR="0065549F"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Canada Warbler</w:t>
      </w:r>
    </w:p>
    <w:p w14:paraId="00000010" w14:textId="77777777" w:rsidR="0065549F" w:rsidRDefault="0065549F">
      <w:pPr>
        <w:widowControl w:val="0"/>
        <w:spacing w:after="0"/>
        <w:ind w:firstLine="720"/>
        <w:rPr>
          <w:rFonts w:ascii="Times New Roman" w:eastAsia="Times New Roman" w:hAnsi="Times New Roman" w:cs="Times New Roman"/>
          <w:sz w:val="24"/>
          <w:szCs w:val="24"/>
        </w:rPr>
      </w:pPr>
    </w:p>
    <w:p w14:paraId="00000011" w14:textId="1FE11794" w:rsidR="0065549F" w:rsidRDefault="00000000">
      <w:pPr>
        <w:widowControl w:val="0"/>
        <w:spacing w:after="0"/>
        <w:ind w:firstLine="720"/>
        <w:rPr>
          <w:rFonts w:ascii="Times New Roman" w:eastAsia="Times New Roman" w:hAnsi="Times New Roman" w:cs="Times New Roman"/>
        </w:rPr>
      </w:pPr>
      <w:r>
        <w:rPr>
          <w:rFonts w:ascii="Times New Roman" w:eastAsia="Times New Roman" w:hAnsi="Times New Roman" w:cs="Times New Roman"/>
          <w:sz w:val="24"/>
          <w:szCs w:val="24"/>
        </w:rPr>
        <w:t xml:space="preserve">All scenarios used the CAZ cell-removal method to iteratively assign relative values to cells that increased with mean density and decreased with increasing prediction uncertainty, then removed the least valuable cells in each iteration. Using distribution smoothing, we also assigned higher values to cells in each iteration if they were close to other cells with high Canada Warbler densities. The distribution kernel assigned was, aggregating cells together through distributive smoothing, using α= 0.0004 based on a natal dispersal distance of 5 km for Canada Warbler </w:t>
      </w:r>
      <w:r w:rsidR="00FB5F15">
        <w:rPr>
          <w:rFonts w:ascii="Times New Roman" w:eastAsia="Times New Roman" w:hAnsi="Times New Roman" w:cs="Times New Roman"/>
          <w:sz w:val="24"/>
          <w:szCs w:val="24"/>
        </w:rPr>
        <w:fldChar w:fldCharType="begin"/>
      </w:r>
      <w:r w:rsidR="00FB5F15">
        <w:rPr>
          <w:rFonts w:ascii="Times New Roman" w:eastAsia="Times New Roman" w:hAnsi="Times New Roman" w:cs="Times New Roman"/>
          <w:sz w:val="24"/>
          <w:szCs w:val="24"/>
        </w:rPr>
        <w:instrText xml:space="preserve"> ADDIN ZOTERO_ITEM CSL_CITATION {"citationID":"vvqlPBPY","properties":{"formattedCitation":"(Westwood et al. 2020)","plainCitation":"(Westwood et al. 2020)","noteIndex":0},"citationItems":[{"id":247,"uris":["http://zotero.org/groups/4916363/items/I3GNSFD9"],"itemData":{"id":247,"type":"article-journal","abstract":"Populations of Canada Warbler (Cardellina canadensis) are declining in Canada’s Atlantic Northern Forest. Land conservancies and government agencies are interested in identifying areas to protect populations, while some timber companies wish to manage forests to minimize impacts on Canada Warbler and potentially create future habitat. We developed seven conservation planning scenarios using Zonation software to prioritize candidate areas for permanent land conservation (4 scenarios) or responsible forest management (minimizing species removal during forest harvesting while promoting colonization of regenerated forest; 3 scenarios). Factors used to prioritize areas included Canada Warbler population density, connectivity to protected areas, future climate suitability, anthropogenic disturbance, and recent Canada Warbler observations. We analyzed each scenario for three estimates of natal dispersal distance (5, 10, and 50 km). We found that scenarios assuming large dispersal distances prioritized a few large hotspots, while low dispersal distance scenarios prioritized smaller, broadly distributed areas. For all scenarios, efficiency (proportion of current Canada Warbler population retained per unit area) declined with higher dispersal distance estimates and inclusion of climate change effects in the scenario. Using low dispersal distance scenarios in decision-making offers a more conservative approach to maintaining this species at risk. Given the differences among the scenarios, we encourage conservation planners to evaluate the reliability of dispersal estimates, the influence of habitat connectivity, and future climate suitability when prioritizing areas for conservation.","container-title":"Diversity","DOI":"10.3390/d12020061","ISSN":"1424-2818","issue":"2","language":"en","license":"http://creativecommons.org/licenses/by/3.0/","note":"number: 2\npublisher: Multidisciplinary Digital Publishing Institute","page":"61","source":"www.mdpi.com","title":"Prioritizing Areas for Land Conservation and Forest Management Planning for the Threatened Canada Warbler (Cardellina canadensis) in the Atlantic Northern Forest of Canada","volume":"12","author":[{"family":"Westwood","given":"Alana R."},{"family":"Lambert","given":"J. Daniel"},{"family":"Reitsma","given":"Leonard R."},{"family":"Stralberg","given":"Diana"}],"issued":{"date-parts":[["2020",2]]}}}],"schema":"https://github.com/citation-style-language/schema/raw/master/csl-citation.json"} </w:instrText>
      </w:r>
      <w:r w:rsidR="00FB5F15">
        <w:rPr>
          <w:rFonts w:ascii="Times New Roman" w:eastAsia="Times New Roman" w:hAnsi="Times New Roman" w:cs="Times New Roman"/>
          <w:sz w:val="24"/>
          <w:szCs w:val="24"/>
        </w:rPr>
        <w:fldChar w:fldCharType="separate"/>
      </w:r>
      <w:r w:rsidR="00FB5F15" w:rsidRPr="00FB5F15">
        <w:rPr>
          <w:rFonts w:ascii="Times New Roman" w:hAnsi="Times New Roman" w:cs="Times New Roman"/>
          <w:sz w:val="24"/>
        </w:rPr>
        <w:t>(Westwood et al. 2020)</w:t>
      </w:r>
      <w:r w:rsidR="00FB5F1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We chose this natal distance because it resulted in more efficient solutions (larger proportions of current and future predicted Canada Warbler populations protected by the least amount of land set aside) in previous conservation-planning scenarios</w:t>
      </w:r>
      <w:r w:rsidR="00FB5F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w:t>
      </w:r>
      <w:r w:rsidR="00FB5F15">
        <w:rPr>
          <w:rFonts w:ascii="Times New Roman" w:eastAsia="Times New Roman" w:hAnsi="Times New Roman" w:cs="Times New Roman"/>
          <w:sz w:val="24"/>
          <w:szCs w:val="24"/>
        </w:rPr>
        <w:t xml:space="preserve"> </w:t>
      </w:r>
      <w:r w:rsidR="00FB5F15">
        <w:rPr>
          <w:rFonts w:ascii="Times New Roman" w:eastAsia="Times New Roman" w:hAnsi="Times New Roman" w:cs="Times New Roman"/>
          <w:sz w:val="24"/>
          <w:szCs w:val="24"/>
        </w:rPr>
        <w:fldChar w:fldCharType="begin"/>
      </w:r>
      <w:r w:rsidR="00FB5F15">
        <w:rPr>
          <w:rFonts w:ascii="Times New Roman" w:eastAsia="Times New Roman" w:hAnsi="Times New Roman" w:cs="Times New Roman"/>
          <w:sz w:val="24"/>
          <w:szCs w:val="24"/>
        </w:rPr>
        <w:instrText xml:space="preserve"> ADDIN ZOTERO_ITEM CSL_CITATION {"citationID":"myjAWvwl","properties":{"formattedCitation":"(Westwood et al. 2020)","plainCitation":"(Westwood et al. 2020)","noteIndex":0},"citationItems":[{"id":247,"uris":["http://zotero.org/groups/4916363/items/I3GNSFD9"],"itemData":{"id":247,"type":"article-journal","abstract":"Populations of Canada Warbler (Cardellina canadensis) are declining in Canada’s Atlantic Northern Forest. Land conservancies and government agencies are interested in identifying areas to protect populations, while some timber companies wish to manage forests to minimize impacts on Canada Warbler and potentially create future habitat. We developed seven conservation planning scenarios using Zonation software to prioritize candidate areas for permanent land conservation (4 scenarios) or responsible forest management (minimizing species removal during forest harvesting while promoting colonization of regenerated forest; 3 scenarios). Factors used to prioritize areas included Canada Warbler population density, connectivity to protected areas, future climate suitability, anthropogenic disturbance, and recent Canada Warbler observations. We analyzed each scenario for three estimates of natal dispersal distance (5, 10, and 50 km). We found that scenarios assuming large dispersal distances prioritized a few large hotspots, while low dispersal distance scenarios prioritized smaller, broadly distributed areas. For all scenarios, efficiency (proportion of current Canada Warbler population retained per unit area) declined with higher dispersal distance estimates and inclusion of climate change effects in the scenario. Using low dispersal distance scenarios in decision-making offers a more conservative approach to maintaining this species at risk. Given the differences among the scenarios, we encourage conservation planners to evaluate the reliability of dispersal estimates, the influence of habitat connectivity, and future climate suitability when prioritizing areas for conservation.","container-title":"Diversity","DOI":"10.3390/d12020061","ISSN":"1424-2818","issue":"2","language":"en","license":"http://creativecommons.org/licenses/by/3.0/","note":"number: 2\npublisher: Multidisciplinary Digital Publishing Institute","page":"61","source":"www.mdpi.com","title":"Prioritizing Areas for Land Conservation and Forest Management Planning for the Threatened Canada Warbler (Cardellina canadensis) in the Atlantic Northern Forest of Canada","volume":"12","author":[{"family":"Westwood","given":"Alana R."},{"family":"Lambert","given":"J. Daniel"},{"family":"Reitsma","given":"Leonard R."},{"family":"Stralberg","given":"Diana"}],"issued":{"date-parts":[["2020",2]]}}}],"schema":"https://github.com/citation-style-language/schema/raw/master/csl-citation.json"} </w:instrText>
      </w:r>
      <w:r w:rsidR="00FB5F15">
        <w:rPr>
          <w:rFonts w:ascii="Times New Roman" w:eastAsia="Times New Roman" w:hAnsi="Times New Roman" w:cs="Times New Roman"/>
          <w:sz w:val="24"/>
          <w:szCs w:val="24"/>
        </w:rPr>
        <w:fldChar w:fldCharType="separate"/>
      </w:r>
      <w:r w:rsidR="00FB5F15" w:rsidRPr="00FB5F15">
        <w:rPr>
          <w:rFonts w:ascii="Times New Roman" w:hAnsi="Times New Roman" w:cs="Times New Roman"/>
          <w:sz w:val="24"/>
        </w:rPr>
        <w:t xml:space="preserve">Westwood et al. </w:t>
      </w:r>
      <w:r w:rsidR="00FB5F15">
        <w:rPr>
          <w:rFonts w:ascii="Times New Roman" w:hAnsi="Times New Roman" w:cs="Times New Roman"/>
          <w:sz w:val="24"/>
        </w:rPr>
        <w:t>(</w:t>
      </w:r>
      <w:r w:rsidR="00FB5F15" w:rsidRPr="00FB5F15">
        <w:rPr>
          <w:rFonts w:ascii="Times New Roman" w:hAnsi="Times New Roman" w:cs="Times New Roman"/>
          <w:sz w:val="24"/>
        </w:rPr>
        <w:t>2020)</w:t>
      </w:r>
      <w:r w:rsidR="00FB5F1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00000012" w14:textId="1E913E80" w:rsidR="0065549F" w:rsidRPr="008A46FC" w:rsidRDefault="00000000">
      <w:pPr>
        <w:pStyle w:val="Heading3"/>
        <w:rPr>
          <w:rFonts w:ascii="Times New Roman" w:eastAsia="Times New Roman" w:hAnsi="Times New Roman" w:cs="Times New Roman"/>
          <w:bCs/>
          <w:iCs/>
          <w:sz w:val="24"/>
          <w:szCs w:val="24"/>
        </w:rPr>
      </w:pPr>
      <w:r w:rsidRPr="008A46FC">
        <w:rPr>
          <w:rFonts w:ascii="Times New Roman" w:eastAsia="Times New Roman" w:hAnsi="Times New Roman" w:cs="Times New Roman"/>
          <w:bCs/>
          <w:iCs/>
          <w:sz w:val="24"/>
          <w:szCs w:val="24"/>
        </w:rPr>
        <w:t>Nova Scotia</w:t>
      </w:r>
      <w:r w:rsidR="008A46FC">
        <w:rPr>
          <w:rFonts w:ascii="Times New Roman" w:eastAsia="Times New Roman" w:hAnsi="Times New Roman" w:cs="Times New Roman"/>
          <w:bCs/>
          <w:iCs/>
          <w:sz w:val="24"/>
          <w:szCs w:val="24"/>
        </w:rPr>
        <w:t xml:space="preserve"> Scenarios</w:t>
      </w:r>
    </w:p>
    <w:p w14:paraId="00000013" w14:textId="68E4E819"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ran four Zonation scenarios for Canada Warbler in northern Nova Scotia. Input features for all scenarios included a set of known Canada Warbler occurrence locations in Nova Scotia, the current predicted mean density (males/ha) layer for Canada Warbler in northern Nova </w:t>
      </w:r>
      <w:r>
        <w:rPr>
          <w:rFonts w:ascii="Times New Roman" w:eastAsia="Times New Roman" w:hAnsi="Times New Roman" w:cs="Times New Roman"/>
          <w:sz w:val="24"/>
          <w:szCs w:val="24"/>
        </w:rPr>
        <w:lastRenderedPageBreak/>
        <w:t>Scotia (Appendix S3), and an uncertainty layer (standard deviation in predicted densities from the bootstraps from the same area), used in distribution discounting</w:t>
      </w:r>
      <w:r w:rsidR="00FB5F15">
        <w:rPr>
          <w:rFonts w:ascii="Times New Roman" w:eastAsia="Times New Roman" w:hAnsi="Times New Roman" w:cs="Times New Roman"/>
          <w:sz w:val="24"/>
          <w:szCs w:val="24"/>
        </w:rPr>
        <w:t xml:space="preserve"> </w:t>
      </w:r>
      <w:r w:rsidR="00FB5F15">
        <w:rPr>
          <w:rFonts w:ascii="Times New Roman" w:eastAsia="Times New Roman" w:hAnsi="Times New Roman" w:cs="Times New Roman"/>
          <w:sz w:val="24"/>
          <w:szCs w:val="24"/>
        </w:rPr>
        <w:fldChar w:fldCharType="begin"/>
      </w:r>
      <w:r w:rsidR="00FB5F15">
        <w:rPr>
          <w:rFonts w:ascii="Times New Roman" w:eastAsia="Times New Roman" w:hAnsi="Times New Roman" w:cs="Times New Roman"/>
          <w:sz w:val="24"/>
          <w:szCs w:val="24"/>
        </w:rPr>
        <w:instrText xml:space="preserve"> ADDIN ZOTERO_ITEM CSL_CITATION {"citationID":"qZuIcSno","properties":{"formattedCitation":"(Moilanen and Wintle 2006; Moilanen et al. 2006)","plainCitation":"(Moilanen and Wintle 2006; Moilanen et al. 2006)","noteIndex":0},"citationItems":[{"id":265,"uris":["http://zotero.org/groups/4916363/items/448KVRS4"],"itemData":{"id":265,"type":"article-journal","abstract":"It has been widely argued that habitat fragmentation is bad for (meta)population persistence and that a high level of fragmentation is a similarly undesirable characteristic for a reserve network. However, modelling the effects of fragmentation for many species is very difficult due to high data demands and uncertainty concerning its effect on particular species. Hence, several reserve selection methods employ qualitative heuristics such as boundary length penalties that aggregate reserve network structures. This aggregation usually comes at a cost because low quality habitats will be included for the sake of increased connectivity. Here a biologically justified method for designing aggregated reserve networks based on a technique called distribution smoothing is investigated. As with the boundary length penalty, its use incurs an apparent biological cost. However, taking a step further, potential negative effects of fragmentation on individual species are evaluated using a decision-theoretic uncertainty analysis approach. This analysis shows that the aggregated reserve network (based on smoothed distributions) is likely to be biologically more valuable than a more fragmented one (based on habitat model predictions). The method is illustrated with a reserve design case study in the Hunter Valley of south-eastern Australia. The uncertainty analysis method, based on information-gap decision theory, provides a systematic framework for making robust decisions under severe uncertainty, making it particularly well adapted to reserve design problems.","container-title":"Biological Conservation","DOI":"10.1016/j.biocon.2005.11.006","ISSN":"0006-3207","issue":"3","journalAbbreviation":"Biological Conservation","language":"en","page":"427-434","source":"ScienceDirect","title":"Uncertainty analysis favours selection of spatially aggregated reserve networks","volume":"129","author":[{"family":"Moilanen","given":"Atte"},{"family":"Wintle","given":"Brendan A."}],"issued":{"date-parts":[["2006",5,1]]}}},{"id":268,"uris":["http://zotero.org/groups/4916363/items/K862TS3J"],"itemData":{"id":268,"type":"article-journal","abstract":"Planning land-use for biodiversity conservation frequently involves computer-assisted reserve selection algorithms. Typically such algorithms operate on matrices of species presence–absence in sites, or on species-specific distributions of model predicted probabilities of occurrence in grid cells. There are practically always errors in input data—erroneous species presence–absence data, structural and parametric uncertainty in predictive habitat models, and lack of correspondence between temporal presence and long-run persistence. Despite these uncertainties, typical reserve selection methods proceed as if there is no uncertainty in the data or models. Having two conservation options of apparently equal biological value, one would prefer the option whose value is relatively insensitive to errors in planning inputs. In this work we show how uncertainty analysis for reserve planning can be implemented within a framework of information-gap decision theory, generating reserve designs that are robust to uncertainty. Consideration of uncertainty involves modifications to the typical objective functions used in reserve selection. Search for robust-optimal reserve structures can still be implemented via typical reserve selection optimization techniques, including stepwise heuristics, integer-programming and stochastic global search.","container-title":"Ecological Modelling","DOI":"10.1016/j.ecolmodel.2006.07.004","ISSN":"0304-3800","issue":"1","journalAbbreviation":"Ecological Modelling","language":"en","page":"115-124","source":"ScienceDirect","title":"Planning for robust reserve networks using uncertainty analysis","volume":"199","author":[{"family":"Moilanen","given":"Atte"},{"family":"Runge","given":"Michael C."},{"family":"Elith","given":"Jane"},{"family":"Tyre","given":"Andrew"},{"family":"Carmel","given":"Yohay"},{"family":"Fegraus","given":"Eric"},{"family":"Wintle","given":"Brendan A."},{"family":"Burgman","given":"Mark"},{"family":"Ben-Haim","given":"Yakov"}],"issued":{"date-parts":[["2006",11,1]]}}}],"schema":"https://github.com/citation-style-language/schema/raw/master/csl-citation.json"} </w:instrText>
      </w:r>
      <w:r w:rsidR="00FB5F15">
        <w:rPr>
          <w:rFonts w:ascii="Times New Roman" w:eastAsia="Times New Roman" w:hAnsi="Times New Roman" w:cs="Times New Roman"/>
          <w:sz w:val="24"/>
          <w:szCs w:val="24"/>
        </w:rPr>
        <w:fldChar w:fldCharType="separate"/>
      </w:r>
      <w:r w:rsidR="00FB5F15" w:rsidRPr="00FB5F15">
        <w:rPr>
          <w:rFonts w:ascii="Times New Roman" w:hAnsi="Times New Roman" w:cs="Times New Roman"/>
          <w:sz w:val="24"/>
        </w:rPr>
        <w:t>(Moilanen and Wintle 2006; Moilanen et al. 2006)</w:t>
      </w:r>
      <w:r w:rsidR="00FB5F1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00000014" w14:textId="77777777" w:rsidR="0065549F" w:rsidRDefault="0065549F">
      <w:pPr>
        <w:widowControl w:val="0"/>
        <w:spacing w:after="0"/>
        <w:ind w:firstLine="720"/>
        <w:rPr>
          <w:rFonts w:ascii="Times New Roman" w:eastAsia="Times New Roman" w:hAnsi="Times New Roman" w:cs="Times New Roman"/>
          <w:sz w:val="24"/>
          <w:szCs w:val="24"/>
        </w:rPr>
      </w:pPr>
    </w:p>
    <w:p w14:paraId="00000015" w14:textId="30A8F168"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scenario consisted of only the current population distribution in northern Nova Scotia; thus, sites were prioritized solely on where Canada Warbler was predicted to be most abundant with the lowest uncertainty. The other three scenarios also included a prediction layer for the Canada Warbler population in 2100 from one of three Landis scenarios: a best-case scenario where the predicted future population was highest; a worst-case scenario where the predicted future population was lowest; and a medium-case scenario where the predicted future population was lower than half of the scenarios and greater than in the other half of the scenarios. </w:t>
      </w:r>
      <w:r>
        <w:rPr>
          <w:rFonts w:ascii="Times New Roman" w:eastAsia="Times New Roman" w:hAnsi="Times New Roman" w:cs="Times New Roman"/>
          <w:color w:val="000000"/>
          <w:sz w:val="24"/>
          <w:szCs w:val="24"/>
        </w:rPr>
        <w:t xml:space="preserve">The best-case scenario (baseline climate / high clearcut) predicted 64,430 Canada Warbler in northern Nova Scotia, whereas the medium-case scenario (RCP 4.5 / ecosystem-based forest management) predicted 46,057 Canada Warbler and the worst-case scenario predicted 38,220 Canada Warbler – slightly lower than the study area’s current population estimate - by 2100. </w:t>
      </w:r>
      <w:r>
        <w:rPr>
          <w:rFonts w:ascii="Times New Roman" w:eastAsia="Times New Roman" w:hAnsi="Times New Roman" w:cs="Times New Roman"/>
          <w:sz w:val="24"/>
          <w:szCs w:val="24"/>
        </w:rPr>
        <w:t xml:space="preserve">In scenarios that considered future distribution, we assigned a higher weight to the current density layer (1.0) and lower weight (0.75) to the future density layer being considered due to greater uncertainty about future distribution than present distribution (Appendix S3). </w:t>
      </w:r>
    </w:p>
    <w:p w14:paraId="00000016" w14:textId="77777777" w:rsidR="0065549F" w:rsidRDefault="0065549F">
      <w:pPr>
        <w:widowControl w:val="0"/>
        <w:spacing w:after="0"/>
        <w:ind w:firstLine="720"/>
        <w:rPr>
          <w:rFonts w:ascii="Times New Roman" w:eastAsia="Times New Roman" w:hAnsi="Times New Roman" w:cs="Times New Roman"/>
          <w:sz w:val="24"/>
          <w:szCs w:val="24"/>
        </w:rPr>
      </w:pPr>
    </w:p>
    <w:p w14:paraId="00000017" w14:textId="5C96A0D9" w:rsidR="0065549F" w:rsidRPr="008A46FC" w:rsidRDefault="00000000">
      <w:pPr>
        <w:pStyle w:val="Heading3"/>
        <w:rPr>
          <w:rFonts w:ascii="Times New Roman" w:eastAsia="Times New Roman" w:hAnsi="Times New Roman" w:cs="Times New Roman"/>
          <w:bCs/>
          <w:iCs/>
          <w:sz w:val="24"/>
          <w:szCs w:val="24"/>
        </w:rPr>
      </w:pPr>
      <w:r w:rsidRPr="008A46FC">
        <w:rPr>
          <w:rFonts w:ascii="Times New Roman" w:eastAsia="Times New Roman" w:hAnsi="Times New Roman" w:cs="Times New Roman"/>
          <w:bCs/>
          <w:iCs/>
          <w:sz w:val="24"/>
          <w:szCs w:val="24"/>
        </w:rPr>
        <w:t>Alberta</w:t>
      </w:r>
      <w:r w:rsidR="008A46FC">
        <w:rPr>
          <w:rFonts w:ascii="Times New Roman" w:eastAsia="Times New Roman" w:hAnsi="Times New Roman" w:cs="Times New Roman"/>
          <w:bCs/>
          <w:iCs/>
          <w:sz w:val="24"/>
          <w:szCs w:val="24"/>
        </w:rPr>
        <w:t xml:space="preserve"> Zonation Scenarios</w:t>
      </w:r>
    </w:p>
    <w:p w14:paraId="00000018" w14:textId="77777777" w:rsidR="0065549F" w:rsidRDefault="0065549F">
      <w:pPr>
        <w:widowControl w:val="0"/>
        <w:spacing w:after="0"/>
        <w:rPr>
          <w:rFonts w:ascii="Times New Roman" w:eastAsia="Times New Roman" w:hAnsi="Times New Roman" w:cs="Times New Roman"/>
          <w:sz w:val="24"/>
          <w:szCs w:val="24"/>
        </w:rPr>
      </w:pPr>
    </w:p>
    <w:p w14:paraId="00000019" w14:textId="77777777" w:rsidR="0065549F" w:rsidRDefault="00000000">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We ran four Zonation scenarios within the harvestable uplands in the Al-Pac FMA, setting up the four scenarios as we did for northern Nova Scotia. The </w:t>
      </w:r>
      <w:r>
        <w:rPr>
          <w:rFonts w:ascii="Times New Roman" w:eastAsia="Times New Roman" w:hAnsi="Times New Roman" w:cs="Times New Roman"/>
          <w:color w:val="000000"/>
          <w:sz w:val="24"/>
          <w:szCs w:val="24"/>
        </w:rPr>
        <w:t xml:space="preserve">best-case scenario (baseline climate / no new clearcut) predicted 14,785 Canada Warbler in northern Nova Scotia, whereas the medium-case scenario (baseline climate / 6 % annual clear-cut) predicted 12,597 Canada Warbler and the worst-case scenario (RCP 4.5 / 6 % annual clear-cut) predicted 10,518 Canada Warbler by 2100. These population estimates were respectively 41.54 %, 35.39 %, and 29.55 % of the current population. Thus, while we could visualize areas to protect 50, 75, 90, and 100 % of the current population in the </w:t>
      </w:r>
      <w:r>
        <w:rPr>
          <w:rFonts w:ascii="Times New Roman" w:eastAsia="Times New Roman" w:hAnsi="Times New Roman" w:cs="Times New Roman"/>
          <w:sz w:val="24"/>
          <w:szCs w:val="24"/>
        </w:rPr>
        <w:t>Zonation scenario</w:t>
      </w:r>
      <w:r>
        <w:rPr>
          <w:rFonts w:ascii="Times New Roman" w:eastAsia="Times New Roman" w:hAnsi="Times New Roman" w:cs="Times New Roman"/>
          <w:color w:val="000000"/>
          <w:sz w:val="24"/>
          <w:szCs w:val="24"/>
        </w:rPr>
        <w:t xml:space="preserve"> that only </w:t>
      </w:r>
      <w:r>
        <w:rPr>
          <w:rFonts w:ascii="Times New Roman" w:eastAsia="Times New Roman" w:hAnsi="Times New Roman" w:cs="Times New Roman"/>
          <w:sz w:val="24"/>
          <w:szCs w:val="24"/>
        </w:rPr>
        <w:t>considered the current</w:t>
      </w:r>
      <w:r>
        <w:rPr>
          <w:rFonts w:ascii="Times New Roman" w:eastAsia="Times New Roman" w:hAnsi="Times New Roman" w:cs="Times New Roman"/>
          <w:color w:val="000000"/>
          <w:sz w:val="24"/>
          <w:szCs w:val="24"/>
        </w:rPr>
        <w:t xml:space="preserve"> population, we could only visualize some of these areas in the current + future population </w:t>
      </w:r>
      <w:r>
        <w:rPr>
          <w:rFonts w:ascii="Times New Roman" w:eastAsia="Times New Roman" w:hAnsi="Times New Roman" w:cs="Times New Roman"/>
          <w:sz w:val="24"/>
          <w:szCs w:val="24"/>
        </w:rPr>
        <w:t>scenarios</w:t>
      </w:r>
      <w:r>
        <w:rPr>
          <w:rFonts w:ascii="Times New Roman" w:eastAsia="Times New Roman" w:hAnsi="Times New Roman" w:cs="Times New Roman"/>
          <w:color w:val="000000"/>
          <w:sz w:val="24"/>
          <w:szCs w:val="24"/>
        </w:rPr>
        <w:t xml:space="preserve"> (Appendix S3). </w:t>
      </w:r>
    </w:p>
    <w:p w14:paraId="0000001A" w14:textId="77777777" w:rsidR="0065549F" w:rsidRDefault="0065549F">
      <w:pPr>
        <w:widowControl w:val="0"/>
        <w:spacing w:after="0"/>
        <w:rPr>
          <w:rFonts w:ascii="Times New Roman" w:eastAsia="Times New Roman" w:hAnsi="Times New Roman" w:cs="Times New Roman"/>
          <w:sz w:val="24"/>
          <w:szCs w:val="24"/>
        </w:rPr>
      </w:pPr>
    </w:p>
    <w:p w14:paraId="0000001B" w14:textId="77777777" w:rsidR="0065549F"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Wood Thrush</w:t>
      </w:r>
    </w:p>
    <w:p w14:paraId="0000001C" w14:textId="2F71843E" w:rsidR="0065549F" w:rsidRPr="008A46FC" w:rsidRDefault="00000000">
      <w:pPr>
        <w:pStyle w:val="Heading3"/>
        <w:rPr>
          <w:rFonts w:ascii="Times New Roman" w:eastAsia="Times New Roman" w:hAnsi="Times New Roman" w:cs="Times New Roman"/>
          <w:bCs/>
          <w:iCs/>
          <w:sz w:val="24"/>
          <w:szCs w:val="24"/>
        </w:rPr>
      </w:pPr>
      <w:bookmarkStart w:id="0" w:name="_heading=h.a8mkvj3k2x0i" w:colFirst="0" w:colLast="0"/>
      <w:bookmarkEnd w:id="0"/>
      <w:r w:rsidRPr="008A46FC">
        <w:rPr>
          <w:rFonts w:ascii="Times New Roman" w:eastAsia="Times New Roman" w:hAnsi="Times New Roman" w:cs="Times New Roman"/>
          <w:bCs/>
          <w:iCs/>
          <w:sz w:val="24"/>
          <w:szCs w:val="24"/>
        </w:rPr>
        <w:t xml:space="preserve">Quebec, New Brunswick, </w:t>
      </w:r>
      <w:r w:rsidR="008A46FC">
        <w:rPr>
          <w:rFonts w:ascii="Times New Roman" w:eastAsia="Times New Roman" w:hAnsi="Times New Roman" w:cs="Times New Roman"/>
          <w:bCs/>
          <w:iCs/>
          <w:sz w:val="24"/>
          <w:szCs w:val="24"/>
        </w:rPr>
        <w:t xml:space="preserve">and </w:t>
      </w:r>
      <w:r w:rsidRPr="008A46FC">
        <w:rPr>
          <w:rFonts w:ascii="Times New Roman" w:eastAsia="Times New Roman" w:hAnsi="Times New Roman" w:cs="Times New Roman"/>
          <w:bCs/>
          <w:iCs/>
          <w:sz w:val="24"/>
          <w:szCs w:val="24"/>
        </w:rPr>
        <w:t>Nova Scotia</w:t>
      </w:r>
      <w:r w:rsidR="008A46FC">
        <w:rPr>
          <w:rFonts w:ascii="Times New Roman" w:eastAsia="Times New Roman" w:hAnsi="Times New Roman" w:cs="Times New Roman"/>
          <w:bCs/>
          <w:iCs/>
          <w:sz w:val="24"/>
          <w:szCs w:val="24"/>
        </w:rPr>
        <w:t xml:space="preserve"> Zonation Scenarios</w:t>
      </w:r>
    </w:p>
    <w:p w14:paraId="0000001D" w14:textId="77777777" w:rsidR="0065549F" w:rsidRDefault="0065549F"/>
    <w:p w14:paraId="0000001E" w14:textId="3AC3BC1C"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were four Zonation scenarios for Wood Thrush in each province where there was Landis output (Quebec, New Brunswick, Nova Scotia), setting up the four scenarios as we did for the Canada Warbler scenario in the </w:t>
      </w:r>
      <w:proofErr w:type="spellStart"/>
      <w:r>
        <w:rPr>
          <w:rFonts w:ascii="Times New Roman" w:eastAsia="Times New Roman" w:hAnsi="Times New Roman" w:cs="Times New Roman"/>
          <w:sz w:val="24"/>
          <w:szCs w:val="24"/>
        </w:rPr>
        <w:t>AlPac</w:t>
      </w:r>
      <w:proofErr w:type="spellEnd"/>
      <w:r>
        <w:rPr>
          <w:rFonts w:ascii="Times New Roman" w:eastAsia="Times New Roman" w:hAnsi="Times New Roman" w:cs="Times New Roman"/>
          <w:sz w:val="24"/>
          <w:szCs w:val="24"/>
        </w:rPr>
        <w:t xml:space="preserve"> FMA and northern Nova Scotia. Cells were assigned higher ranks via the CAZ cell-removal method when closer to other cells with high </w:t>
      </w:r>
      <w:r>
        <w:rPr>
          <w:rFonts w:ascii="Times New Roman" w:eastAsia="Times New Roman" w:hAnsi="Times New Roman" w:cs="Times New Roman"/>
          <w:sz w:val="24"/>
          <w:szCs w:val="24"/>
        </w:rPr>
        <w:lastRenderedPageBreak/>
        <w:t>Wood Thrush densities, using α= 0.0057 based on a natal dispersal distance of 70 km for Wood Thrush</w:t>
      </w:r>
      <w:r w:rsidR="00FB5F15">
        <w:rPr>
          <w:rFonts w:ascii="Times New Roman" w:eastAsia="Times New Roman" w:hAnsi="Times New Roman" w:cs="Times New Roman"/>
          <w:sz w:val="24"/>
          <w:szCs w:val="24"/>
        </w:rPr>
        <w:t xml:space="preserve"> </w:t>
      </w:r>
      <w:r w:rsidR="00FB5F15">
        <w:rPr>
          <w:rFonts w:ascii="Times New Roman" w:eastAsia="Times New Roman" w:hAnsi="Times New Roman" w:cs="Times New Roman"/>
          <w:sz w:val="24"/>
          <w:szCs w:val="24"/>
        </w:rPr>
        <w:fldChar w:fldCharType="begin"/>
      </w:r>
      <w:r w:rsidR="00FB5F15">
        <w:rPr>
          <w:rFonts w:ascii="Times New Roman" w:eastAsia="Times New Roman" w:hAnsi="Times New Roman" w:cs="Times New Roman"/>
          <w:sz w:val="24"/>
          <w:szCs w:val="24"/>
        </w:rPr>
        <w:instrText xml:space="preserve"> ADDIN ZOTERO_ITEM CSL_CITATION {"citationID":"ym4tqm5Q","properties":{"formattedCitation":"(Tittler et al. 2006)","plainCitation":"(Tittler et al. 2006)","noteIndex":0},"citationItems":[{"id":277,"uris":["http://zotero.org/groups/4916363/items/FLBGJ2XA"],"itemData":{"id":277,"type":"article-journal","abstract":"Source–sink dynamics are commonly thought to occur among Wood Thrush (Hylocichla mustelina) and other songbird populations, allowing for the persistence of populations with negative growth rates (“sinks”) through immigration from populations with positive growth rates (“sources”). Knowledge of source–sink dynamics is important for management and conservation because the removal of source habitat should result in the extinction of dependent sinks. However, since research has focused on identifying individual sources/sink populations, not source–sink pairs, we cannot predict these effects or the scale over which they occur. We posit that, when dispersal occurs from a source to a sink year after year, there will be a one-year time-lagged correlation in abundance between the two populations. This should occur for populations separated by distances over which juveniles disperse. Using the North American Breeding Bird Survey data, we tested for such time-lagged correlations between paired Wood Thrush populations from 10 to 200 km apart. Populations were linked with a one-year time lag over distances from 60 to 80 km, indicating that dispersal and source–sink dynamics may occur over these long distances. There was also a declining trend in forest cover from sources to sinks. Conservation and management strategies should therefore be designed at large scales, with consideration for source–sink dynamics and forest cover.","container-title":"Ecology","DOI":"10.1890/0012-9658(2006)87[3029:EOLSDA]2.0.CO;2","ISSN":"1939-9170","issue":"12","language":"en","note":"_eprint: https://onlinelibrary.wiley.com/doi/pdf/10.1890/0012-9658%282006%2987%5B3029%3AEOLSDA%5D2.0.CO%3B2","page":"3029-3036","source":"Wiley Online Library","title":"Evidence of Large-Scale Source–Sink Dynamics and Long-Distance Dispersal Among Wood Thrush Populations","volume":"87","author":[{"family":"Tittler","given":"Rebecca"},{"family":"Fahrig","given":"Lenore"},{"family":"Villard","given":"Marc-André"}],"issued":{"date-parts":[["2006"]]}}}],"schema":"https://github.com/citation-style-language/schema/raw/master/csl-citation.json"} </w:instrText>
      </w:r>
      <w:r w:rsidR="00FB5F15">
        <w:rPr>
          <w:rFonts w:ascii="Times New Roman" w:eastAsia="Times New Roman" w:hAnsi="Times New Roman" w:cs="Times New Roman"/>
          <w:sz w:val="24"/>
          <w:szCs w:val="24"/>
        </w:rPr>
        <w:fldChar w:fldCharType="separate"/>
      </w:r>
      <w:r w:rsidR="00FB5F15" w:rsidRPr="00FB5F15">
        <w:rPr>
          <w:rFonts w:ascii="Times New Roman" w:hAnsi="Times New Roman" w:cs="Times New Roman"/>
          <w:sz w:val="24"/>
        </w:rPr>
        <w:t>(Tittler et al. 2006)</w:t>
      </w:r>
      <w:r w:rsidR="00FB5F1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first Zonation scenario in each Landis study area consisted of only the current population distribution in each province; thus, sites were prioritized solely on where Wood Thrush was predicted to be most abundant with the lowest uncertainty. The other three Zonation scenarios used in each study area also included a prediction layer and the uncertainty layer for that prediction layer for Wood Thrush distribution in 2100. from one of three Landis scenarios: a best-case scenario where the predicted future population was highest; a worst-case scenario where the predicted future population was lowest; and a medium-case scenario where the predicted future population was lower than half of the scenarios and greater than in the other half of the scenarios. </w:t>
      </w:r>
    </w:p>
    <w:p w14:paraId="0000001F" w14:textId="77777777" w:rsidR="0065549F" w:rsidRDefault="0065549F">
      <w:pPr>
        <w:widowControl w:val="0"/>
        <w:spacing w:after="0"/>
        <w:rPr>
          <w:rFonts w:ascii="Times New Roman" w:eastAsia="Times New Roman" w:hAnsi="Times New Roman" w:cs="Times New Roman"/>
          <w:sz w:val="24"/>
          <w:szCs w:val="24"/>
        </w:rPr>
      </w:pPr>
    </w:p>
    <w:p w14:paraId="00000020" w14:textId="77777777"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Quebec, the best-case Landis scenario (RCP 8.5 / no harvest) predicted 1,959,455 Wood Thrush in southern Quebec, the medium-case scenario (RCP 8.5 / harvest) predicted 1,899,649 Wood Thrush, and the worst-case scenario (baseline climate / no harvest) predicted 1,815,598 Wood Thrush by 2100. In New Brunswick, the best-case Landis scenario (RCP 8.5 / harvest) predicted 458,950 Wood Thrush, the medium-case scenario (RCP 4.5 / harvest) predicted 325,133 Wood Thrush, and the worst-case scenario (baseline climate / harvest) predicted 260,676 Wood Thrush by 2100. In Nova Scotia, the best-case scenario (RCP 8.5 / high clearcut) predicted 268,721 Wood Thrush, the medium-case scenario (baseline climate / high clearcut) predicted 205,326 Wood Thrush, and the worst-case scenario (RCP 4.5/ no harvest) predicted 199,405 Wood Thrush – by 2100 (Appendix S3). </w:t>
      </w:r>
    </w:p>
    <w:p w14:paraId="00000021" w14:textId="77777777" w:rsidR="0065549F" w:rsidRDefault="0065549F">
      <w:pPr>
        <w:widowControl w:val="0"/>
        <w:spacing w:after="0"/>
        <w:rPr>
          <w:rFonts w:ascii="Times New Roman" w:eastAsia="Times New Roman" w:hAnsi="Times New Roman" w:cs="Times New Roman"/>
          <w:sz w:val="24"/>
          <w:szCs w:val="24"/>
        </w:rPr>
      </w:pPr>
    </w:p>
    <w:p w14:paraId="00000022" w14:textId="6CE5AA9C" w:rsidR="0065549F" w:rsidRPr="008A46FC" w:rsidRDefault="00000000" w:rsidP="008A46FC">
      <w:pPr>
        <w:pStyle w:val="Heading3"/>
        <w:rPr>
          <w:rFonts w:ascii="Times New Roman" w:hAnsi="Times New Roman" w:cs="Times New Roman"/>
          <w:sz w:val="24"/>
          <w:szCs w:val="24"/>
        </w:rPr>
      </w:pPr>
      <w:r w:rsidRPr="008A46FC">
        <w:rPr>
          <w:rFonts w:ascii="Times New Roman" w:hAnsi="Times New Roman" w:cs="Times New Roman"/>
          <w:sz w:val="24"/>
          <w:szCs w:val="24"/>
        </w:rPr>
        <w:t xml:space="preserve">Ontario </w:t>
      </w:r>
      <w:r w:rsidR="008A46FC">
        <w:rPr>
          <w:rFonts w:ascii="Times New Roman" w:hAnsi="Times New Roman" w:cs="Times New Roman"/>
          <w:sz w:val="24"/>
          <w:szCs w:val="24"/>
        </w:rPr>
        <w:t>Zonation Scenarios</w:t>
      </w:r>
    </w:p>
    <w:p w14:paraId="00000023" w14:textId="77777777" w:rsidR="0065549F" w:rsidRDefault="0065549F">
      <w:pPr>
        <w:widowControl w:val="0"/>
        <w:spacing w:after="0"/>
        <w:ind w:firstLine="720"/>
        <w:rPr>
          <w:rFonts w:ascii="Times New Roman" w:eastAsia="Times New Roman" w:hAnsi="Times New Roman" w:cs="Times New Roman"/>
          <w:sz w:val="24"/>
          <w:szCs w:val="24"/>
        </w:rPr>
      </w:pPr>
    </w:p>
    <w:p w14:paraId="00000024" w14:textId="77777777"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Ontario, where only a single ALCES Online scenario was run, the Wood Thrush study area was split into two regions, corresponding to the Wood Thrush’s Ontario range within Forest Management Units (FMUs) in the west versus the rest of its Ontario range southeast of the FMUs in agricultural and urban landscapes. The reason for this split was because the ALCES Online scenario had been run at a finer-scale resolution (200 m) than Landis scenarios, so prediction rasters from the ALCES Online scenario were at 200 m resolution as well. We ran into memory issues with Zonation if we tried running scenarios using the entire range of the Wood Thrush in Ontario. Thus, two Zonation scenarios were run in each Ontario region - one based on current predicted density alone and one that additionally considered the 2070. population density from the ALCES Online scenario. </w:t>
      </w:r>
    </w:p>
    <w:p w14:paraId="00000025" w14:textId="2DC2DE09" w:rsidR="0065549F" w:rsidRDefault="00000000">
      <w:pPr>
        <w:pStyle w:val="Head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Results </w:t>
      </w:r>
    </w:p>
    <w:p w14:paraId="00000026" w14:textId="77777777"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Locations were generally assigned higher ranks if locations supported higher predicted densities in a current and/or future density layer or if there was greater confidence (lower standard deviation) in the density estimates at a location. Other output from each Zonation scenario included data for generating a runtime plot showing what proportion of the total summed values of a given feature (current or future density layer) remained as an increasing </w:t>
      </w:r>
      <w:r>
        <w:rPr>
          <w:rFonts w:ascii="Times New Roman" w:eastAsia="Times New Roman" w:hAnsi="Times New Roman" w:cs="Times New Roman"/>
          <w:sz w:val="24"/>
          <w:szCs w:val="24"/>
        </w:rPr>
        <w:lastRenderedPageBreak/>
        <w:t>proportion of cells in the study area was “removed” from consideration. Cells with higher ranks remained in study areas the longest (e.g., rank &gt; 0.9 = remaining 10 % of cells when 90 % of cells are removed from a study area) and the rank of a cell indicates the proportion of cells in the study area with lower ranks that will be removed before that cell. Thus, it was possible to know what proportion of the current or future population remained as more land was “removed” and determine the amount and location of lands necessary to protect a certain proportion of the current or future population.</w:t>
      </w:r>
    </w:p>
    <w:p w14:paraId="00000027" w14:textId="77777777" w:rsidR="0065549F" w:rsidRDefault="0065549F">
      <w:pPr>
        <w:widowControl w:val="0"/>
        <w:spacing w:after="0"/>
        <w:ind w:firstLine="720"/>
        <w:rPr>
          <w:rFonts w:ascii="Times New Roman" w:eastAsia="Times New Roman" w:hAnsi="Times New Roman" w:cs="Times New Roman"/>
          <w:sz w:val="24"/>
          <w:szCs w:val="24"/>
        </w:rPr>
      </w:pPr>
    </w:p>
    <w:sdt>
      <w:sdtPr>
        <w:tag w:val="goog_rdk_1"/>
        <w:id w:val="-737005570"/>
      </w:sdtPr>
      <w:sdtContent>
        <w:p w14:paraId="00000028" w14:textId="796A2966"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the total current or future population starts to decrease when the first cells are removed during a Zonation scenario, predicted density in some parts of the study area was low enough that some lands were “removed” before the current or future population started dropping significantly below 100%.</w:t>
          </w:r>
          <w:sdt>
            <w:sdtPr>
              <w:tag w:val="goog_rdk_0"/>
              <w:id w:val="871040568"/>
              <w:showingPlcHdr/>
            </w:sdtPr>
            <w:sdtContent>
              <w:r w:rsidR="001A7998">
                <w:t xml:space="preserve">     </w:t>
              </w:r>
            </w:sdtContent>
          </w:sdt>
        </w:p>
      </w:sdtContent>
    </w:sdt>
    <w:sdt>
      <w:sdtPr>
        <w:tag w:val="goog_rdk_3"/>
        <w:id w:val="-1843542871"/>
      </w:sdtPr>
      <w:sdtContent>
        <w:p w14:paraId="00000029" w14:textId="02144D86" w:rsidR="0065549F" w:rsidRDefault="00000000">
          <w:pPr>
            <w:widowControl w:val="0"/>
            <w:spacing w:after="0"/>
            <w:ind w:firstLine="720"/>
            <w:rPr>
              <w:rFonts w:ascii="Times New Roman" w:eastAsia="Times New Roman" w:hAnsi="Times New Roman" w:cs="Times New Roman"/>
              <w:sz w:val="24"/>
              <w:szCs w:val="24"/>
            </w:rPr>
          </w:pPr>
          <w:sdt>
            <w:sdtPr>
              <w:tag w:val="goog_rdk_2"/>
              <w:id w:val="-2066027557"/>
              <w:showingPlcHdr/>
            </w:sdtPr>
            <w:sdtContent>
              <w:r w:rsidR="00FB5F15">
                <w:t xml:space="preserve">     </w:t>
              </w:r>
            </w:sdtContent>
          </w:sdt>
        </w:p>
      </w:sdtContent>
    </w:sdt>
    <w:sdt>
      <w:sdtPr>
        <w:tag w:val="goog_rdk_6"/>
        <w:id w:val="2008947680"/>
      </w:sdtPr>
      <w:sdtContent>
        <w:p w14:paraId="0000002A" w14:textId="43090699" w:rsidR="0065549F" w:rsidRPr="00133981" w:rsidRDefault="00000000">
          <w:pPr>
            <w:widowControl w:val="0"/>
            <w:spacing w:after="0"/>
            <w:ind w:firstLine="720"/>
            <w:rPr>
              <w:rFonts w:ascii="Times New Roman" w:eastAsia="Times New Roman" w:hAnsi="Times New Roman" w:cs="Times New Roman"/>
              <w:sz w:val="24"/>
              <w:szCs w:val="24"/>
            </w:rPr>
          </w:pPr>
          <w:sdt>
            <w:sdtPr>
              <w:tag w:val="goog_rdk_4"/>
              <w:id w:val="-457337338"/>
            </w:sdtPr>
            <w:sdtContent>
              <w:r>
                <w:rPr>
                  <w:rFonts w:ascii="Times New Roman" w:eastAsia="Times New Roman" w:hAnsi="Times New Roman" w:cs="Times New Roman"/>
                  <w:sz w:val="24"/>
                  <w:szCs w:val="24"/>
                </w:rPr>
                <w:t xml:space="preserve">It should be noted that while areas with higher predicted current and/or future density generally received higher ranks, ranks are not equivalent to density. Locations with predicted similar densities can receive different ranks based on densities in nearby locations or differences in prediction uncertainty at each location. Conversely, the same locations in different Zonation scenarios can have different predicted future densities but receive the same relative ranks,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e., a location may be treated as good habitat under different future scenarios, therefore will receive the same or a similar rank under different scenarios. However, if densities are higher in some locations in a specific scenario, then less land may be required to support the same population in that scenario. Finally, it should be noted that we defined best-case, medium-case, and worst-case Zonation scenarios based on the predicted 2100 population sizes in the best-case, medium-case, and worst-case LANDIS scenarios. The best-case scenario could have a larger 2100 population in the study area, but if another scenario has higher predicted densities than the best-case scenario in certain locations, less land could be required in that scenario than the best-case scenario for maintaining the current population.</w:t>
              </w:r>
              <w:r w:rsidR="00FB5F15">
                <w:rPr>
                  <w:rFonts w:ascii="Times New Roman" w:eastAsia="Times New Roman" w:hAnsi="Times New Roman" w:cs="Times New Roman"/>
                  <w:sz w:val="24"/>
                  <w:szCs w:val="24"/>
                </w:rPr>
                <w:t xml:space="preserve"> Indeed, we observed higher maximum predicted densities of Canada Warbler in some locations in the medium-case LANDIS scenario for northern Nova Scotia than the best-case LANDIS scenario for n</w:t>
              </w:r>
              <w:r w:rsidR="005E6987">
                <w:rPr>
                  <w:rFonts w:ascii="Times New Roman" w:eastAsia="Times New Roman" w:hAnsi="Times New Roman" w:cs="Times New Roman"/>
                  <w:sz w:val="24"/>
                  <w:szCs w:val="24"/>
                </w:rPr>
                <w:t xml:space="preserve">orthern </w:t>
              </w:r>
              <w:r w:rsidR="00FB5F15">
                <w:rPr>
                  <w:rFonts w:ascii="Times New Roman" w:eastAsia="Times New Roman" w:hAnsi="Times New Roman" w:cs="Times New Roman"/>
                  <w:sz w:val="24"/>
                  <w:szCs w:val="24"/>
                </w:rPr>
                <w:t>N</w:t>
              </w:r>
              <w:r w:rsidR="005E6987">
                <w:rPr>
                  <w:rFonts w:ascii="Times New Roman" w:eastAsia="Times New Roman" w:hAnsi="Times New Roman" w:cs="Times New Roman"/>
                  <w:sz w:val="24"/>
                  <w:szCs w:val="24"/>
                </w:rPr>
                <w:t xml:space="preserve">ova </w:t>
              </w:r>
              <w:r w:rsidR="00FB5F15">
                <w:rPr>
                  <w:rFonts w:ascii="Times New Roman" w:eastAsia="Times New Roman" w:hAnsi="Times New Roman" w:cs="Times New Roman"/>
                  <w:sz w:val="24"/>
                  <w:szCs w:val="24"/>
                </w:rPr>
                <w:t>S</w:t>
              </w:r>
              <w:r w:rsidR="005E6987">
                <w:rPr>
                  <w:rFonts w:ascii="Times New Roman" w:eastAsia="Times New Roman" w:hAnsi="Times New Roman" w:cs="Times New Roman"/>
                  <w:sz w:val="24"/>
                  <w:szCs w:val="24"/>
                </w:rPr>
                <w:t>cotia</w:t>
              </w:r>
              <w:r w:rsidR="00FB5F15">
                <w:rPr>
                  <w:rFonts w:ascii="Times New Roman" w:eastAsia="Times New Roman" w:hAnsi="Times New Roman" w:cs="Times New Roman"/>
                  <w:sz w:val="24"/>
                  <w:szCs w:val="24"/>
                </w:rPr>
                <w:t>, which may explain why slightly less land was required for maintaining the current population in the corresponding medium-case Zonation scenario than the best-case Zonation scenario.</w:t>
              </w:r>
            </w:sdtContent>
          </w:sdt>
          <w:sdt>
            <w:sdtPr>
              <w:tag w:val="goog_rdk_5"/>
              <w:id w:val="-708797057"/>
            </w:sdtPr>
            <w:sdtContent>
              <w:r w:rsidR="00FB5F15">
                <w:t xml:space="preserve"> </w:t>
              </w:r>
            </w:sdtContent>
          </w:sdt>
        </w:p>
      </w:sdtContent>
    </w:sdt>
    <w:p w14:paraId="0000002B" w14:textId="77777777" w:rsidR="0065549F"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Canada Warbler</w:t>
      </w:r>
    </w:p>
    <w:p w14:paraId="0000002C" w14:textId="47E35371" w:rsidR="0065549F" w:rsidRPr="008A46FC" w:rsidRDefault="00000000">
      <w:pPr>
        <w:pStyle w:val="Heading3"/>
        <w:rPr>
          <w:rFonts w:ascii="Times New Roman" w:eastAsia="Times New Roman" w:hAnsi="Times New Roman" w:cs="Times New Roman"/>
          <w:bCs/>
          <w:iCs/>
          <w:sz w:val="24"/>
          <w:szCs w:val="24"/>
        </w:rPr>
      </w:pPr>
      <w:bookmarkStart w:id="1" w:name="_heading=h.gjdgxs" w:colFirst="0" w:colLast="0"/>
      <w:bookmarkEnd w:id="1"/>
      <w:r w:rsidRPr="008A46FC">
        <w:rPr>
          <w:rFonts w:ascii="Times New Roman" w:eastAsia="Times New Roman" w:hAnsi="Times New Roman" w:cs="Times New Roman"/>
          <w:bCs/>
          <w:iCs/>
          <w:sz w:val="24"/>
          <w:szCs w:val="24"/>
        </w:rPr>
        <w:t>Nova Scotia</w:t>
      </w:r>
      <w:r w:rsidR="008A46FC">
        <w:rPr>
          <w:rFonts w:ascii="Times New Roman" w:eastAsia="Times New Roman" w:hAnsi="Times New Roman" w:cs="Times New Roman"/>
          <w:bCs/>
          <w:iCs/>
          <w:sz w:val="24"/>
          <w:szCs w:val="24"/>
        </w:rPr>
        <w:t xml:space="preserve"> Zonation Scenarios</w:t>
      </w:r>
    </w:p>
    <w:p w14:paraId="0000002D" w14:textId="77777777" w:rsidR="0065549F" w:rsidRDefault="0065549F">
      <w:pPr>
        <w:widowControl w:val="0"/>
        <w:spacing w:after="0"/>
        <w:rPr>
          <w:rFonts w:ascii="Times New Roman" w:eastAsia="Times New Roman" w:hAnsi="Times New Roman" w:cs="Times New Roman"/>
          <w:sz w:val="24"/>
          <w:szCs w:val="24"/>
        </w:rPr>
      </w:pPr>
    </w:p>
    <w:p w14:paraId="0000002E" w14:textId="2FB60EC9"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Zonation scenarios in northern Nova Scotia identified inland areas as having highest priority for conservation or management as Canada Warbler habitat (Fig. </w:t>
      </w:r>
      <w:r w:rsidR="00FB5F1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Lands with the highest priority as critical habitat generally occurred outside of existing protected areas. Habitat for the whole current population occurs on about 16 % of the study area (ha). When the future population from the best-case Landis scenarios is also considered, the whole current population could be maintained by protecting 15 % of the study area – a slight increase in conservation efficiency. In contrast, when future populations from the medium-case and worst-case Landis </w:t>
      </w:r>
      <w:r>
        <w:rPr>
          <w:rFonts w:ascii="Times New Roman" w:eastAsia="Times New Roman" w:hAnsi="Times New Roman" w:cs="Times New Roman"/>
          <w:sz w:val="24"/>
          <w:szCs w:val="24"/>
        </w:rPr>
        <w:lastRenderedPageBreak/>
        <w:t xml:space="preserve">scenarios are considered instead, respectively 25 and 74 % of the study area would have to be protected to maintain the entire current population (Fig. </w:t>
      </w:r>
      <w:r w:rsidR="00FB5F1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However, the percentages of the study area required for protecting just 50 % of the Canada Warbler population are more comparable among all four scenarios: 7.4 % (current population alone), 5.2 % (current population + best-case population), 7.3 % (current population + medium-case population), and 7.7 % (current population + worst-case population) (Fig. S4.1). </w:t>
      </w:r>
    </w:p>
    <w:p w14:paraId="0000002F" w14:textId="77777777" w:rsidR="0065549F" w:rsidRDefault="0065549F">
      <w:pPr>
        <w:widowControl w:val="0"/>
        <w:spacing w:after="0"/>
        <w:ind w:firstLine="720"/>
        <w:rPr>
          <w:rFonts w:ascii="Times New Roman" w:eastAsia="Times New Roman" w:hAnsi="Times New Roman" w:cs="Times New Roman"/>
          <w:sz w:val="24"/>
          <w:szCs w:val="24"/>
        </w:rPr>
      </w:pPr>
    </w:p>
    <w:p w14:paraId="00000030" w14:textId="77777777" w:rsidR="0065549F" w:rsidRDefault="0065549F">
      <w:pPr>
        <w:widowControl w:val="0"/>
        <w:spacing w:after="0"/>
        <w:rPr>
          <w:rFonts w:ascii="Times New Roman" w:eastAsia="Times New Roman" w:hAnsi="Times New Roman" w:cs="Times New Roman"/>
          <w:sz w:val="24"/>
          <w:szCs w:val="24"/>
        </w:rPr>
      </w:pPr>
    </w:p>
    <w:p w14:paraId="00000031" w14:textId="77777777" w:rsidR="0065549F" w:rsidRDefault="0065549F">
      <w:pPr>
        <w:widowControl w:val="0"/>
        <w:spacing w:after="0"/>
        <w:rPr>
          <w:rFonts w:ascii="Times New Roman" w:eastAsia="Times New Roman" w:hAnsi="Times New Roman" w:cs="Times New Roman"/>
          <w:sz w:val="24"/>
          <w:szCs w:val="24"/>
        </w:rPr>
      </w:pPr>
    </w:p>
    <w:p w14:paraId="00000032" w14:textId="77777777" w:rsidR="0065549F" w:rsidRDefault="0065549F">
      <w:pPr>
        <w:widowControl w:val="0"/>
        <w:spacing w:after="0"/>
        <w:rPr>
          <w:rFonts w:ascii="Times New Roman" w:eastAsia="Times New Roman" w:hAnsi="Times New Roman" w:cs="Times New Roman"/>
          <w:sz w:val="24"/>
          <w:szCs w:val="24"/>
        </w:rPr>
      </w:pPr>
    </w:p>
    <w:p w14:paraId="00000033" w14:textId="77777777" w:rsidR="0065549F" w:rsidRDefault="0065549F">
      <w:pPr>
        <w:widowControl w:val="0"/>
        <w:spacing w:after="0"/>
        <w:rPr>
          <w:rFonts w:ascii="Times New Roman" w:eastAsia="Times New Roman" w:hAnsi="Times New Roman" w:cs="Times New Roman"/>
          <w:sz w:val="24"/>
          <w:szCs w:val="24"/>
        </w:rPr>
      </w:pPr>
    </w:p>
    <w:p w14:paraId="00000034" w14:textId="77777777" w:rsidR="0065549F" w:rsidRDefault="0065549F">
      <w:pPr>
        <w:widowControl w:val="0"/>
        <w:spacing w:after="0"/>
        <w:rPr>
          <w:rFonts w:ascii="Times New Roman" w:eastAsia="Times New Roman" w:hAnsi="Times New Roman" w:cs="Times New Roman"/>
          <w:sz w:val="24"/>
          <w:szCs w:val="24"/>
        </w:rPr>
      </w:pPr>
    </w:p>
    <w:p w14:paraId="00000035" w14:textId="5EF0ECBE" w:rsidR="0065549F" w:rsidRDefault="00DF1C3B">
      <w:pPr>
        <w:widowControl w:val="0"/>
        <w:spacing w:after="0"/>
        <w:rPr>
          <w:rFonts w:ascii="Times New Roman" w:eastAsia="Times New Roman" w:hAnsi="Times New Roman" w:cs="Times New Roman"/>
          <w:sz w:val="24"/>
          <w:szCs w:val="24"/>
        </w:rPr>
      </w:pPr>
      <w:r>
        <w:rPr>
          <w:noProof/>
        </w:rPr>
        <w:drawing>
          <wp:inline distT="0" distB="0" distL="0" distR="0" wp14:anchorId="455DD6AB" wp14:editId="2F1C458E">
            <wp:extent cx="594360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Pr>
          <w:rFonts w:ascii="Times New Roman" w:eastAsia="Times New Roman" w:hAnsi="Times New Roman" w:cs="Times New Roman"/>
          <w:noProof/>
          <w:sz w:val="24"/>
          <w:szCs w:val="24"/>
        </w:rPr>
        <w:t xml:space="preserve"> </w:t>
      </w:r>
    </w:p>
    <w:p w14:paraId="00000036" w14:textId="77777777" w:rsidR="0065549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S4.1. Runtime plots showing the proportion of the current and future Canada Warbler population remaining in its current range in northern Nova Scotia as lands (250-m cells) are removed from consideration for conservation or management as important Canada Warbler habitat, under four Zonation scenarios. Zonation scenarios: Current = based on current population density alone; Best = based on current density + 2100 population from the best-case Landis scenario; Medium = based on current density + 2100 population from the medium-case Landis scenario; Worst = based on current density + 2100 population from the worst-case Landis scenario. As the 2100 population was projected to be higher than the current population in northern Nova Scotia, less land was required to maintain various percentages of the current population levels, when future distribution of the Canada Warbler was also used to prioritize </w:t>
      </w:r>
      <w:r>
        <w:rPr>
          <w:rFonts w:ascii="Times New Roman" w:eastAsia="Times New Roman" w:hAnsi="Times New Roman" w:cs="Times New Roman"/>
          <w:sz w:val="24"/>
          <w:szCs w:val="24"/>
        </w:rPr>
        <w:lastRenderedPageBreak/>
        <w:t>lands as important habitat. Since population projections were similar across different Landis scenarios, the amount of land that can be removed barely differed in Zonation scenarios based on the best, medium, and worst-case scenarios.</w:t>
      </w:r>
    </w:p>
    <w:p w14:paraId="00000037" w14:textId="77777777" w:rsidR="0065549F" w:rsidRDefault="0065549F">
      <w:pPr>
        <w:widowControl w:val="0"/>
        <w:spacing w:after="0"/>
        <w:rPr>
          <w:rFonts w:ascii="Times New Roman" w:eastAsia="Times New Roman" w:hAnsi="Times New Roman" w:cs="Times New Roman"/>
          <w:sz w:val="24"/>
          <w:szCs w:val="24"/>
        </w:rPr>
      </w:pPr>
    </w:p>
    <w:p w14:paraId="00000038" w14:textId="77777777" w:rsidR="0065549F" w:rsidRPr="008A46FC" w:rsidRDefault="00000000">
      <w:pPr>
        <w:pStyle w:val="Heading3"/>
        <w:rPr>
          <w:rFonts w:ascii="Times New Roman" w:eastAsia="Times New Roman" w:hAnsi="Times New Roman" w:cs="Times New Roman"/>
          <w:bCs/>
          <w:sz w:val="24"/>
          <w:szCs w:val="24"/>
        </w:rPr>
      </w:pPr>
      <w:r w:rsidRPr="008A46FC">
        <w:rPr>
          <w:rFonts w:ascii="Times New Roman" w:eastAsia="Times New Roman" w:hAnsi="Times New Roman" w:cs="Times New Roman"/>
          <w:bCs/>
          <w:sz w:val="24"/>
          <w:szCs w:val="24"/>
        </w:rPr>
        <w:t>Alberta Zonation Scenarios</w:t>
      </w:r>
    </w:p>
    <w:p w14:paraId="00000039" w14:textId="77777777" w:rsidR="0065549F" w:rsidRDefault="0065549F">
      <w:pPr>
        <w:widowControl w:val="0"/>
        <w:spacing w:after="0"/>
        <w:rPr>
          <w:rFonts w:ascii="Times New Roman" w:eastAsia="Times New Roman" w:hAnsi="Times New Roman" w:cs="Times New Roman"/>
          <w:sz w:val="24"/>
          <w:szCs w:val="24"/>
        </w:rPr>
      </w:pPr>
    </w:p>
    <w:p w14:paraId="0000003A" w14:textId="46D07D7B" w:rsidR="0065549F" w:rsidRDefault="00000000">
      <w:pPr>
        <w:widowControl w:val="0"/>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All Zonation scenarios in northeastern Alberta in the Al-Pac Forest Management Area’s harvestable uplands identified lands along the Athabasca River and in the Stony Mountain Wildland south of Fort McMurray, as having highest priority for conservation or management as Canada Warbler habitat</w:t>
      </w:r>
      <w:r w:rsidR="005E69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Lands with the highest priority as critical habitat generally occurred outside of existing protected areas, but there were few protected areas included within simulated areas of the Al-Pac FMA. Habitat for the whole current population occurs on about 23 % of the study area. All populations in 2100 from the Landis scenarios are less than 50 % of the current population, so not even protecting 100 % of the study area in the Landis scenarios would protect enough habitat to maintain the current population as it is. To protect just 50 % of the current Canada Warbler population, the percentage of the study area (6,400,000 ha) required is 8.9 % (current population alone) but increases to 36.9 % to protect 41.54 % of the current population by 2100, when the best-case Landis scenario is considered. Similarly, 40.4 % of the study area is required to protect 35.39 % of the current population under the medium-case scenario and 42.0 % of the study area is required to protect 29.55 % of the current population by 2100. under the worst-case scenario (Fig</w:t>
      </w:r>
      <w:r w:rsidR="005E6987">
        <w:rPr>
          <w:rFonts w:ascii="Times New Roman" w:eastAsia="Times New Roman" w:hAnsi="Times New Roman" w:cs="Times New Roman"/>
          <w:sz w:val="24"/>
          <w:szCs w:val="24"/>
        </w:rPr>
        <w:t>s</w:t>
      </w:r>
      <w:r>
        <w:rPr>
          <w:rFonts w:ascii="Times New Roman" w:eastAsia="Times New Roman" w:hAnsi="Times New Roman" w:cs="Times New Roman"/>
          <w:sz w:val="24"/>
          <w:szCs w:val="24"/>
        </w:rPr>
        <w:t>. S</w:t>
      </w:r>
      <w:r w:rsidR="005E6987">
        <w:rPr>
          <w:rFonts w:ascii="Times New Roman" w:eastAsia="Times New Roman" w:hAnsi="Times New Roman" w:cs="Times New Roman"/>
          <w:sz w:val="24"/>
          <w:szCs w:val="24"/>
        </w:rPr>
        <w:t>4</w:t>
      </w:r>
      <w:r>
        <w:rPr>
          <w:rFonts w:ascii="Times New Roman" w:eastAsia="Times New Roman" w:hAnsi="Times New Roman" w:cs="Times New Roman"/>
          <w:sz w:val="24"/>
          <w:szCs w:val="24"/>
        </w:rPr>
        <w:t>.2</w:t>
      </w:r>
      <w:r w:rsidR="005E6987">
        <w:rPr>
          <w:rFonts w:ascii="Times New Roman" w:eastAsia="Times New Roman" w:hAnsi="Times New Roman" w:cs="Times New Roman"/>
          <w:sz w:val="24"/>
          <w:szCs w:val="24"/>
        </w:rPr>
        <w:t>-S4.3</w:t>
      </w:r>
      <w:r>
        <w:rPr>
          <w:rFonts w:ascii="Times New Roman" w:eastAsia="Times New Roman" w:hAnsi="Times New Roman" w:cs="Times New Roman"/>
          <w:sz w:val="24"/>
          <w:szCs w:val="24"/>
        </w:rPr>
        <w:t xml:space="preserve">). </w:t>
      </w:r>
    </w:p>
    <w:p w14:paraId="0000003B" w14:textId="77777777" w:rsidR="0065549F" w:rsidRDefault="0065549F">
      <w:pPr>
        <w:widowControl w:val="0"/>
        <w:spacing w:after="0"/>
        <w:ind w:firstLine="720"/>
        <w:rPr>
          <w:rFonts w:ascii="Times New Roman" w:eastAsia="Times New Roman" w:hAnsi="Times New Roman" w:cs="Times New Roman"/>
          <w:sz w:val="24"/>
          <w:szCs w:val="24"/>
        </w:rPr>
      </w:pPr>
    </w:p>
    <w:p w14:paraId="0000003C" w14:textId="77777777" w:rsidR="0065549F" w:rsidRDefault="0065549F">
      <w:pPr>
        <w:widowControl w:val="0"/>
        <w:spacing w:after="0"/>
        <w:rPr>
          <w:rFonts w:ascii="Times New Roman" w:eastAsia="Times New Roman" w:hAnsi="Times New Roman" w:cs="Times New Roman"/>
          <w:sz w:val="24"/>
          <w:szCs w:val="24"/>
        </w:rPr>
      </w:pPr>
    </w:p>
    <w:p w14:paraId="0000003D" w14:textId="016E6BB9" w:rsidR="0065549F" w:rsidRDefault="006402B1">
      <w:pPr>
        <w:widowControl w:val="0"/>
        <w:spacing w:after="0"/>
        <w:rPr>
          <w:rFonts w:ascii="Times New Roman" w:eastAsia="Times New Roman" w:hAnsi="Times New Roman" w:cs="Times New Roman"/>
          <w:sz w:val="24"/>
          <w:szCs w:val="24"/>
        </w:rPr>
      </w:pPr>
      <w:r>
        <w:rPr>
          <w:noProof/>
        </w:rPr>
        <w:lastRenderedPageBreak/>
        <w:drawing>
          <wp:inline distT="0" distB="0" distL="0" distR="0" wp14:anchorId="0C79BA96" wp14:editId="0527B0CA">
            <wp:extent cx="5943600" cy="39624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Pr>
          <w:noProof/>
        </w:rPr>
        <w:t xml:space="preserve"> </w:t>
      </w:r>
    </w:p>
    <w:p w14:paraId="0000003E" w14:textId="77777777" w:rsidR="0065549F" w:rsidRDefault="00000000">
      <w:pPr>
        <w:rPr>
          <w:rFonts w:ascii="Times New Roman" w:eastAsia="Times New Roman" w:hAnsi="Times New Roman" w:cs="Times New Roman"/>
          <w:sz w:val="24"/>
          <w:szCs w:val="24"/>
        </w:rPr>
        <w:sectPr w:rsidR="0065549F">
          <w:pgSz w:w="12240" w:h="15840"/>
          <w:pgMar w:top="1440" w:right="1440" w:bottom="1440" w:left="1440" w:header="708" w:footer="708" w:gutter="0"/>
          <w:pgNumType w:start="1"/>
          <w:cols w:space="720"/>
        </w:sectPr>
      </w:pPr>
      <w:r>
        <w:rPr>
          <w:rFonts w:ascii="Times New Roman" w:eastAsia="Times New Roman" w:hAnsi="Times New Roman" w:cs="Times New Roman"/>
          <w:sz w:val="24"/>
          <w:szCs w:val="24"/>
        </w:rPr>
        <w:t>Figure S4.2. Runtime plots showing the proportion of the current and future Canada Warbler population remaining in its current range in the Alberta-Pacific Forest Management Area (Al-Pac FMA) in northeastern Alberta as lands (250-m cells) are removed from consideration for conservation or management as important Canada Warbler habitat, under four Zonation scenarios. Zonation scenarios: Current = based on current population density alone; Best = based on current density + 2100 population from the best-case Landis scenario; Medium = based on current density + 2100 population from the medium-case Landis scenario; Worst = based on current density + 2100 population from the worst-case Landis scenario. As the 2100 population was projected to be higher than the current population in the Al-Pac FMA, less land was required to maintain various percentages of the current population levels, when future distribution of the Canada Warbler was also used to prioritize lands as important habitat. Since population projections were similar across different Landis scenarios, the amount of land that can be removed barely differed in Zonation scenarios based on the best, medium, and worst-case scenarios.</w:t>
      </w:r>
    </w:p>
    <w:p w14:paraId="0000003F" w14:textId="1CB24C56" w:rsidR="0065549F" w:rsidRDefault="006402B1">
      <w:pPr>
        <w:spacing w:before="120" w:after="240" w:line="240" w:lineRule="auto"/>
        <w:jc w:val="both"/>
        <w:rPr>
          <w:rFonts w:ascii="Times New Roman" w:eastAsia="Times New Roman" w:hAnsi="Times New Roman" w:cs="Times New Roman"/>
          <w:sz w:val="24"/>
          <w:szCs w:val="24"/>
        </w:rPr>
      </w:pPr>
      <w:r>
        <w:rPr>
          <w:noProof/>
        </w:rPr>
        <w:lastRenderedPageBreak/>
        <w:drawing>
          <wp:inline distT="0" distB="0" distL="0" distR="0" wp14:anchorId="25565BD5" wp14:editId="65B0265A">
            <wp:extent cx="5943600" cy="3343275"/>
            <wp:effectExtent l="0" t="0" r="0" b="9525"/>
            <wp:docPr id="3" name="Picture 3" descr="Chart, 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Pr>
          <w:rFonts w:ascii="Times New Roman" w:eastAsia="Times New Roman" w:hAnsi="Times New Roman" w:cs="Times New Roman"/>
          <w:noProof/>
          <w:sz w:val="24"/>
          <w:szCs w:val="24"/>
        </w:rPr>
        <w:t xml:space="preserve"> </w:t>
      </w:r>
    </w:p>
    <w:p w14:paraId="00000040" w14:textId="21695CD9" w:rsidR="0065549F" w:rsidRDefault="00000000">
      <w:pPr>
        <w:spacing w:before="120" w:after="240" w:line="240" w:lineRule="auto"/>
        <w:jc w:val="both"/>
        <w:rPr>
          <w:rFonts w:ascii="Times New Roman" w:eastAsia="Times New Roman" w:hAnsi="Times New Roman" w:cs="Times New Roman"/>
          <w:sz w:val="24"/>
          <w:szCs w:val="24"/>
        </w:rPr>
        <w:sectPr w:rsidR="0065549F">
          <w:type w:val="continuous"/>
          <w:pgSz w:w="12240" w:h="15840"/>
          <w:pgMar w:top="1440" w:right="1440" w:bottom="1440" w:left="1440" w:header="708" w:footer="708" w:gutter="0"/>
          <w:cols w:space="720" w:equalWidth="0">
            <w:col w:w="9360" w:space="0"/>
          </w:cols>
        </w:sectPr>
      </w:pPr>
      <w:r>
        <w:rPr>
          <w:rFonts w:ascii="Times New Roman" w:eastAsia="Times New Roman" w:hAnsi="Times New Roman" w:cs="Times New Roman"/>
          <w:sz w:val="24"/>
          <w:szCs w:val="24"/>
        </w:rPr>
        <w:t xml:space="preserve">Figure </w:t>
      </w:r>
      <w:r w:rsidR="001A7998">
        <w:rPr>
          <w:rFonts w:ascii="Times New Roman" w:eastAsia="Times New Roman" w:hAnsi="Times New Roman" w:cs="Times New Roman"/>
          <w:sz w:val="24"/>
          <w:szCs w:val="24"/>
        </w:rPr>
        <w:t>S4.3</w:t>
      </w:r>
      <w:r>
        <w:rPr>
          <w:rFonts w:ascii="Times New Roman" w:eastAsia="Times New Roman" w:hAnsi="Times New Roman" w:cs="Times New Roman"/>
          <w:sz w:val="24"/>
          <w:szCs w:val="24"/>
        </w:rPr>
        <w:t xml:space="preserve">. Priority areas for four scenarios for Canada Warbler in the Alberta-Pacific Forest Management Area (Al-Pac FMA) in northeastern Alberta. Maps a-d indicate priority rankings (0=lowest priority and 1=highest priority) for the (a) current distribution, (b) current + best-case 2100 distribution, (c) current + medium-case 2100 distribution, and (d) current + worst-case distribution in LANDIS </w:t>
      </w:r>
      <w:proofErr w:type="spellStart"/>
      <w:r>
        <w:rPr>
          <w:rFonts w:ascii="Times New Roman" w:eastAsia="Times New Roman" w:hAnsi="Times New Roman" w:cs="Times New Roman"/>
          <w:sz w:val="24"/>
          <w:szCs w:val="24"/>
        </w:rPr>
        <w:t>scenarios,whereas</w:t>
      </w:r>
      <w:proofErr w:type="spellEnd"/>
      <w:r>
        <w:rPr>
          <w:rFonts w:ascii="Times New Roman" w:eastAsia="Times New Roman" w:hAnsi="Times New Roman" w:cs="Times New Roman"/>
          <w:sz w:val="24"/>
          <w:szCs w:val="24"/>
        </w:rPr>
        <w:t xml:space="preserve"> colors in e-h indicate the area necessary to maintain specified  percentages of the 2019 population under the (e) current, (f) best-case, (g) medium-case, and (h) worst-case scenarios. In panels e-h, areas colored in blue, blue + dark green , blue + dark green + light green and blue + dark green + light green + yellow indicate the cumulative areas necessary to maintain up to 50, 75%, 90%, and 100% of the current population, respectively. White areas do not contribute meaningfully to population goals. Existing protected areas are outlined in gray. </w:t>
      </w:r>
    </w:p>
    <w:p w14:paraId="00000041" w14:textId="77777777" w:rsidR="0065549F" w:rsidRPr="008A46FC" w:rsidRDefault="00000000">
      <w:pPr>
        <w:pStyle w:val="Heading2"/>
        <w:rPr>
          <w:rFonts w:ascii="Times New Roman" w:eastAsia="Times New Roman" w:hAnsi="Times New Roman" w:cs="Times New Roman"/>
          <w:bCs/>
          <w:sz w:val="24"/>
          <w:szCs w:val="24"/>
        </w:rPr>
      </w:pPr>
      <w:r w:rsidRPr="008A46FC">
        <w:rPr>
          <w:rFonts w:ascii="Times New Roman" w:eastAsia="Times New Roman" w:hAnsi="Times New Roman" w:cs="Times New Roman"/>
          <w:bCs/>
          <w:sz w:val="24"/>
          <w:szCs w:val="24"/>
        </w:rPr>
        <w:t>Wood Thrush</w:t>
      </w:r>
    </w:p>
    <w:p w14:paraId="00000042" w14:textId="77777777" w:rsidR="0065549F" w:rsidRDefault="0065549F">
      <w:pPr>
        <w:widowControl w:val="0"/>
        <w:spacing w:after="0"/>
        <w:rPr>
          <w:rFonts w:ascii="Times New Roman" w:eastAsia="Times New Roman" w:hAnsi="Times New Roman" w:cs="Times New Roman"/>
          <w:sz w:val="24"/>
          <w:szCs w:val="24"/>
        </w:rPr>
      </w:pPr>
    </w:p>
    <w:p w14:paraId="00000043" w14:textId="157840E2" w:rsidR="0065549F" w:rsidRPr="008A46FC" w:rsidRDefault="00000000">
      <w:pPr>
        <w:pStyle w:val="Heading3"/>
        <w:rPr>
          <w:rFonts w:ascii="Times New Roman" w:eastAsia="Times New Roman" w:hAnsi="Times New Roman" w:cs="Times New Roman"/>
          <w:bCs/>
          <w:sz w:val="24"/>
          <w:szCs w:val="24"/>
        </w:rPr>
      </w:pPr>
      <w:bookmarkStart w:id="2" w:name="_heading=h.1fob9te" w:colFirst="0" w:colLast="0"/>
      <w:bookmarkEnd w:id="2"/>
      <w:r w:rsidRPr="008A46FC">
        <w:rPr>
          <w:rFonts w:ascii="Times New Roman" w:eastAsia="Times New Roman" w:hAnsi="Times New Roman" w:cs="Times New Roman"/>
          <w:bCs/>
          <w:sz w:val="24"/>
          <w:szCs w:val="24"/>
        </w:rPr>
        <w:t>Quebec</w:t>
      </w:r>
      <w:r w:rsidR="008A46FC" w:rsidRPr="008A46FC">
        <w:rPr>
          <w:rFonts w:ascii="Times New Roman" w:eastAsia="Times New Roman" w:hAnsi="Times New Roman" w:cs="Times New Roman"/>
          <w:bCs/>
          <w:sz w:val="24"/>
          <w:szCs w:val="24"/>
        </w:rPr>
        <w:t>, New Brunswick, and Nova Scotia</w:t>
      </w:r>
      <w:r w:rsidRPr="008A46FC">
        <w:rPr>
          <w:rFonts w:ascii="Times New Roman" w:eastAsia="Times New Roman" w:hAnsi="Times New Roman" w:cs="Times New Roman"/>
          <w:bCs/>
          <w:sz w:val="24"/>
          <w:szCs w:val="24"/>
        </w:rPr>
        <w:t xml:space="preserve"> Zonation Scenarios</w:t>
      </w:r>
    </w:p>
    <w:p w14:paraId="00000044" w14:textId="14D7A8EF" w:rsidR="0065549F"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Landis and Zonation study areas in southern Quebec, pixels receiving higher ranks and prioritization were similar across the four Zonation scenarios in each study area. However, the amount of land required to maintain the current Wood Thrush population was very different across the four scenarios. When only the current population was considered, 15, 39, 66, and &gt;99 % of the study area (12,258,363 ha) would be required to maintain 50, 75, 90, and 100 % of the current Wood Thrush population (612,380 males). The best-case, medium-case, and worst-case Landis scenarios predicted a larger Wood Thrush population in 2100 than the current population (respectively 106, 95, and 91 % more males). The corresponding Zonation scenarios that also considered future population estimated that less land needs to be prioritized for protection or </w:t>
      </w:r>
      <w:r>
        <w:rPr>
          <w:rFonts w:ascii="Times New Roman" w:eastAsia="Times New Roman" w:hAnsi="Times New Roman" w:cs="Times New Roman"/>
          <w:sz w:val="24"/>
          <w:szCs w:val="24"/>
        </w:rPr>
        <w:lastRenderedPageBreak/>
        <w:t>management in the corresponding Zonation scenarios (best case: 10, 23, 43, and 88 %; medium case: 9, 23, 43, and 88 %; worst case: 9, 23, 43, and 88 %) to maintain 50, 75, 90, and 100 % of the current Wood Thrush population (Figs. S4.</w:t>
      </w:r>
      <w:r w:rsidR="005E6987">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 S4.</w:t>
      </w:r>
      <w:r w:rsidR="005E698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p>
    <w:p w14:paraId="00000045" w14:textId="77777777" w:rsidR="0065549F"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0000046" w14:textId="2AE11FB5" w:rsidR="0065549F" w:rsidRDefault="00000000">
      <w:pPr>
        <w:ind w:firstLine="720"/>
      </w:pPr>
      <w:r>
        <w:t xml:space="preserve"> </w:t>
      </w:r>
      <w:r w:rsidR="00122E4C">
        <w:rPr>
          <w:noProof/>
        </w:rPr>
        <w:drawing>
          <wp:inline distT="0" distB="0" distL="0" distR="0" wp14:anchorId="7F1D5B25" wp14:editId="7CA6ED0E">
            <wp:extent cx="5943600" cy="396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00000047" w14:textId="77777777" w:rsidR="0065549F" w:rsidRDefault="0065549F">
      <w:pPr>
        <w:ind w:firstLine="720"/>
      </w:pPr>
    </w:p>
    <w:p w14:paraId="00000048" w14:textId="0FFD323F" w:rsidR="0065549F" w:rsidRDefault="00000000">
      <w:pPr>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Figure S4.</w:t>
      </w:r>
      <w:r w:rsidR="0013398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Maps of southern Quebec in which individual locations (250-m cells) are coloured according to their priority for conservation or management as important Wood Thrush habitat under present and future environmental conditions. Darker colours indicate locations with higher priority (on a scale from 0 to 1) as critical habitat for Wood Thrush. Zonation scenarios: </w:t>
      </w:r>
      <w:r w:rsidR="00122E4C">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based on current population density alone; </w:t>
      </w:r>
      <w:r w:rsidR="00122E4C">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based on current density + 2100</w:t>
      </w:r>
      <w:r w:rsidR="00122E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population from the best-case Landis scenario; </w:t>
      </w:r>
      <w:r w:rsidR="00122E4C">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 xml:space="preserve">based on current density + 2100 population from the medium-case Landis scenario; </w:t>
      </w:r>
      <w:r w:rsidR="00122E4C">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based on current density + 2100 population from the worst-case Landis scenario. As the 2100 population was projected to be higher than the current population in southern Quebec, less land was required to maintain various percentages of the current population levels when future distribution of the Wood Thrush was also used to prioritize lands as important habitat.</w:t>
      </w:r>
    </w:p>
    <w:p w14:paraId="00000049" w14:textId="77777777" w:rsidR="0065549F" w:rsidRDefault="0065549F">
      <w:pPr>
        <w:widowControl w:val="0"/>
        <w:spacing w:after="0"/>
        <w:rPr>
          <w:rFonts w:ascii="Times New Roman" w:eastAsia="Times New Roman" w:hAnsi="Times New Roman" w:cs="Times New Roman"/>
          <w:sz w:val="24"/>
          <w:szCs w:val="24"/>
        </w:rPr>
      </w:pPr>
    </w:p>
    <w:p w14:paraId="0000004A" w14:textId="77777777" w:rsidR="0065549F" w:rsidRDefault="0065549F">
      <w:pPr>
        <w:ind w:firstLine="720"/>
      </w:pPr>
    </w:p>
    <w:p w14:paraId="0000004B" w14:textId="77777777" w:rsidR="0065549F" w:rsidRDefault="0065549F">
      <w:pPr>
        <w:ind w:firstLine="720"/>
      </w:pPr>
    </w:p>
    <w:p w14:paraId="0000004C" w14:textId="50B4B396" w:rsidR="0065549F" w:rsidRDefault="00122E4C">
      <w:pPr>
        <w:ind w:firstLine="720"/>
      </w:pPr>
      <w:r>
        <w:rPr>
          <w:noProof/>
        </w:rPr>
        <w:drawing>
          <wp:inline distT="0" distB="0" distL="0" distR="0" wp14:anchorId="6CD8576F" wp14:editId="13EB8425">
            <wp:extent cx="5727700" cy="3818467"/>
            <wp:effectExtent l="0" t="0" r="6350" b="0"/>
            <wp:docPr id="10" name="Picture 10" descr="A picture containing text, map,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map, tre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5734" cy="3830490"/>
                    </a:xfrm>
                    <a:prstGeom prst="rect">
                      <a:avLst/>
                    </a:prstGeom>
                    <a:noFill/>
                    <a:ln>
                      <a:noFill/>
                    </a:ln>
                  </pic:spPr>
                </pic:pic>
              </a:graphicData>
            </a:graphic>
          </wp:inline>
        </w:drawing>
      </w:r>
    </w:p>
    <w:p w14:paraId="0000004D" w14:textId="77777777" w:rsidR="0065549F" w:rsidRDefault="0065549F">
      <w:pPr>
        <w:ind w:firstLine="720"/>
      </w:pPr>
    </w:p>
    <w:p w14:paraId="0000004E" w14:textId="5A9B3997" w:rsidR="0065549F" w:rsidRDefault="00000000">
      <w:pPr>
        <w:rPr>
          <w:rFonts w:ascii="Times New Roman" w:eastAsia="Times New Roman" w:hAnsi="Times New Roman" w:cs="Times New Roman"/>
          <w:sz w:val="24"/>
          <w:szCs w:val="24"/>
        </w:rPr>
      </w:pPr>
      <w:bookmarkStart w:id="4" w:name="_heading=h.2et92p0" w:colFirst="0" w:colLast="0"/>
      <w:bookmarkEnd w:id="4"/>
      <w:r>
        <w:rPr>
          <w:rFonts w:ascii="Times New Roman" w:eastAsia="Times New Roman" w:hAnsi="Times New Roman" w:cs="Times New Roman"/>
          <w:sz w:val="24"/>
          <w:szCs w:val="24"/>
        </w:rPr>
        <w:t>Figure S4.</w:t>
      </w:r>
      <w:r w:rsidR="0013398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Multi-colour maps indicating what areas to prioritize as important habitat for different percentages of the current Wood Thrush population in southern Quebec. Dark blue indicates the highest ranked areas that are necessary to maintain 50% of the current population as of 2019. Dark green, light green and yellow areas are additional areas necessary to maintain up to 75%, 90%, and 100% of the current population, respectively.  Zonation scenarios: </w:t>
      </w:r>
      <w:r w:rsidR="00122E4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based on current population density alone; </w:t>
      </w:r>
      <w:r w:rsidR="00122E4C">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 xml:space="preserve">based on current density + 2100 population from the best-case Landis scenario; </w:t>
      </w:r>
      <w:r w:rsidR="00122E4C">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based on current density + 2100 population from the medium-case Landis scenario; </w:t>
      </w:r>
      <w:r w:rsidR="00122E4C">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based on current density + 2100 population from the worst-case Landis scenario. As the 2100 population was projected to be higher than the current population in southern Quebec, less land was required to maintain various percentages of the current population levels when future distribution of the Wood Thrush was also used to prioritize lands as important habitat.</w:t>
      </w:r>
    </w:p>
    <w:p w14:paraId="0000004F" w14:textId="77777777" w:rsidR="0065549F" w:rsidRDefault="0065549F">
      <w:pPr>
        <w:rPr>
          <w:rFonts w:ascii="Times New Roman" w:eastAsia="Times New Roman" w:hAnsi="Times New Roman" w:cs="Times New Roman"/>
          <w:sz w:val="24"/>
          <w:szCs w:val="24"/>
        </w:rPr>
      </w:pPr>
    </w:p>
    <w:p w14:paraId="00000050" w14:textId="65B35C1A" w:rsidR="0065549F" w:rsidRDefault="00CE42D1">
      <w:pPr>
        <w:rPr>
          <w:rFonts w:ascii="Times New Roman" w:eastAsia="Times New Roman" w:hAnsi="Times New Roman" w:cs="Times New Roman"/>
          <w:sz w:val="24"/>
          <w:szCs w:val="24"/>
        </w:rPr>
      </w:pPr>
      <w:r>
        <w:rPr>
          <w:noProof/>
        </w:rPr>
        <w:lastRenderedPageBreak/>
        <w:drawing>
          <wp:inline distT="0" distB="0" distL="0" distR="0" wp14:anchorId="1F42A07D" wp14:editId="61E398EA">
            <wp:extent cx="5943600" cy="396240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Pr>
          <w:noProof/>
        </w:rPr>
        <w:t xml:space="preserve"> </w:t>
      </w:r>
    </w:p>
    <w:p w14:paraId="00000051" w14:textId="77777777" w:rsidR="0065549F" w:rsidRDefault="0065549F">
      <w:pPr>
        <w:rPr>
          <w:rFonts w:ascii="Times New Roman" w:eastAsia="Times New Roman" w:hAnsi="Times New Roman" w:cs="Times New Roman"/>
          <w:sz w:val="24"/>
          <w:szCs w:val="24"/>
        </w:rPr>
      </w:pPr>
    </w:p>
    <w:p w14:paraId="00000052" w14:textId="5F608B71" w:rsidR="0065549F" w:rsidRDefault="00000000">
      <w:pPr>
        <w:rPr>
          <w:rFonts w:ascii="Times New Roman" w:eastAsia="Times New Roman" w:hAnsi="Times New Roman" w:cs="Times New Roman"/>
          <w:sz w:val="24"/>
          <w:szCs w:val="24"/>
        </w:rPr>
      </w:pPr>
      <w:bookmarkStart w:id="5" w:name="_heading=h.tyjcwt" w:colFirst="0" w:colLast="0"/>
      <w:bookmarkEnd w:id="5"/>
      <w:r>
        <w:rPr>
          <w:rFonts w:ascii="Times New Roman" w:eastAsia="Times New Roman" w:hAnsi="Times New Roman" w:cs="Times New Roman"/>
          <w:sz w:val="24"/>
          <w:szCs w:val="24"/>
        </w:rPr>
        <w:t>Figure S4.</w:t>
      </w:r>
      <w:r w:rsidR="00133981">
        <w:rPr>
          <w:rFonts w:ascii="Times New Roman" w:eastAsia="Times New Roman" w:hAnsi="Times New Roman" w:cs="Times New Roman"/>
          <w:sz w:val="24"/>
          <w:szCs w:val="24"/>
        </w:rPr>
        <w:t>6</w:t>
      </w:r>
      <w:r>
        <w:rPr>
          <w:rFonts w:ascii="Times New Roman" w:eastAsia="Times New Roman" w:hAnsi="Times New Roman" w:cs="Times New Roman"/>
          <w:sz w:val="24"/>
          <w:szCs w:val="24"/>
        </w:rPr>
        <w:t>. Runtime plots showing the proportion of the current and future Wood Thrush population remaining in its current range in southern Quebec as lands (250-m cells) are removed from consideration for conservation or management as important Wood Thrush habitat, under four Zonation scenarios. Zonation scenarios: Current = based on current population density alone; Best = based on current density + 2100 population from the best-case Landis scenario; Medium = based on current density + 2100 population from the medium-case Landis scenario; Worst = based on current density + 2100 population from the worst-case Landis scenario. As the 2100 population was projected to be higher than the current population in southern Quebec, less land was required to maintain various percentages of the current population levels, when future distribution of the Wood Thrush was also used to prioritize lands as important habitat. Since population projections were similar across different Landis scenarios, the amount of land that can be removed barely differed in Zonation scenarios based on the best, medium, and worst-case scenarios.</w:t>
      </w:r>
    </w:p>
    <w:p w14:paraId="00000054" w14:textId="77777777" w:rsidR="0065549F" w:rsidRDefault="0065549F">
      <w:pPr>
        <w:widowControl w:val="0"/>
        <w:spacing w:after="0"/>
        <w:rPr>
          <w:rFonts w:ascii="Times New Roman" w:eastAsia="Times New Roman" w:hAnsi="Times New Roman" w:cs="Times New Roman"/>
          <w:sz w:val="24"/>
          <w:szCs w:val="24"/>
        </w:rPr>
      </w:pPr>
    </w:p>
    <w:p w14:paraId="00000055" w14:textId="3DF31C7D" w:rsidR="0065549F"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southern New Brunswick, when only the current population was considered, 18, 42, 68, and &gt;99 % of the study area (6,431,194 ha) would be required to maintain 50, 75, 90, and 100 % of the current Wood Thrush population (169,926 males). The best-case, medium-case, and worst-case Landis scenarios predicted a larger Wood Thrush population in 2100 than the current population (respectively 126, 64, and 30 % more males). The corresponding Zonation </w:t>
      </w:r>
      <w:r>
        <w:rPr>
          <w:rFonts w:ascii="Times New Roman" w:eastAsia="Times New Roman" w:hAnsi="Times New Roman" w:cs="Times New Roman"/>
          <w:sz w:val="24"/>
          <w:szCs w:val="24"/>
        </w:rPr>
        <w:lastRenderedPageBreak/>
        <w:t>scenarios that also considered future population estimated that less land needs to be prioritized for protection or management in the corresponding Zonation scenarios (best case: 7, 18, 31, and 80 %; medium case: 7, 18, 31, and 79 %; worst case: 7, 18, 31, and 79 %) to maintain 50, 75, 90, and 100 % of the current Wood Thrush population (Figs. S4.</w:t>
      </w:r>
      <w:r w:rsidR="005E6987">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 S4.</w:t>
      </w:r>
      <w:r w:rsidR="005E6987">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yellow"/>
        </w:rPr>
        <w:t xml:space="preserve"> </w:t>
      </w:r>
    </w:p>
    <w:p w14:paraId="00000056" w14:textId="68628B61" w:rsidR="0065549F" w:rsidRDefault="00381A0E">
      <w:pPr>
        <w:ind w:firstLine="720"/>
      </w:pPr>
      <w:r>
        <w:rPr>
          <w:noProof/>
        </w:rPr>
        <w:drawing>
          <wp:inline distT="0" distB="0" distL="0" distR="0" wp14:anchorId="76EBE2C9" wp14:editId="0B58CAA3">
            <wp:extent cx="5943600" cy="3962400"/>
            <wp:effectExtent l="0" t="0" r="0" b="0"/>
            <wp:docPr id="11" name="Picture 1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map&#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00000057" w14:textId="77777777" w:rsidR="0065549F" w:rsidRDefault="0065549F">
      <w:pPr>
        <w:ind w:firstLine="720"/>
      </w:pPr>
    </w:p>
    <w:p w14:paraId="00000058" w14:textId="4AC3AB83" w:rsidR="0065549F" w:rsidRDefault="00000000">
      <w:pPr>
        <w:rPr>
          <w:rFonts w:ascii="Times New Roman" w:eastAsia="Times New Roman" w:hAnsi="Times New Roman" w:cs="Times New Roman"/>
          <w:sz w:val="24"/>
          <w:szCs w:val="24"/>
        </w:rPr>
      </w:pPr>
      <w:bookmarkStart w:id="6" w:name="_heading=h.3dy6vkm" w:colFirst="0" w:colLast="0"/>
      <w:bookmarkEnd w:id="6"/>
      <w:r>
        <w:rPr>
          <w:rFonts w:ascii="Times New Roman" w:eastAsia="Times New Roman" w:hAnsi="Times New Roman" w:cs="Times New Roman"/>
          <w:sz w:val="24"/>
          <w:szCs w:val="24"/>
        </w:rPr>
        <w:t>Figure S4.</w:t>
      </w:r>
      <w:r w:rsidR="00133981">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Maps of southern New Brunswick in the current estimated range of the Wood Thrush, which individual locations (250-m cells) are coloured according to their priority for conservation or management as Wood Thrush habitat under present and future environmental conditions. Darker colours indicate locations with higher priority (on a scale from 0 to 1) as critical habitat for Wood Thrush. Zonation scenarios: </w:t>
      </w:r>
      <w:r w:rsidR="00381A0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based on current population density alone; </w:t>
      </w:r>
      <w:r w:rsidR="00381A0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based on current density + 2100 population from the best-case Landis scenario; </w:t>
      </w:r>
      <w:r w:rsidR="00381A0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based on current density + 2100 population from the medium-case Landis scenario; </w:t>
      </w:r>
      <w:r w:rsidR="00381A0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based on current density + 2100 population from the worst-case Landis scenario. As the 2100 population was projected to be higher than the current population in southern New Brunswick, less land was required to maintain various percentages of the current population levels when future distribution of the Wood Thrush was also used to prioritize lands as habitat.</w:t>
      </w:r>
    </w:p>
    <w:p w14:paraId="00000059" w14:textId="77777777" w:rsidR="0065549F" w:rsidRDefault="0065549F">
      <w:pPr>
        <w:widowControl w:val="0"/>
        <w:spacing w:after="0"/>
        <w:rPr>
          <w:rFonts w:ascii="Times New Roman" w:eastAsia="Times New Roman" w:hAnsi="Times New Roman" w:cs="Times New Roman"/>
          <w:sz w:val="24"/>
          <w:szCs w:val="24"/>
        </w:rPr>
      </w:pPr>
    </w:p>
    <w:p w14:paraId="0000005A" w14:textId="77777777" w:rsidR="0065549F" w:rsidRDefault="0065549F">
      <w:pPr>
        <w:ind w:firstLine="720"/>
      </w:pPr>
    </w:p>
    <w:p w14:paraId="0000005B" w14:textId="77777777" w:rsidR="0065549F" w:rsidRDefault="0065549F">
      <w:pPr>
        <w:ind w:firstLine="720"/>
      </w:pPr>
    </w:p>
    <w:p w14:paraId="0000005C" w14:textId="63B06699" w:rsidR="0065549F" w:rsidRDefault="00A637A3">
      <w:pPr>
        <w:ind w:firstLine="720"/>
      </w:pPr>
      <w:r>
        <w:rPr>
          <w:noProof/>
        </w:rPr>
        <w:lastRenderedPageBreak/>
        <w:drawing>
          <wp:inline distT="0" distB="0" distL="0" distR="0" wp14:anchorId="769AF451" wp14:editId="3D78F088">
            <wp:extent cx="5943600" cy="3962400"/>
            <wp:effectExtent l="0" t="0" r="0" b="0"/>
            <wp:docPr id="12" name="Picture 1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map&#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0000005D" w14:textId="77777777" w:rsidR="0065549F" w:rsidRDefault="0065549F">
      <w:pPr>
        <w:ind w:firstLine="720"/>
      </w:pPr>
    </w:p>
    <w:p w14:paraId="0000005E" w14:textId="73E217B5" w:rsidR="0065549F" w:rsidRDefault="00000000">
      <w:pPr>
        <w:rPr>
          <w:rFonts w:ascii="Times New Roman" w:eastAsia="Times New Roman" w:hAnsi="Times New Roman" w:cs="Times New Roman"/>
          <w:sz w:val="24"/>
          <w:szCs w:val="24"/>
        </w:rPr>
      </w:pPr>
      <w:bookmarkStart w:id="7" w:name="_heading=h.1t3h5sf" w:colFirst="0" w:colLast="0"/>
      <w:bookmarkEnd w:id="7"/>
      <w:r>
        <w:rPr>
          <w:rFonts w:ascii="Times New Roman" w:eastAsia="Times New Roman" w:hAnsi="Times New Roman" w:cs="Times New Roman"/>
          <w:sz w:val="24"/>
          <w:szCs w:val="24"/>
        </w:rPr>
        <w:t>Figure S4.</w:t>
      </w:r>
      <w:r w:rsidR="00133981">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Multi-colour maps indicating what areas to prioritize as </w:t>
      </w:r>
      <w:r w:rsidR="003B42A3">
        <w:rPr>
          <w:rFonts w:ascii="Times New Roman" w:eastAsia="Times New Roman" w:hAnsi="Times New Roman" w:cs="Times New Roman"/>
          <w:sz w:val="24"/>
          <w:szCs w:val="24"/>
        </w:rPr>
        <w:t>important</w:t>
      </w:r>
      <w:r>
        <w:rPr>
          <w:rFonts w:ascii="Times New Roman" w:eastAsia="Times New Roman" w:hAnsi="Times New Roman" w:cs="Times New Roman"/>
          <w:sz w:val="24"/>
          <w:szCs w:val="24"/>
        </w:rPr>
        <w:t xml:space="preserve"> habitat for different percentages of the current Wood Thrush population in its current estimated range in southern New Brunswick. Dark blue indicates the highest ranked areas that are necessary to maintain 50% of the current population as of 2019. Dark green, light green and yellow areas are additional areas necessary to maintain up to 75%, 90%, and 100% of the current population, respectively. Zonation scenarios: </w:t>
      </w:r>
      <w:r w:rsidR="00381A0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based on current population density alone; </w:t>
      </w:r>
      <w:r w:rsidR="00381A0E">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based on current density + 2100 population from the best-case Landis scenario; </w:t>
      </w:r>
      <w:r w:rsidR="00381A0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based on current density + 2100 population from the medium-case Landis scenario; </w:t>
      </w:r>
      <w:r w:rsidR="00381A0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based on current density + 2100 population from the worst-case Landis scenario. As the 2100 population was projected to be higher than the current population in southern New Brunswick, less land was required to maintain various percentages of the current population levels when future distribution of the Wood Thrush was also used to prioritize lands as habitat.</w:t>
      </w:r>
    </w:p>
    <w:p w14:paraId="0000005F" w14:textId="77777777" w:rsidR="0065549F" w:rsidRDefault="0065549F">
      <w:pPr>
        <w:rPr>
          <w:rFonts w:ascii="Times New Roman" w:eastAsia="Times New Roman" w:hAnsi="Times New Roman" w:cs="Times New Roman"/>
          <w:sz w:val="24"/>
          <w:szCs w:val="24"/>
        </w:rPr>
      </w:pPr>
    </w:p>
    <w:p w14:paraId="00000060" w14:textId="65E88D3E" w:rsidR="0065549F" w:rsidRDefault="00CE42D1">
      <w:pPr>
        <w:rPr>
          <w:rFonts w:ascii="Times New Roman" w:eastAsia="Times New Roman" w:hAnsi="Times New Roman" w:cs="Times New Roman"/>
          <w:sz w:val="24"/>
          <w:szCs w:val="24"/>
        </w:rPr>
      </w:pPr>
      <w:r>
        <w:rPr>
          <w:noProof/>
        </w:rPr>
        <w:lastRenderedPageBreak/>
        <w:drawing>
          <wp:inline distT="0" distB="0" distL="0" distR="0" wp14:anchorId="7C2AF02D" wp14:editId="6496E03A">
            <wp:extent cx="5943600" cy="3962400"/>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Pr>
          <w:noProof/>
        </w:rPr>
        <w:t xml:space="preserve">  </w:t>
      </w:r>
    </w:p>
    <w:p w14:paraId="00000061" w14:textId="77777777" w:rsidR="0065549F" w:rsidRDefault="0065549F">
      <w:pPr>
        <w:rPr>
          <w:rFonts w:ascii="Times New Roman" w:eastAsia="Times New Roman" w:hAnsi="Times New Roman" w:cs="Times New Roman"/>
          <w:sz w:val="24"/>
          <w:szCs w:val="24"/>
        </w:rPr>
      </w:pPr>
    </w:p>
    <w:p w14:paraId="00000062" w14:textId="17129C68" w:rsidR="0065549F" w:rsidRDefault="00000000">
      <w:pPr>
        <w:rPr>
          <w:rFonts w:ascii="Times New Roman" w:eastAsia="Times New Roman" w:hAnsi="Times New Roman" w:cs="Times New Roman"/>
          <w:sz w:val="24"/>
          <w:szCs w:val="24"/>
        </w:rPr>
      </w:pPr>
      <w:bookmarkStart w:id="8" w:name="_heading=h.4d34og8" w:colFirst="0" w:colLast="0"/>
      <w:bookmarkEnd w:id="8"/>
      <w:r>
        <w:rPr>
          <w:rFonts w:ascii="Times New Roman" w:eastAsia="Times New Roman" w:hAnsi="Times New Roman" w:cs="Times New Roman"/>
          <w:sz w:val="24"/>
          <w:szCs w:val="24"/>
        </w:rPr>
        <w:t>Figure S4.</w:t>
      </w:r>
      <w:r w:rsidR="00133981">
        <w:rPr>
          <w:rFonts w:ascii="Times New Roman" w:eastAsia="Times New Roman" w:hAnsi="Times New Roman" w:cs="Times New Roman"/>
          <w:sz w:val="24"/>
          <w:szCs w:val="24"/>
        </w:rPr>
        <w:t>9</w:t>
      </w:r>
      <w:r>
        <w:rPr>
          <w:rFonts w:ascii="Times New Roman" w:eastAsia="Times New Roman" w:hAnsi="Times New Roman" w:cs="Times New Roman"/>
          <w:sz w:val="24"/>
          <w:szCs w:val="24"/>
        </w:rPr>
        <w:t>. Runtime plots showing the proportion of the current and future Wood Thrush population remaining in its current range in southern New Brunswick as lands (250-m cells) are removed from consideration for conservation or management as Wood Thrush habitat, under four Zonation scenarios. Zonation scenarios: Current = based on current population density alone; Best = based on current density + 2100 population from the best-case Landis scenario; Medium = based on current density + 2100 population from the medium-case Landis scenario; Worst = based on current density + 2100 population from the worst-case Landis scenario. As the 2100 population was projected to be higher than the current population in southern New Brunswick, less land was required to maintain various percentages of the current population levels, when future distribution of the Wood Thrush was also used to prioritize lands as habitat.</w:t>
      </w:r>
    </w:p>
    <w:p w14:paraId="4006F076" w14:textId="6543BEEC" w:rsidR="00BF3122" w:rsidRDefault="00BF3122">
      <w:pPr>
        <w:rPr>
          <w:rFonts w:ascii="Times New Roman" w:eastAsia="Times New Roman" w:hAnsi="Times New Roman" w:cs="Times New Roman"/>
          <w:sz w:val="24"/>
          <w:szCs w:val="24"/>
        </w:rPr>
      </w:pPr>
    </w:p>
    <w:p w14:paraId="703D88E9" w14:textId="77777777" w:rsidR="00BF3122" w:rsidRDefault="00BF3122" w:rsidP="00BF31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southern Nova Scotia, when only the current population was considered, 18, 43, 67, and &gt;99 % of the study area (5,085,488 ha) would be required to maintain 50, 75, 90, and 100 % of the current Wood Thrush population (71,533 males). The best-case, medium-case, and worst-case Landis scenarios predicted a larger Wood Thrush population in 2100 than the current population (respectively 275, 187, and 179 % more males). The corresponding Zonation scenarios that also considered future population estimated that less land needs to be prioritized for protection or management in the corresponding Zonation scenarios (best case: 3, 8, 16, and </w:t>
      </w:r>
      <w:r>
        <w:rPr>
          <w:rFonts w:ascii="Times New Roman" w:eastAsia="Times New Roman" w:hAnsi="Times New Roman" w:cs="Times New Roman"/>
          <w:sz w:val="24"/>
          <w:szCs w:val="24"/>
        </w:rPr>
        <w:lastRenderedPageBreak/>
        <w:t>50 %; medium case: 3, 8, 15, and 50 %; worst case: 2, 8, 15, and 49 %) to maintain 50, 75, 90, and 100 % of the current Wood Thrush population (Figs. S4.10 - S4.12).</w:t>
      </w:r>
    </w:p>
    <w:p w14:paraId="03BA3FF8" w14:textId="77777777" w:rsidR="00BF3122" w:rsidRDefault="00BF3122" w:rsidP="00BF3122">
      <w:pPr>
        <w:ind w:firstLine="720"/>
        <w:rPr>
          <w:rFonts w:ascii="Times New Roman" w:eastAsia="Times New Roman" w:hAnsi="Times New Roman" w:cs="Times New Roman"/>
          <w:sz w:val="24"/>
          <w:szCs w:val="24"/>
        </w:rPr>
      </w:pPr>
    </w:p>
    <w:p w14:paraId="1B34C12C" w14:textId="77777777" w:rsidR="00BF3122" w:rsidRDefault="00BF3122" w:rsidP="00BF3122">
      <w:pPr>
        <w:ind w:firstLine="720"/>
        <w:rPr>
          <w:rFonts w:ascii="Times New Roman" w:eastAsia="Times New Roman" w:hAnsi="Times New Roman" w:cs="Times New Roman"/>
          <w:sz w:val="24"/>
          <w:szCs w:val="24"/>
        </w:rPr>
      </w:pPr>
    </w:p>
    <w:p w14:paraId="73005EB0" w14:textId="77777777" w:rsidR="00BF3122" w:rsidRDefault="00BF3122">
      <w:pPr>
        <w:rPr>
          <w:rFonts w:ascii="Times New Roman" w:eastAsia="Times New Roman" w:hAnsi="Times New Roman" w:cs="Times New Roman"/>
          <w:sz w:val="24"/>
          <w:szCs w:val="24"/>
        </w:rPr>
      </w:pPr>
    </w:p>
    <w:p w14:paraId="00000068" w14:textId="1F5ECB13" w:rsidR="0065549F" w:rsidRDefault="00E80332">
      <w:pPr>
        <w:ind w:firstLine="720"/>
        <w:rPr>
          <w:rFonts w:ascii="Times New Roman" w:eastAsia="Times New Roman" w:hAnsi="Times New Roman" w:cs="Times New Roman"/>
          <w:sz w:val="24"/>
          <w:szCs w:val="24"/>
        </w:rPr>
      </w:pPr>
      <w:bookmarkStart w:id="9" w:name="_heading=h.2s8eyo1" w:colFirst="0" w:colLast="0"/>
      <w:bookmarkEnd w:id="9"/>
      <w:r>
        <w:rPr>
          <w:noProof/>
        </w:rPr>
        <w:drawing>
          <wp:inline distT="0" distB="0" distL="0" distR="0" wp14:anchorId="05D34D4D" wp14:editId="521DBAAD">
            <wp:extent cx="5943600" cy="3962400"/>
            <wp:effectExtent l="0" t="0" r="0"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00000069" w14:textId="77777777" w:rsidR="0065549F" w:rsidRDefault="0065549F">
      <w:pPr>
        <w:ind w:firstLine="720"/>
      </w:pPr>
    </w:p>
    <w:p w14:paraId="0000006A" w14:textId="1A75DC77" w:rsidR="0065549F" w:rsidRDefault="00000000">
      <w:pPr>
        <w:rPr>
          <w:rFonts w:ascii="Times New Roman" w:eastAsia="Times New Roman" w:hAnsi="Times New Roman" w:cs="Times New Roman"/>
          <w:sz w:val="24"/>
          <w:szCs w:val="24"/>
        </w:rPr>
      </w:pPr>
      <w:bookmarkStart w:id="10" w:name="_heading=h.17dp8vu" w:colFirst="0" w:colLast="0"/>
      <w:bookmarkEnd w:id="10"/>
      <w:r>
        <w:rPr>
          <w:rFonts w:ascii="Times New Roman" w:eastAsia="Times New Roman" w:hAnsi="Times New Roman" w:cs="Times New Roman"/>
          <w:sz w:val="24"/>
          <w:szCs w:val="24"/>
        </w:rPr>
        <w:t>Figure S4.</w:t>
      </w:r>
      <w:r w:rsidR="00133981">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Maps of southern Nova Scotia in the current estimated range of the Wood Thrush, which individual locations (250-m cells) are coloured according to their priority for conservation or management as Wood Thrush habitat under present and future environmental conditions. Darker colours indicate locations with higher priority (on a scale from 0 to 1) as critical habitat for Wood Thrush. Zonation scenarios: </w:t>
      </w:r>
      <w:r w:rsidR="00A637A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based on current population density alone; </w:t>
      </w:r>
      <w:r w:rsidR="00A637A3">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based on current density + 2100 population from the best-case Landis scenario; </w:t>
      </w:r>
      <w:r w:rsidR="00A637A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based on current density + 2100 population from the medium-case Landis scenario; </w:t>
      </w:r>
      <w:r w:rsidR="00A637A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based on current density + 2100 population from the worst-case Landis scenario. As the 2100 population was projected to be higher than the current population in southern Nova Scotia, less land was required to maintain various percentages of the current population levels when future distribution of the Wood Thrush was also used to prioritize lands as habitat.</w:t>
      </w:r>
    </w:p>
    <w:p w14:paraId="0000006B" w14:textId="77777777" w:rsidR="0065549F" w:rsidRDefault="0065549F">
      <w:pPr>
        <w:ind w:firstLine="720"/>
      </w:pPr>
    </w:p>
    <w:p w14:paraId="0000006C" w14:textId="77777777" w:rsidR="0065549F" w:rsidRDefault="0065549F">
      <w:pPr>
        <w:ind w:firstLine="720"/>
      </w:pPr>
    </w:p>
    <w:p w14:paraId="0000006D" w14:textId="4F473EAA" w:rsidR="0065549F" w:rsidRDefault="00E80332">
      <w:pPr>
        <w:ind w:firstLine="720"/>
      </w:pPr>
      <w:r>
        <w:rPr>
          <w:noProof/>
        </w:rPr>
        <w:drawing>
          <wp:inline distT="0" distB="0" distL="0" distR="0" wp14:anchorId="5A957635" wp14:editId="44F3927A">
            <wp:extent cx="5943600" cy="3962400"/>
            <wp:effectExtent l="0" t="0" r="0" b="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0000006E" w14:textId="77777777" w:rsidR="0065549F" w:rsidRDefault="0065549F">
      <w:pPr>
        <w:ind w:firstLine="720"/>
      </w:pPr>
    </w:p>
    <w:p w14:paraId="0000006F" w14:textId="518D061A" w:rsidR="0065549F" w:rsidRDefault="00000000">
      <w:pPr>
        <w:rPr>
          <w:rFonts w:ascii="Times New Roman" w:eastAsia="Times New Roman" w:hAnsi="Times New Roman" w:cs="Times New Roman"/>
          <w:sz w:val="24"/>
          <w:szCs w:val="24"/>
        </w:rPr>
      </w:pPr>
      <w:bookmarkStart w:id="11" w:name="_heading=h.3rdcrjn" w:colFirst="0" w:colLast="0"/>
      <w:bookmarkEnd w:id="11"/>
      <w:r>
        <w:rPr>
          <w:rFonts w:ascii="Times New Roman" w:eastAsia="Times New Roman" w:hAnsi="Times New Roman" w:cs="Times New Roman"/>
          <w:sz w:val="24"/>
          <w:szCs w:val="24"/>
        </w:rPr>
        <w:t>Figure S4.1</w:t>
      </w:r>
      <w:r w:rsidR="00133981">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Multi-colour maps indicating what areas to prioritize as habitat for different percentages of the current Wood Thrush population in its current estimated range in southern Nova Scotia. Dark blue indicates the highest ranked areas that are necessary to maintain 50% of the current population as of 2019. Dark green, light green and yellow areas are additional areas necessary to maintain up to 75%, 90%, and 100% of the current population, respectively. Zonation scenarios: </w:t>
      </w:r>
      <w:r w:rsidR="00A637A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based on current population density alone; </w:t>
      </w:r>
      <w:r w:rsidR="00A637A3">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based on current density + 2100 population from the best-case Landis scenario; </w:t>
      </w:r>
      <w:r w:rsidR="00A637A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based on current density + 2100 population from the medium-case Landis scenario; </w:t>
      </w:r>
      <w:r w:rsidR="00A637A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based on current density + 2100 population from the worst-case Landis scenario. As the 2100 population was projected to be higher than the current population in southern Nova Scotia, less land was required to maintain various percentages of the current population levels when future distribution of the Wood Thrush was also used to prioritize lands as habitat.</w:t>
      </w:r>
    </w:p>
    <w:p w14:paraId="00000070" w14:textId="77777777" w:rsidR="0065549F" w:rsidRDefault="0065549F">
      <w:pPr>
        <w:rPr>
          <w:rFonts w:ascii="Times New Roman" w:eastAsia="Times New Roman" w:hAnsi="Times New Roman" w:cs="Times New Roman"/>
          <w:sz w:val="24"/>
          <w:szCs w:val="24"/>
        </w:rPr>
      </w:pPr>
    </w:p>
    <w:p w14:paraId="00000071" w14:textId="49A9376C" w:rsidR="0065549F" w:rsidRDefault="00CE42D1">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C183776" wp14:editId="641F0C14">
            <wp:extent cx="5944235" cy="39630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3963035"/>
                    </a:xfrm>
                    <a:prstGeom prst="rect">
                      <a:avLst/>
                    </a:prstGeom>
                    <a:noFill/>
                  </pic:spPr>
                </pic:pic>
              </a:graphicData>
            </a:graphic>
          </wp:inline>
        </w:drawing>
      </w:r>
    </w:p>
    <w:p w14:paraId="00000072" w14:textId="77777777" w:rsidR="0065549F" w:rsidRDefault="0065549F">
      <w:pPr>
        <w:rPr>
          <w:rFonts w:ascii="Times New Roman" w:eastAsia="Times New Roman" w:hAnsi="Times New Roman" w:cs="Times New Roman"/>
          <w:sz w:val="24"/>
          <w:szCs w:val="24"/>
        </w:rPr>
      </w:pPr>
    </w:p>
    <w:p w14:paraId="00000073" w14:textId="3310EAA1" w:rsidR="0065549F" w:rsidRDefault="00000000">
      <w:pPr>
        <w:rPr>
          <w:rFonts w:ascii="Times New Roman" w:eastAsia="Times New Roman" w:hAnsi="Times New Roman" w:cs="Times New Roman"/>
          <w:sz w:val="24"/>
          <w:szCs w:val="24"/>
        </w:rPr>
      </w:pPr>
      <w:bookmarkStart w:id="12" w:name="_heading=h.26in1rg" w:colFirst="0" w:colLast="0"/>
      <w:bookmarkEnd w:id="12"/>
      <w:r>
        <w:rPr>
          <w:rFonts w:ascii="Times New Roman" w:eastAsia="Times New Roman" w:hAnsi="Times New Roman" w:cs="Times New Roman"/>
          <w:sz w:val="24"/>
          <w:szCs w:val="24"/>
        </w:rPr>
        <w:t>Figure S4.1</w:t>
      </w:r>
      <w:r w:rsidR="00133981">
        <w:rPr>
          <w:rFonts w:ascii="Times New Roman" w:eastAsia="Times New Roman" w:hAnsi="Times New Roman" w:cs="Times New Roman"/>
          <w:sz w:val="24"/>
          <w:szCs w:val="24"/>
        </w:rPr>
        <w:t>2</w:t>
      </w:r>
      <w:r>
        <w:rPr>
          <w:rFonts w:ascii="Times New Roman" w:eastAsia="Times New Roman" w:hAnsi="Times New Roman" w:cs="Times New Roman"/>
          <w:sz w:val="24"/>
          <w:szCs w:val="24"/>
        </w:rPr>
        <w:t>. Runtime plots showing the proportion of the current and future Wood Thrush population remaining in its current range in southern Nova Scotia as lands (250-m cells) are removed from consideration for conservation or management as Wood Thrush habitat, under four Zonation scenarios. Zonation scenarios: Current = based on current population density alone; Best = based on current density + 2100 population from the best-case Landis scenario; Medium = based on current density + 2100 population from the medium-case Landis scenario; Worst = based on current density + 2100 population from the worst-case Landis scenario. As the 2100 population was projected to be higher than the current population in southern Nova Scotia, less land was required to maintain various percentages of the current population levels, when future distribution of the Wood Thrush was also used to prioritize lands as habitat.</w:t>
      </w:r>
    </w:p>
    <w:p w14:paraId="00000074" w14:textId="77777777" w:rsidR="0065549F" w:rsidRDefault="0065549F">
      <w:pPr>
        <w:rPr>
          <w:rFonts w:ascii="Times New Roman" w:eastAsia="Times New Roman" w:hAnsi="Times New Roman" w:cs="Times New Roman"/>
          <w:sz w:val="24"/>
          <w:szCs w:val="24"/>
        </w:rPr>
      </w:pPr>
      <w:bookmarkStart w:id="13" w:name="_heading=h.udxu89iz2llc" w:colFirst="0" w:colLast="0"/>
      <w:bookmarkEnd w:id="13"/>
    </w:p>
    <w:p w14:paraId="00000075" w14:textId="77777777" w:rsidR="0065549F" w:rsidRPr="008A46FC" w:rsidRDefault="00000000">
      <w:pPr>
        <w:pStyle w:val="Heading3"/>
        <w:rPr>
          <w:rFonts w:ascii="Times New Roman" w:eastAsia="Times New Roman" w:hAnsi="Times New Roman" w:cs="Times New Roman"/>
          <w:bCs/>
          <w:sz w:val="24"/>
          <w:szCs w:val="24"/>
        </w:rPr>
      </w:pPr>
      <w:bookmarkStart w:id="14" w:name="_heading=h.lnxbz9" w:colFirst="0" w:colLast="0"/>
      <w:bookmarkEnd w:id="14"/>
      <w:r w:rsidRPr="008A46FC">
        <w:rPr>
          <w:rFonts w:ascii="Times New Roman" w:eastAsia="Times New Roman" w:hAnsi="Times New Roman" w:cs="Times New Roman"/>
          <w:bCs/>
          <w:sz w:val="24"/>
          <w:szCs w:val="24"/>
        </w:rPr>
        <w:t>Ontario Zonation Scenarios</w:t>
      </w:r>
    </w:p>
    <w:p w14:paraId="00000077" w14:textId="51E371AD" w:rsidR="0065549F" w:rsidRDefault="00000000" w:rsidP="00BF31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Ontario, the highest-ranking locations for Wood Thrush habitat were assigned to lands northeast of Lake Huron. Within the FMUs in western Ontario, when only the current population was considered, 25, 49, 71, and &gt;99 % of the study area (17,087,944 ha) would be required to maintain 50, 75, 90, and 100 % of the current Wood Thrush population (254,841 males). The Wood Thrush population was predicted to be 30 % higher in 2070 than the current population, and the Zonation scenario that also considered future population estimated that 7, 15, 25, and 58 </w:t>
      </w:r>
      <w:r>
        <w:rPr>
          <w:rFonts w:ascii="Times New Roman" w:eastAsia="Times New Roman" w:hAnsi="Times New Roman" w:cs="Times New Roman"/>
          <w:sz w:val="24"/>
          <w:szCs w:val="24"/>
        </w:rPr>
        <w:lastRenderedPageBreak/>
        <w:t>% of the study area would be required to maintain 50, 75, 90, and 100 % of the current Wood Thrush population (Fig. S4.1</w:t>
      </w:r>
      <w:r w:rsidR="00133981">
        <w:rPr>
          <w:rFonts w:ascii="Times New Roman" w:eastAsia="Times New Roman" w:hAnsi="Times New Roman" w:cs="Times New Roman"/>
          <w:sz w:val="24"/>
          <w:szCs w:val="24"/>
        </w:rPr>
        <w:t>3</w:t>
      </w:r>
      <w:r>
        <w:rPr>
          <w:rFonts w:ascii="Times New Roman" w:eastAsia="Times New Roman" w:hAnsi="Times New Roman" w:cs="Times New Roman"/>
          <w:sz w:val="24"/>
          <w:szCs w:val="24"/>
        </w:rPr>
        <w:t>). Within parts of the Wood Thrush range in Ontario southeast of the FMUs, when only the current population was considered, 18, 42, 68, and &gt;99 % of the study area (12,638,406 ha) would be required to maintain 50, 75, 90, and 100 % of the current Wood Thrush population (255,597 males)</w:t>
      </w:r>
      <w:r w:rsidR="00133981">
        <w:rPr>
          <w:rFonts w:ascii="Times New Roman" w:eastAsia="Times New Roman" w:hAnsi="Times New Roman" w:cs="Times New Roman"/>
          <w:sz w:val="24"/>
          <w:szCs w:val="24"/>
        </w:rPr>
        <w:t xml:space="preserve"> (Fig. S4.14)</w:t>
      </w:r>
      <w:r>
        <w:rPr>
          <w:rFonts w:ascii="Times New Roman" w:eastAsia="Times New Roman" w:hAnsi="Times New Roman" w:cs="Times New Roman"/>
          <w:sz w:val="24"/>
          <w:szCs w:val="24"/>
        </w:rPr>
        <w:t xml:space="preserve">. The Wood Thrush population was predicted to be 16 % higher in 2070 than the current population, and the Zonation scenario that also considered future population estimated that 10, 24, 41, and 83 % of the study area would be required to maintain 50, 75, 90, and 100 % of the current Wood Thrush population (Fig. </w:t>
      </w:r>
      <w:r w:rsidR="00133981">
        <w:rPr>
          <w:rFonts w:ascii="Times New Roman" w:eastAsia="Times New Roman" w:hAnsi="Times New Roman" w:cs="Times New Roman"/>
          <w:sz w:val="24"/>
          <w:szCs w:val="24"/>
        </w:rPr>
        <w:t>S4.15</w:t>
      </w:r>
      <w:r>
        <w:rPr>
          <w:rFonts w:ascii="Times New Roman" w:eastAsia="Times New Roman" w:hAnsi="Times New Roman" w:cs="Times New Roman"/>
          <w:sz w:val="24"/>
          <w:szCs w:val="24"/>
        </w:rPr>
        <w:t xml:space="preserve">). </w:t>
      </w:r>
      <w:bookmarkStart w:id="15" w:name="_heading=h.1ksv4uv" w:colFirst="0" w:colLast="0"/>
      <w:bookmarkEnd w:id="15"/>
    </w:p>
    <w:p w14:paraId="00000078" w14:textId="77777777" w:rsidR="0065549F" w:rsidRDefault="0065549F">
      <w:pPr>
        <w:rPr>
          <w:rFonts w:ascii="Times New Roman" w:eastAsia="Times New Roman" w:hAnsi="Times New Roman" w:cs="Times New Roman"/>
          <w:sz w:val="24"/>
          <w:szCs w:val="24"/>
        </w:rPr>
      </w:pPr>
    </w:p>
    <w:p w14:paraId="00000079" w14:textId="59762522" w:rsidR="0065549F" w:rsidRDefault="00196FBC">
      <w:pPr>
        <w:ind w:firstLine="720"/>
      </w:pPr>
      <w:r>
        <w:rPr>
          <w:noProof/>
        </w:rPr>
        <w:drawing>
          <wp:inline distT="0" distB="0" distL="0" distR="0" wp14:anchorId="12613CF7" wp14:editId="7239F937">
            <wp:extent cx="5943600" cy="3962400"/>
            <wp:effectExtent l="0" t="0" r="0" b="0"/>
            <wp:docPr id="8" name="Picture 8"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 histo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Pr>
          <w:noProof/>
        </w:rPr>
        <w:t xml:space="preserve"> </w:t>
      </w:r>
    </w:p>
    <w:p w14:paraId="0000007A" w14:textId="77777777" w:rsidR="0065549F" w:rsidRDefault="0065549F">
      <w:pPr>
        <w:ind w:firstLine="720"/>
      </w:pPr>
    </w:p>
    <w:p w14:paraId="00000081" w14:textId="07FB82F8" w:rsidR="0065549F" w:rsidRDefault="00000000">
      <w:pPr>
        <w:rPr>
          <w:rFonts w:ascii="Times New Roman" w:eastAsia="Times New Roman" w:hAnsi="Times New Roman" w:cs="Times New Roman"/>
          <w:sz w:val="24"/>
          <w:szCs w:val="24"/>
        </w:rPr>
      </w:pPr>
      <w:bookmarkStart w:id="16" w:name="_heading=h.44sinio" w:colFirst="0" w:colLast="0"/>
      <w:bookmarkEnd w:id="16"/>
      <w:r>
        <w:rPr>
          <w:rFonts w:ascii="Times New Roman" w:eastAsia="Times New Roman" w:hAnsi="Times New Roman" w:cs="Times New Roman"/>
          <w:sz w:val="24"/>
          <w:szCs w:val="24"/>
        </w:rPr>
        <w:t>Figure S4.1</w:t>
      </w:r>
      <w:r w:rsidR="00133981">
        <w:rPr>
          <w:rFonts w:ascii="Times New Roman" w:eastAsia="Times New Roman" w:hAnsi="Times New Roman" w:cs="Times New Roman"/>
          <w:sz w:val="24"/>
          <w:szCs w:val="24"/>
        </w:rPr>
        <w:t>3</w:t>
      </w:r>
      <w:r>
        <w:rPr>
          <w:rFonts w:ascii="Times New Roman" w:eastAsia="Times New Roman" w:hAnsi="Times New Roman" w:cs="Times New Roman"/>
          <w:sz w:val="24"/>
          <w:szCs w:val="24"/>
        </w:rPr>
        <w:t>. Runtime plots showing the proportion of the current and future Wood Thrush population remaining in Forest Management Units in western Ontario as lands (200-m cells) are removed from consideration for conservation or management as important Wood Thrush habitat, under two Zonation scenarios. Zonation scenarios: Left panel = based on current population density alone; right panel = based on current density + 2070 population from baseline ALCES Online scenario. As the 2070 population was projected to be higher than the current population in western Ontario, less land was required to maintain various percentages of the current population levels, when future distribution of the Wood Thrush was also used to prioritize lands as important habitat.</w:t>
      </w:r>
      <w:bookmarkStart w:id="17" w:name="_heading=h.2jxsxqh" w:colFirst="0" w:colLast="0"/>
      <w:bookmarkStart w:id="18" w:name="_heading=h.z337ya" w:colFirst="0" w:colLast="0"/>
      <w:bookmarkEnd w:id="17"/>
      <w:bookmarkEnd w:id="18"/>
    </w:p>
    <w:p w14:paraId="00000082" w14:textId="77777777" w:rsidR="0065549F" w:rsidRDefault="0065549F"/>
    <w:p w14:paraId="00000083" w14:textId="77777777" w:rsidR="0065549F" w:rsidRDefault="0065549F">
      <w:pPr>
        <w:ind w:firstLine="720"/>
        <w:rPr>
          <w:rFonts w:ascii="Times New Roman" w:eastAsia="Times New Roman" w:hAnsi="Times New Roman" w:cs="Times New Roman"/>
          <w:sz w:val="24"/>
          <w:szCs w:val="24"/>
        </w:rPr>
      </w:pPr>
    </w:p>
    <w:p w14:paraId="00000084" w14:textId="62743D6F" w:rsidR="0065549F" w:rsidRDefault="00196FBC">
      <w:pPr>
        <w:ind w:firstLine="720"/>
        <w:rPr>
          <w:rFonts w:ascii="Times New Roman" w:eastAsia="Times New Roman" w:hAnsi="Times New Roman" w:cs="Times New Roman"/>
          <w:sz w:val="24"/>
          <w:szCs w:val="24"/>
        </w:rPr>
      </w:pPr>
      <w:r>
        <w:rPr>
          <w:noProof/>
        </w:rPr>
        <w:drawing>
          <wp:inline distT="0" distB="0" distL="0" distR="0" wp14:anchorId="3A34DF4D" wp14:editId="297C5887">
            <wp:extent cx="5943600" cy="3962400"/>
            <wp:effectExtent l="0" t="0" r="0" b="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Pr>
          <w:noProof/>
        </w:rPr>
        <w:t xml:space="preserve"> </w:t>
      </w:r>
    </w:p>
    <w:p w14:paraId="4EFE61A1" w14:textId="0FF42D11" w:rsidR="00DF1C3B" w:rsidRDefault="00DF1C3B">
      <w:pPr>
        <w:ind w:firstLine="720"/>
        <w:rPr>
          <w:rFonts w:ascii="Times New Roman" w:eastAsia="Times New Roman" w:hAnsi="Times New Roman" w:cs="Times New Roman"/>
          <w:sz w:val="24"/>
          <w:szCs w:val="24"/>
        </w:rPr>
      </w:pPr>
    </w:p>
    <w:p w14:paraId="257194E8" w14:textId="42D8A7BC" w:rsidR="00DF1C3B" w:rsidRDefault="00DF1C3B" w:rsidP="00DF1C3B">
      <w:pPr>
        <w:rPr>
          <w:rFonts w:ascii="Times New Roman" w:eastAsia="Times New Roman" w:hAnsi="Times New Roman" w:cs="Times New Roman"/>
          <w:sz w:val="24"/>
          <w:szCs w:val="24"/>
        </w:rPr>
      </w:pPr>
      <w:r w:rsidRPr="00DF1C3B">
        <w:rPr>
          <w:rFonts w:ascii="Times New Roman" w:eastAsia="Times New Roman" w:hAnsi="Times New Roman" w:cs="Times New Roman"/>
          <w:sz w:val="24"/>
          <w:szCs w:val="24"/>
        </w:rPr>
        <w:t>Figure S4.14. Runtime plots showing the proportion of the current and future Wood Thrush population remaining in southeastern Ontario outside of Forest Management Units as lands (200-m cells) are removed from consideration for conservation or management as important Wood Thrush habitat, under two Zonation scenarios. Zonation scenarios: Left panel = based on current population density alone; right panel = based on current density + 2070 population from baseline ALCES Online scenario. As the 2070 population was projected to be higher than the current population in southeastern Ontario, less land was required to maintain various percentages of the current population levels, when future distribution of the Wood Thrush was also used to prioritize lands as important habitat.</w:t>
      </w:r>
    </w:p>
    <w:p w14:paraId="00000088" w14:textId="0E1E002A" w:rsidR="0065549F" w:rsidRDefault="00BF3122">
      <w:pPr>
        <w:spacing w:before="240" w:after="240" w:line="276" w:lineRule="auto"/>
        <w:rPr>
          <w:rFonts w:ascii="Times New Roman" w:eastAsia="Times New Roman" w:hAnsi="Times New Roman" w:cs="Times New Roman"/>
          <w:sz w:val="24"/>
          <w:szCs w:val="24"/>
        </w:rPr>
      </w:pPr>
      <w:bookmarkStart w:id="19" w:name="_heading=h.nbykzisujxyw" w:colFirst="0" w:colLast="0"/>
      <w:bookmarkEnd w:id="19"/>
      <w:r>
        <w:rPr>
          <w:noProof/>
        </w:rPr>
        <w:lastRenderedPageBreak/>
        <w:drawing>
          <wp:inline distT="0" distB="0" distL="0" distR="0" wp14:anchorId="00A10A92" wp14:editId="129CE0A3">
            <wp:extent cx="5810250" cy="3921919"/>
            <wp:effectExtent l="0" t="0" r="0" b="2540"/>
            <wp:docPr id="15" name="Picture 15"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map&#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r="16667"/>
                    <a:stretch/>
                  </pic:blipFill>
                  <pic:spPr bwMode="auto">
                    <a:xfrm>
                      <a:off x="0" y="0"/>
                      <a:ext cx="5818999" cy="3927824"/>
                    </a:xfrm>
                    <a:prstGeom prst="rect">
                      <a:avLst/>
                    </a:prstGeom>
                    <a:noFill/>
                    <a:ln>
                      <a:noFill/>
                    </a:ln>
                    <a:extLst>
                      <a:ext uri="{53640926-AAD7-44D8-BBD7-CCE9431645EC}">
                        <a14:shadowObscured xmlns:a14="http://schemas.microsoft.com/office/drawing/2010/main"/>
                      </a:ext>
                    </a:extLst>
                  </pic:spPr>
                </pic:pic>
              </a:graphicData>
            </a:graphic>
          </wp:inline>
        </w:drawing>
      </w:r>
    </w:p>
    <w:p w14:paraId="0000008A" w14:textId="66BB13D5" w:rsidR="0065549F" w:rsidRDefault="00DF1C3B">
      <w:pPr>
        <w:widowControl w:val="0"/>
        <w:spacing w:after="0"/>
        <w:rPr>
          <w:rFonts w:ascii="Times New Roman" w:eastAsia="Times New Roman" w:hAnsi="Times New Roman" w:cs="Times New Roman"/>
          <w:sz w:val="24"/>
          <w:szCs w:val="24"/>
        </w:rPr>
      </w:pPr>
      <w:r w:rsidRPr="00DF1C3B">
        <w:rPr>
          <w:rFonts w:ascii="Times New Roman" w:eastAsia="Times New Roman" w:hAnsi="Times New Roman" w:cs="Times New Roman"/>
          <w:sz w:val="24"/>
          <w:szCs w:val="24"/>
        </w:rPr>
        <w:t xml:space="preserve">Figure S4.15. Priority areas for two Zonation exercises for Wood Thrush in Ontario. Maps: </w:t>
      </w:r>
      <w:r w:rsidR="00E80332">
        <w:rPr>
          <w:rFonts w:ascii="Times New Roman" w:eastAsia="Times New Roman" w:hAnsi="Times New Roman" w:cs="Times New Roman"/>
          <w:sz w:val="24"/>
          <w:szCs w:val="24"/>
        </w:rPr>
        <w:t>a)</w:t>
      </w:r>
      <w:r w:rsidRPr="00DF1C3B">
        <w:rPr>
          <w:rFonts w:ascii="Times New Roman" w:eastAsia="Times New Roman" w:hAnsi="Times New Roman" w:cs="Times New Roman"/>
          <w:sz w:val="24"/>
          <w:szCs w:val="24"/>
        </w:rPr>
        <w:t xml:space="preserve"> </w:t>
      </w:r>
      <w:r w:rsidR="00E80332">
        <w:rPr>
          <w:rFonts w:ascii="Times New Roman" w:eastAsia="Times New Roman" w:hAnsi="Times New Roman" w:cs="Times New Roman"/>
          <w:sz w:val="24"/>
          <w:szCs w:val="24"/>
        </w:rPr>
        <w:t>r</w:t>
      </w:r>
      <w:r w:rsidRPr="00DF1C3B">
        <w:rPr>
          <w:rFonts w:ascii="Times New Roman" w:eastAsia="Times New Roman" w:hAnsi="Times New Roman" w:cs="Times New Roman"/>
          <w:sz w:val="24"/>
          <w:szCs w:val="24"/>
        </w:rPr>
        <w:t>anks of locations based on predicted density of current population in 2020 along with connectivity between locations with higher predicted densities</w:t>
      </w:r>
      <w:r w:rsidR="00E80332">
        <w:rPr>
          <w:rFonts w:ascii="Times New Roman" w:eastAsia="Times New Roman" w:hAnsi="Times New Roman" w:cs="Times New Roman"/>
          <w:sz w:val="24"/>
          <w:szCs w:val="24"/>
        </w:rPr>
        <w:t>; b)</w:t>
      </w:r>
      <w:r w:rsidRPr="00DF1C3B">
        <w:rPr>
          <w:rFonts w:ascii="Times New Roman" w:eastAsia="Times New Roman" w:hAnsi="Times New Roman" w:cs="Times New Roman"/>
          <w:sz w:val="24"/>
          <w:szCs w:val="24"/>
        </w:rPr>
        <w:t xml:space="preserve"> </w:t>
      </w:r>
      <w:r w:rsidR="00E80332">
        <w:rPr>
          <w:rFonts w:ascii="Times New Roman" w:eastAsia="Times New Roman" w:hAnsi="Times New Roman" w:cs="Times New Roman"/>
          <w:sz w:val="24"/>
          <w:szCs w:val="24"/>
        </w:rPr>
        <w:t>r</w:t>
      </w:r>
      <w:r w:rsidRPr="00DF1C3B">
        <w:rPr>
          <w:rFonts w:ascii="Times New Roman" w:eastAsia="Times New Roman" w:hAnsi="Times New Roman" w:cs="Times New Roman"/>
          <w:sz w:val="24"/>
          <w:szCs w:val="24"/>
        </w:rPr>
        <w:t>anks of locations based on predicted density of current population in 2020, predicted density of future population in 2070, and connectivity between locations with higher predicted densities</w:t>
      </w:r>
      <w:r w:rsidR="00E80332">
        <w:rPr>
          <w:rFonts w:ascii="Times New Roman" w:eastAsia="Times New Roman" w:hAnsi="Times New Roman" w:cs="Times New Roman"/>
          <w:sz w:val="24"/>
          <w:szCs w:val="24"/>
        </w:rPr>
        <w:t xml:space="preserve">; </w:t>
      </w:r>
      <w:r w:rsidR="00E80332">
        <w:rPr>
          <w:rFonts w:ascii="Times New Roman" w:eastAsia="Times New Roman" w:hAnsi="Times New Roman" w:cs="Times New Roman"/>
          <w:sz w:val="24"/>
          <w:szCs w:val="24"/>
        </w:rPr>
        <w:t>c)</w:t>
      </w:r>
      <w:r w:rsidR="00E80332" w:rsidRPr="00DF1C3B">
        <w:rPr>
          <w:rFonts w:ascii="Times New Roman" w:eastAsia="Times New Roman" w:hAnsi="Times New Roman" w:cs="Times New Roman"/>
          <w:sz w:val="24"/>
          <w:szCs w:val="24"/>
        </w:rPr>
        <w:t xml:space="preserve"> </w:t>
      </w:r>
      <w:r w:rsidR="00E80332">
        <w:rPr>
          <w:rFonts w:ascii="Times New Roman" w:eastAsia="Times New Roman" w:hAnsi="Times New Roman" w:cs="Times New Roman"/>
          <w:sz w:val="24"/>
          <w:szCs w:val="24"/>
        </w:rPr>
        <w:t>l</w:t>
      </w:r>
      <w:r w:rsidR="00E80332" w:rsidRPr="00DF1C3B">
        <w:rPr>
          <w:rFonts w:ascii="Times New Roman" w:eastAsia="Times New Roman" w:hAnsi="Times New Roman" w:cs="Times New Roman"/>
          <w:sz w:val="24"/>
          <w:szCs w:val="24"/>
        </w:rPr>
        <w:t xml:space="preserve">ocations in plot </w:t>
      </w:r>
      <w:r w:rsidR="00E80332">
        <w:rPr>
          <w:rFonts w:ascii="Times New Roman" w:eastAsia="Times New Roman" w:hAnsi="Times New Roman" w:cs="Times New Roman"/>
          <w:sz w:val="24"/>
          <w:szCs w:val="24"/>
        </w:rPr>
        <w:t>a</w:t>
      </w:r>
      <w:r w:rsidR="00E80332" w:rsidRPr="00DF1C3B">
        <w:rPr>
          <w:rFonts w:ascii="Times New Roman" w:eastAsia="Times New Roman" w:hAnsi="Times New Roman" w:cs="Times New Roman"/>
          <w:sz w:val="24"/>
          <w:szCs w:val="24"/>
        </w:rPr>
        <w:t xml:space="preserve"> have been recoloured to indicate what locations should be prioritized for protection or management to maintain 50% of the current population (dark blue), 75% (dark green), 90% (light green), and 100% of the current population (yellow)</w:t>
      </w:r>
      <w:r w:rsidR="00E80332">
        <w:rPr>
          <w:rFonts w:ascii="Times New Roman" w:eastAsia="Times New Roman" w:hAnsi="Times New Roman" w:cs="Times New Roman"/>
          <w:sz w:val="24"/>
          <w:szCs w:val="24"/>
        </w:rPr>
        <w:t>;</w:t>
      </w:r>
      <w:r w:rsidR="00E80332" w:rsidRPr="00DF1C3B">
        <w:rPr>
          <w:rFonts w:ascii="Times New Roman" w:eastAsia="Times New Roman" w:hAnsi="Times New Roman" w:cs="Times New Roman"/>
          <w:sz w:val="24"/>
          <w:szCs w:val="24"/>
        </w:rPr>
        <w:t xml:space="preserve"> </w:t>
      </w:r>
      <w:r w:rsidR="00E80332">
        <w:rPr>
          <w:rFonts w:ascii="Times New Roman" w:eastAsia="Times New Roman" w:hAnsi="Times New Roman" w:cs="Times New Roman"/>
          <w:sz w:val="24"/>
          <w:szCs w:val="24"/>
        </w:rPr>
        <w:t>d)</w:t>
      </w:r>
      <w:r w:rsidR="00E80332" w:rsidRPr="00DF1C3B">
        <w:rPr>
          <w:rFonts w:ascii="Times New Roman" w:eastAsia="Times New Roman" w:hAnsi="Times New Roman" w:cs="Times New Roman"/>
          <w:sz w:val="24"/>
          <w:szCs w:val="24"/>
        </w:rPr>
        <w:t xml:space="preserve"> locations in plot </w:t>
      </w:r>
      <w:r w:rsidR="00E80332">
        <w:rPr>
          <w:rFonts w:ascii="Times New Roman" w:eastAsia="Times New Roman" w:hAnsi="Times New Roman" w:cs="Times New Roman"/>
          <w:sz w:val="24"/>
          <w:szCs w:val="24"/>
        </w:rPr>
        <w:t>b</w:t>
      </w:r>
      <w:r w:rsidR="00E80332" w:rsidRPr="00DF1C3B">
        <w:rPr>
          <w:rFonts w:ascii="Times New Roman" w:eastAsia="Times New Roman" w:hAnsi="Times New Roman" w:cs="Times New Roman"/>
          <w:sz w:val="24"/>
          <w:szCs w:val="24"/>
        </w:rPr>
        <w:t xml:space="preserve"> have been recoloured to indicate what locations to prioritize for maintaining 50, 75, 90, and 100% of the current population, based on both the current population and on increases in future population.</w:t>
      </w:r>
      <w:r w:rsidRPr="00DF1C3B">
        <w:rPr>
          <w:rFonts w:ascii="Times New Roman" w:eastAsia="Times New Roman" w:hAnsi="Times New Roman" w:cs="Times New Roman"/>
          <w:sz w:val="24"/>
          <w:szCs w:val="24"/>
        </w:rPr>
        <w:t xml:space="preserve"> Higher ranks in </w:t>
      </w:r>
      <w:r w:rsidR="00E80332">
        <w:rPr>
          <w:rFonts w:ascii="Times New Roman" w:eastAsia="Times New Roman" w:hAnsi="Times New Roman" w:cs="Times New Roman"/>
          <w:sz w:val="24"/>
          <w:szCs w:val="24"/>
        </w:rPr>
        <w:t>plots a</w:t>
      </w:r>
      <w:r w:rsidRPr="00DF1C3B">
        <w:rPr>
          <w:rFonts w:ascii="Times New Roman" w:eastAsia="Times New Roman" w:hAnsi="Times New Roman" w:cs="Times New Roman"/>
          <w:sz w:val="24"/>
          <w:szCs w:val="24"/>
        </w:rPr>
        <w:t xml:space="preserve"> and </w:t>
      </w:r>
      <w:r w:rsidR="00E80332">
        <w:rPr>
          <w:rFonts w:ascii="Times New Roman" w:eastAsia="Times New Roman" w:hAnsi="Times New Roman" w:cs="Times New Roman"/>
          <w:sz w:val="24"/>
          <w:szCs w:val="24"/>
        </w:rPr>
        <w:t>b</w:t>
      </w:r>
      <w:r w:rsidRPr="00DF1C3B">
        <w:rPr>
          <w:rFonts w:ascii="Times New Roman" w:eastAsia="Times New Roman" w:hAnsi="Times New Roman" w:cs="Times New Roman"/>
          <w:sz w:val="24"/>
          <w:szCs w:val="24"/>
        </w:rPr>
        <w:t xml:space="preserve"> are assigned to sites with higher predicted density and/or connectivity. </w:t>
      </w:r>
      <w:r w:rsidR="00E80332" w:rsidRPr="00DF1C3B">
        <w:rPr>
          <w:rFonts w:ascii="Times New Roman" w:eastAsia="Times New Roman" w:hAnsi="Times New Roman" w:cs="Times New Roman"/>
          <w:sz w:val="24"/>
          <w:szCs w:val="24"/>
        </w:rPr>
        <w:t xml:space="preserve">White areas </w:t>
      </w:r>
      <w:r w:rsidR="00E80332">
        <w:rPr>
          <w:rFonts w:ascii="Times New Roman" w:eastAsia="Times New Roman" w:hAnsi="Times New Roman" w:cs="Times New Roman"/>
          <w:sz w:val="24"/>
          <w:szCs w:val="24"/>
        </w:rPr>
        <w:t xml:space="preserve">within the Wood Thrush’s Ontario range </w:t>
      </w:r>
      <w:r w:rsidR="00E80332" w:rsidRPr="00DF1C3B">
        <w:rPr>
          <w:rFonts w:ascii="Times New Roman" w:eastAsia="Times New Roman" w:hAnsi="Times New Roman" w:cs="Times New Roman"/>
          <w:sz w:val="24"/>
          <w:szCs w:val="24"/>
        </w:rPr>
        <w:t>do not contribute meaningfully to population objectives</w:t>
      </w:r>
      <w:r w:rsidR="00E80332">
        <w:rPr>
          <w:rFonts w:ascii="Times New Roman" w:eastAsia="Times New Roman" w:hAnsi="Times New Roman" w:cs="Times New Roman"/>
          <w:sz w:val="24"/>
          <w:szCs w:val="24"/>
        </w:rPr>
        <w:t>.</w:t>
      </w:r>
    </w:p>
    <w:p w14:paraId="0000008B" w14:textId="296A5DB0" w:rsidR="0065549F" w:rsidRPr="008A46FC" w:rsidRDefault="008A46FC">
      <w:pPr>
        <w:pStyle w:val="Heading1"/>
        <w:rPr>
          <w:bCs/>
        </w:rPr>
      </w:pPr>
      <w:r w:rsidRPr="008A46FC">
        <w:rPr>
          <w:rFonts w:ascii="Times New Roman" w:eastAsia="Times New Roman" w:hAnsi="Times New Roman" w:cs="Times New Roman"/>
          <w:bCs/>
          <w:sz w:val="24"/>
          <w:szCs w:val="24"/>
        </w:rPr>
        <w:t>References</w:t>
      </w:r>
    </w:p>
    <w:p w14:paraId="11B5C21C" w14:textId="6C874A59" w:rsidR="005E6987" w:rsidRDefault="005E6987" w:rsidP="005E6987">
      <w:pPr>
        <w:pStyle w:val="Bibliography"/>
        <w:rPr>
          <w:rFonts w:ascii="Times New Roman" w:hAnsi="Times New Roman" w:cs="Times New Roman"/>
          <w:sz w:val="24"/>
        </w:rPr>
      </w:pPr>
      <w:r>
        <w:rPr>
          <w:rFonts w:eastAsia="Times New Roman"/>
        </w:rPr>
        <w:fldChar w:fldCharType="begin"/>
      </w:r>
      <w:r>
        <w:rPr>
          <w:rFonts w:eastAsia="Times New Roman"/>
        </w:rPr>
        <w:instrText xml:space="preserve"> ADDIN ZOTERO_BIBL {"uncited":[],"omitted":[],"custom":[]} CSL_BIBLIOGRAPHY </w:instrText>
      </w:r>
      <w:r>
        <w:rPr>
          <w:rFonts w:eastAsia="Times New Roman"/>
        </w:rPr>
        <w:fldChar w:fldCharType="separate"/>
      </w:r>
      <w:r w:rsidRPr="005E6987">
        <w:rPr>
          <w:rFonts w:ascii="Times New Roman" w:hAnsi="Times New Roman" w:cs="Times New Roman"/>
          <w:sz w:val="24"/>
        </w:rPr>
        <w:t>Lehtomäki J, Moilanen A (2013) Methods and workflow for spatial conservation prioritization using Zonation. Environ Model Softw 47:128–137. https://doi.org/10.1016/j.envsoft.2013.05.001</w:t>
      </w:r>
      <w:r>
        <w:rPr>
          <w:rFonts w:ascii="Times New Roman" w:hAnsi="Times New Roman" w:cs="Times New Roman"/>
          <w:sz w:val="24"/>
        </w:rPr>
        <w:t xml:space="preserve"> </w:t>
      </w:r>
    </w:p>
    <w:p w14:paraId="4066ADE2" w14:textId="411F1682" w:rsidR="005E6987" w:rsidRDefault="005E6987" w:rsidP="0006585D">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Moilanen</w:t>
      </w:r>
      <w:r w:rsidR="0006585D">
        <w:rPr>
          <w:rFonts w:ascii="Times New Roman" w:eastAsia="Times New Roman" w:hAnsi="Times New Roman" w:cs="Times New Roman"/>
          <w:sz w:val="24"/>
          <w:szCs w:val="24"/>
        </w:rPr>
        <w:t xml:space="preserve"> AJ</w:t>
      </w:r>
      <w:r>
        <w:rPr>
          <w:rFonts w:ascii="Times New Roman" w:eastAsia="Times New Roman" w:hAnsi="Times New Roman" w:cs="Times New Roman"/>
          <w:sz w:val="24"/>
          <w:szCs w:val="24"/>
        </w:rPr>
        <w:t>, Pouzols</w:t>
      </w:r>
      <w:r w:rsidR="0006585D">
        <w:rPr>
          <w:rFonts w:ascii="Times New Roman" w:eastAsia="Times New Roman" w:hAnsi="Times New Roman" w:cs="Times New Roman"/>
          <w:sz w:val="24"/>
          <w:szCs w:val="24"/>
        </w:rPr>
        <w:t xml:space="preserve"> FM</w:t>
      </w:r>
      <w:r>
        <w:rPr>
          <w:rFonts w:ascii="Times New Roman" w:eastAsia="Times New Roman" w:hAnsi="Times New Roman" w:cs="Times New Roman"/>
          <w:sz w:val="24"/>
          <w:szCs w:val="24"/>
        </w:rPr>
        <w:t>, Meller</w:t>
      </w:r>
      <w:r w:rsidR="0006585D">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 Veach</w:t>
      </w:r>
      <w:r w:rsidR="0006585D">
        <w:rPr>
          <w:rFonts w:ascii="Times New Roman" w:eastAsia="Times New Roman" w:hAnsi="Times New Roman" w:cs="Times New Roman"/>
          <w:sz w:val="24"/>
          <w:szCs w:val="24"/>
        </w:rPr>
        <w:t xml:space="preserve"> V</w:t>
      </w:r>
      <w:r>
        <w:rPr>
          <w:rFonts w:ascii="Times New Roman" w:eastAsia="Times New Roman" w:hAnsi="Times New Roman" w:cs="Times New Roman"/>
          <w:sz w:val="24"/>
          <w:szCs w:val="24"/>
        </w:rPr>
        <w:t>, Arponen</w:t>
      </w:r>
      <w:r w:rsidR="0006585D">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Leppänen</w:t>
      </w:r>
      <w:r w:rsidR="0006585D">
        <w:rPr>
          <w:rFonts w:ascii="Times New Roman" w:eastAsia="Times New Roman" w:hAnsi="Times New Roman" w:cs="Times New Roman"/>
          <w:sz w:val="24"/>
          <w:szCs w:val="24"/>
        </w:rPr>
        <w:t xml:space="preserve"> J</w:t>
      </w:r>
      <w:r>
        <w:rPr>
          <w:rFonts w:ascii="Times New Roman" w:eastAsia="Times New Roman" w:hAnsi="Times New Roman" w:cs="Times New Roman"/>
          <w:sz w:val="24"/>
          <w:szCs w:val="24"/>
        </w:rPr>
        <w:t>, Kujala</w:t>
      </w:r>
      <w:r w:rsidR="0006585D">
        <w:rPr>
          <w:rFonts w:ascii="Times New Roman" w:eastAsia="Times New Roman" w:hAnsi="Times New Roman" w:cs="Times New Roman"/>
          <w:sz w:val="24"/>
          <w:szCs w:val="24"/>
        </w:rPr>
        <w:t xml:space="preserve"> H (</w:t>
      </w:r>
      <w:r>
        <w:rPr>
          <w:rFonts w:ascii="Times New Roman" w:eastAsia="Times New Roman" w:hAnsi="Times New Roman" w:cs="Times New Roman"/>
          <w:sz w:val="24"/>
          <w:szCs w:val="24"/>
        </w:rPr>
        <w:t>2014</w:t>
      </w:r>
      <w:r w:rsidR="000658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Spatial conservation planning methods and software: ZONATION 4.0 User Manual; Version 4; </w:t>
      </w:r>
      <w:r>
        <w:rPr>
          <w:rFonts w:ascii="Times New Roman" w:eastAsia="Times New Roman" w:hAnsi="Times New Roman" w:cs="Times New Roman"/>
          <w:sz w:val="24"/>
          <w:szCs w:val="24"/>
        </w:rPr>
        <w:lastRenderedPageBreak/>
        <w:t>Conservation Biology Informatics Group, University of Helsinki: Helsinki, Finland, 2014; ISBN 9789521099199.</w:t>
      </w:r>
    </w:p>
    <w:p w14:paraId="1D3C34CA" w14:textId="77777777" w:rsidR="005E6987" w:rsidRPr="005E6987" w:rsidRDefault="005E6987" w:rsidP="005E6987"/>
    <w:p w14:paraId="04E460C7" w14:textId="77777777" w:rsidR="005E6987" w:rsidRPr="005E6987" w:rsidRDefault="005E6987" w:rsidP="005E6987">
      <w:pPr>
        <w:pStyle w:val="Bibliography"/>
        <w:rPr>
          <w:rFonts w:ascii="Times New Roman" w:hAnsi="Times New Roman" w:cs="Times New Roman"/>
          <w:sz w:val="24"/>
        </w:rPr>
      </w:pPr>
      <w:r w:rsidRPr="005E6987">
        <w:rPr>
          <w:rFonts w:ascii="Times New Roman" w:hAnsi="Times New Roman" w:cs="Times New Roman"/>
          <w:sz w:val="24"/>
        </w:rPr>
        <w:t>Moilanen A, Runge MC, Elith J, et al (2006) Planning for robust reserve networks using uncertainty analysis. Ecol Model 199:115–124. https://doi.org/10.1016/j.ecolmodel.2006.07.004</w:t>
      </w:r>
    </w:p>
    <w:p w14:paraId="48615309" w14:textId="77777777" w:rsidR="005E6987" w:rsidRPr="005E6987" w:rsidRDefault="005E6987" w:rsidP="005E6987">
      <w:pPr>
        <w:pStyle w:val="Bibliography"/>
        <w:rPr>
          <w:rFonts w:ascii="Times New Roman" w:hAnsi="Times New Roman" w:cs="Times New Roman"/>
          <w:sz w:val="24"/>
        </w:rPr>
      </w:pPr>
      <w:r w:rsidRPr="005E6987">
        <w:rPr>
          <w:rFonts w:ascii="Times New Roman" w:hAnsi="Times New Roman" w:cs="Times New Roman"/>
          <w:sz w:val="24"/>
        </w:rPr>
        <w:t>Moilanen A, Wintle BA (2006) Uncertainty analysis favours selection of spatially aggregated reserve networks. Biol Conserv 129:427–434. https://doi.org/10.1016/j.biocon.2005.11.006</w:t>
      </w:r>
    </w:p>
    <w:p w14:paraId="58BB6892" w14:textId="77777777" w:rsidR="005E6987" w:rsidRPr="005E6987" w:rsidRDefault="005E6987" w:rsidP="005E6987">
      <w:pPr>
        <w:pStyle w:val="Bibliography"/>
        <w:rPr>
          <w:rFonts w:ascii="Times New Roman" w:hAnsi="Times New Roman" w:cs="Times New Roman"/>
          <w:sz w:val="24"/>
        </w:rPr>
      </w:pPr>
      <w:r w:rsidRPr="005E6987">
        <w:rPr>
          <w:rFonts w:ascii="Times New Roman" w:hAnsi="Times New Roman" w:cs="Times New Roman"/>
          <w:sz w:val="24"/>
        </w:rPr>
        <w:t>Tittler R, Fahrig L, Villard M-A (2006) Evidence of Large-Scale Source–Sink Dynamics and Long-Distance Dispersal Among Wood Thrush Populations. Ecology 87:3029–3036. https://doi.org/10.1890/0012-9658(2006)87[3029:EOLSDA]2.0.CO;2</w:t>
      </w:r>
    </w:p>
    <w:p w14:paraId="28A77CE3" w14:textId="77777777" w:rsidR="005E6987" w:rsidRPr="005E6987" w:rsidRDefault="005E6987" w:rsidP="005E6987">
      <w:pPr>
        <w:pStyle w:val="Bibliography"/>
        <w:rPr>
          <w:rFonts w:ascii="Times New Roman" w:hAnsi="Times New Roman" w:cs="Times New Roman"/>
          <w:sz w:val="24"/>
        </w:rPr>
      </w:pPr>
      <w:r w:rsidRPr="005E6987">
        <w:rPr>
          <w:rFonts w:ascii="Times New Roman" w:hAnsi="Times New Roman" w:cs="Times New Roman"/>
          <w:sz w:val="24"/>
        </w:rPr>
        <w:t>Westwood AR, Lambert JD, Reitsma LR, Stralberg D (2020) Prioritizing Areas for Land Conservation and Forest Management Planning for the Threatened Canada Warbler (Cardellina canadensis) in the Atlantic Northern Forest of Canada. Diversity 12:61. https://doi.org/10.3390/d12020061</w:t>
      </w:r>
    </w:p>
    <w:p w14:paraId="0000008C" w14:textId="634C81C6" w:rsidR="0065549F" w:rsidRDefault="005E6987">
      <w:pPr>
        <w:widowControl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43DB8B80" w14:textId="3B5EE09D" w:rsidR="005E6987" w:rsidRDefault="005E6987">
      <w:pPr>
        <w:widowControl w:val="0"/>
        <w:spacing w:after="0"/>
        <w:rPr>
          <w:rFonts w:ascii="Times New Roman" w:eastAsia="Times New Roman" w:hAnsi="Times New Roman" w:cs="Times New Roman"/>
          <w:sz w:val="24"/>
          <w:szCs w:val="24"/>
        </w:rPr>
      </w:pPr>
    </w:p>
    <w:p w14:paraId="000000AA" w14:textId="77777777" w:rsidR="0065549F" w:rsidRDefault="0065549F">
      <w:pPr>
        <w:widowControl w:val="0"/>
        <w:spacing w:after="0"/>
        <w:rPr>
          <w:rFonts w:ascii="Times New Roman" w:eastAsia="Times New Roman" w:hAnsi="Times New Roman" w:cs="Times New Roman"/>
          <w:sz w:val="24"/>
          <w:szCs w:val="24"/>
        </w:rPr>
      </w:pPr>
    </w:p>
    <w:sectPr w:rsidR="0065549F">
      <w:type w:val="continuous"/>
      <w:pgSz w:w="12240" w:h="15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9F"/>
    <w:rsid w:val="0006585D"/>
    <w:rsid w:val="00122E4C"/>
    <w:rsid w:val="00133981"/>
    <w:rsid w:val="00196FBC"/>
    <w:rsid w:val="001A7998"/>
    <w:rsid w:val="00381A0E"/>
    <w:rsid w:val="003B42A3"/>
    <w:rsid w:val="005E6987"/>
    <w:rsid w:val="006402B1"/>
    <w:rsid w:val="0065549F"/>
    <w:rsid w:val="008A46FC"/>
    <w:rsid w:val="00A02DAA"/>
    <w:rsid w:val="00A637A3"/>
    <w:rsid w:val="00AC5C4E"/>
    <w:rsid w:val="00BF3122"/>
    <w:rsid w:val="00CE42D1"/>
    <w:rsid w:val="00DF1C3B"/>
    <w:rsid w:val="00E80332"/>
    <w:rsid w:val="00FB5F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3872"/>
  <w15:docId w15:val="{550C01D0-52D3-4179-B90F-7863EBBA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9B6656"/>
    <w:rPr>
      <w:sz w:val="16"/>
      <w:szCs w:val="16"/>
    </w:rPr>
  </w:style>
  <w:style w:type="paragraph" w:styleId="CommentText">
    <w:name w:val="annotation text"/>
    <w:basedOn w:val="Normal"/>
    <w:link w:val="CommentTextChar"/>
    <w:uiPriority w:val="99"/>
    <w:unhideWhenUsed/>
    <w:rsid w:val="009B6656"/>
    <w:pPr>
      <w:spacing w:after="0" w:line="240" w:lineRule="auto"/>
    </w:pPr>
    <w:rPr>
      <w:sz w:val="20"/>
      <w:szCs w:val="20"/>
      <w:lang w:val="pt-BR"/>
    </w:rPr>
  </w:style>
  <w:style w:type="character" w:customStyle="1" w:styleId="CommentTextChar">
    <w:name w:val="Comment Text Char"/>
    <w:basedOn w:val="DefaultParagraphFont"/>
    <w:link w:val="CommentText"/>
    <w:uiPriority w:val="99"/>
    <w:rsid w:val="009B6656"/>
    <w:rPr>
      <w:sz w:val="20"/>
      <w:szCs w:val="20"/>
      <w:lang w:val="pt-BR"/>
    </w:rPr>
  </w:style>
  <w:style w:type="paragraph" w:styleId="BalloonText">
    <w:name w:val="Balloon Text"/>
    <w:basedOn w:val="Normal"/>
    <w:link w:val="BalloonTextChar"/>
    <w:uiPriority w:val="99"/>
    <w:semiHidden/>
    <w:unhideWhenUsed/>
    <w:rsid w:val="009B66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656"/>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B434B4"/>
    <w:pPr>
      <w:spacing w:after="0" w:line="240" w:lineRule="auto"/>
    </w:pPr>
  </w:style>
  <w:style w:type="paragraph" w:styleId="CommentSubject">
    <w:name w:val="annotation subject"/>
    <w:basedOn w:val="CommentText"/>
    <w:next w:val="CommentText"/>
    <w:link w:val="CommentSubjectChar"/>
    <w:uiPriority w:val="99"/>
    <w:semiHidden/>
    <w:unhideWhenUsed/>
    <w:rsid w:val="00C65832"/>
    <w:pPr>
      <w:spacing w:after="160"/>
    </w:pPr>
    <w:rPr>
      <w:b/>
      <w:bCs/>
      <w:lang w:val="en-CA"/>
    </w:rPr>
  </w:style>
  <w:style w:type="character" w:customStyle="1" w:styleId="CommentSubjectChar">
    <w:name w:val="Comment Subject Char"/>
    <w:basedOn w:val="CommentTextChar"/>
    <w:link w:val="CommentSubject"/>
    <w:uiPriority w:val="99"/>
    <w:semiHidden/>
    <w:rsid w:val="00C65832"/>
    <w:rPr>
      <w:b/>
      <w:bCs/>
      <w:sz w:val="20"/>
      <w:szCs w:val="20"/>
      <w:lang w:val="pt-BR"/>
    </w:rPr>
  </w:style>
  <w:style w:type="paragraph" w:styleId="Bibliography">
    <w:name w:val="Bibliography"/>
    <w:basedOn w:val="Normal"/>
    <w:next w:val="Normal"/>
    <w:uiPriority w:val="37"/>
    <w:unhideWhenUsed/>
    <w:rsid w:val="005E6987"/>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OthBOAC8yFpc+2uPCOsDNx+hcw==">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22</Pages>
  <Words>8678</Words>
  <Characters>49467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Lionel Leston</dc:creator>
  <cp:lastModifiedBy>Lionel Leston</cp:lastModifiedBy>
  <cp:revision>11</cp:revision>
  <dcterms:created xsi:type="dcterms:W3CDTF">2022-06-17T22:52:00Z</dcterms:created>
  <dcterms:modified xsi:type="dcterms:W3CDTF">2023-03-08T21:35:00Z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id="dgn4iLGF"/&gt;&lt;style id="http://www.zotero.org/styles/biodiversity-and-conservation" hasBibliography="1" bibliographyStyleHasBeenSet="1"/&gt;&lt;prefs&gt;&lt;pref name="fieldType" value="Field"/&gt;&lt;pref name="aut</vt:lpwstr>
  </property>
  <property fmtid="{D5CDD505-2E9C-101B-9397-08002B2CF9AE}" pid="3" name="ZOTERO_PREF_2">
    <vt:lpwstr>omaticJournalAbbreviations" value="true"/&gt;&lt;/prefs&gt;&lt;/data&gt;</vt:lpwstr>
  </property>
</Properties>
</file>