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EF2F9" w14:textId="77777777" w:rsidR="00AA57B0" w:rsidRDefault="00000000">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Appendix S2 – Regional Species Distribution Models for Canada Warbler and Wood Thrush</w:t>
      </w:r>
    </w:p>
    <w:p w14:paraId="018C0743" w14:textId="77777777" w:rsidR="00AA57B0" w:rsidRPr="005F2586" w:rsidRDefault="00000000">
      <w:pPr>
        <w:pStyle w:val="Heading1"/>
        <w:rPr>
          <w:rFonts w:ascii="Times New Roman" w:eastAsia="Times New Roman" w:hAnsi="Times New Roman" w:cs="Times New Roman"/>
          <w:bCs/>
          <w:sz w:val="24"/>
          <w:szCs w:val="24"/>
        </w:rPr>
      </w:pPr>
      <w:r w:rsidRPr="005F2586">
        <w:rPr>
          <w:rFonts w:ascii="Times New Roman" w:eastAsia="Times New Roman" w:hAnsi="Times New Roman" w:cs="Times New Roman"/>
          <w:bCs/>
          <w:sz w:val="24"/>
          <w:szCs w:val="24"/>
        </w:rPr>
        <w:t>Methods</w:t>
      </w:r>
    </w:p>
    <w:p w14:paraId="73FF4FC8" w14:textId="3CFC7D49" w:rsidR="00AA57B0" w:rsidRDefault="00000000" w:rsidP="005F258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Boosted regression trees (hereafter, “BRT”s) </w:t>
      </w:r>
      <w:r w:rsidR="00777D0C">
        <w:rPr>
          <w:rFonts w:ascii="Times New Roman" w:eastAsia="Times New Roman" w:hAnsi="Times New Roman" w:cs="Times New Roman"/>
          <w:sz w:val="24"/>
          <w:szCs w:val="24"/>
        </w:rPr>
        <w:fldChar w:fldCharType="begin"/>
      </w:r>
      <w:r w:rsidR="00777D0C">
        <w:rPr>
          <w:rFonts w:ascii="Times New Roman" w:eastAsia="Times New Roman" w:hAnsi="Times New Roman" w:cs="Times New Roman"/>
          <w:sz w:val="24"/>
          <w:szCs w:val="24"/>
        </w:rPr>
        <w:instrText xml:space="preserve"> ADDIN ZOTERO_ITEM CSL_CITATION {"citationID":"jk7BBsH2","properties":{"formattedCitation":"(Elith and Leathwick 2009)","plainCitation":"(Elith and Leathwick 2009)","noteIndex":0},"citationItems":[{"id":195,"uris":["http://zotero.org/groups/4916363/items/XMT8JV2Q"],"itemData":{"id":195,"type":"article-journal","abstract":"Species distribution models (SDMs) are numerical tools that combine observations of species occurrence or abundance with environmental estimates. They are used to gain ecological and evolutionary insights and to predict distributions across landscapes, sometimes requiring extrapolation in space and time. SDMs are now widely used across terrestrial, freshwater, and marine realms. Differences in methods between disciplines reflect both differences in species mobility and in “established use.” Model realism and robustness is influenced by selection of relevant predictors and modeling method, consideration of scale, how the interplay between environmental and geographic factors is handled, and the extent of extrapolation. Current linkages between SDM practice and ecological theory are often weak, hindering progress. Remaining challenges include: improvement of methods for modeling presence-only data and for model selection and evaluation; accounting for biotic interactions; and assessing model uncertainty.","container-title":"Annual Review of Ecology, Evolution, and Systematics","DOI":"10.1146/annurev.ecolsys.110308.120159","issue":"1","note":"_eprint: https://doi.org/10.1146/annurev.ecolsys.110308.120159","page":"677-697","source":"Annual Reviews","title":"Species Distribution Models: Ecological Explanation and Prediction Across Space and Time","title-short":"Species Distribution Models","volume":"40","author":[{"family":"Elith","given":"Jane"},{"family":"Leathwick","given":"John R."}],"issued":{"date-parts":[["2009"]]}}}],"schema":"https://github.com/citation-style-language/schema/raw/master/csl-citation.json"} </w:instrText>
      </w:r>
      <w:r w:rsidR="00777D0C">
        <w:rPr>
          <w:rFonts w:ascii="Times New Roman" w:eastAsia="Times New Roman" w:hAnsi="Times New Roman" w:cs="Times New Roman"/>
          <w:sz w:val="24"/>
          <w:szCs w:val="24"/>
        </w:rPr>
        <w:fldChar w:fldCharType="separate"/>
      </w:r>
      <w:r w:rsidR="00777D0C" w:rsidRPr="00777D0C">
        <w:rPr>
          <w:rFonts w:ascii="Times New Roman" w:hAnsi="Times New Roman" w:cs="Times New Roman"/>
          <w:sz w:val="24"/>
        </w:rPr>
        <w:t>(Elith and Leathwick 2009)</w:t>
      </w:r>
      <w:r w:rsidR="00777D0C">
        <w:rPr>
          <w:rFonts w:ascii="Times New Roman" w:eastAsia="Times New Roman" w:hAnsi="Times New Roman" w:cs="Times New Roman"/>
          <w:sz w:val="24"/>
          <w:szCs w:val="24"/>
        </w:rPr>
        <w:fldChar w:fldCharType="end"/>
      </w:r>
      <w:r w:rsidR="00777D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were used to build regional models of Canada Warbler and Wood Thrush abundance and distribution. The “</w:t>
      </w:r>
      <w:proofErr w:type="spellStart"/>
      <w:r>
        <w:rPr>
          <w:rFonts w:ascii="Times New Roman" w:eastAsia="Times New Roman" w:hAnsi="Times New Roman" w:cs="Times New Roman"/>
          <w:sz w:val="24"/>
          <w:szCs w:val="24"/>
        </w:rPr>
        <w:t>rpart</w:t>
      </w:r>
      <w:proofErr w:type="spellEnd"/>
      <w:r>
        <w:rPr>
          <w:rFonts w:ascii="Times New Roman" w:eastAsia="Times New Roman" w:hAnsi="Times New Roman" w:cs="Times New Roman"/>
          <w:sz w:val="24"/>
          <w:szCs w:val="24"/>
        </w:rPr>
        <w:t>” (</w:t>
      </w:r>
      <w:proofErr w:type="spellStart"/>
      <w:r w:rsidRPr="00473C38">
        <w:rPr>
          <w:rFonts w:ascii="Times New Roman" w:eastAsia="Times New Roman" w:hAnsi="Times New Roman" w:cs="Times New Roman"/>
          <w:sz w:val="24"/>
          <w:szCs w:val="24"/>
        </w:rPr>
        <w:t>Therneau</w:t>
      </w:r>
      <w:proofErr w:type="spellEnd"/>
      <w:r w:rsidRPr="00473C38">
        <w:rPr>
          <w:rFonts w:ascii="Times New Roman" w:eastAsia="Times New Roman" w:hAnsi="Times New Roman" w:cs="Times New Roman"/>
          <w:sz w:val="24"/>
          <w:szCs w:val="24"/>
        </w:rPr>
        <w:t xml:space="preserve"> and Atkinson 2019</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gbm</w:t>
      </w:r>
      <w:proofErr w:type="spellEnd"/>
      <w:r>
        <w:rPr>
          <w:rFonts w:ascii="Times New Roman" w:eastAsia="Times New Roman" w:hAnsi="Times New Roman" w:cs="Times New Roman"/>
          <w:sz w:val="24"/>
          <w:szCs w:val="24"/>
        </w:rPr>
        <w:t>” (</w:t>
      </w:r>
      <w:r w:rsidRPr="00473C38">
        <w:rPr>
          <w:rFonts w:ascii="Times New Roman" w:eastAsia="Times New Roman" w:hAnsi="Times New Roman" w:cs="Times New Roman"/>
          <w:sz w:val="24"/>
          <w:szCs w:val="24"/>
        </w:rPr>
        <w:t>Greenwell et al. 2020</w:t>
      </w:r>
      <w:r>
        <w:rPr>
          <w:rFonts w:ascii="Times New Roman" w:eastAsia="Times New Roman" w:hAnsi="Times New Roman" w:cs="Times New Roman"/>
          <w:sz w:val="24"/>
          <w:szCs w:val="24"/>
        </w:rPr>
        <w:t>), and “</w:t>
      </w:r>
      <w:proofErr w:type="spellStart"/>
      <w:r>
        <w:rPr>
          <w:rFonts w:ascii="Times New Roman" w:eastAsia="Times New Roman" w:hAnsi="Times New Roman" w:cs="Times New Roman"/>
          <w:sz w:val="24"/>
          <w:szCs w:val="24"/>
        </w:rPr>
        <w:t>dismo</w:t>
      </w:r>
      <w:proofErr w:type="spellEnd"/>
      <w:r>
        <w:rPr>
          <w:rFonts w:ascii="Times New Roman" w:eastAsia="Times New Roman" w:hAnsi="Times New Roman" w:cs="Times New Roman"/>
          <w:sz w:val="24"/>
          <w:szCs w:val="24"/>
        </w:rPr>
        <w:t>” packages (</w:t>
      </w:r>
      <w:proofErr w:type="spellStart"/>
      <w:r w:rsidRPr="00473C38">
        <w:rPr>
          <w:rFonts w:ascii="Times New Roman" w:eastAsia="Times New Roman" w:hAnsi="Times New Roman" w:cs="Times New Roman"/>
          <w:sz w:val="24"/>
          <w:szCs w:val="24"/>
        </w:rPr>
        <w:t>Hijmans</w:t>
      </w:r>
      <w:proofErr w:type="spellEnd"/>
      <w:r w:rsidRPr="00473C38">
        <w:rPr>
          <w:rFonts w:ascii="Times New Roman" w:eastAsia="Times New Roman" w:hAnsi="Times New Roman" w:cs="Times New Roman"/>
          <w:sz w:val="24"/>
          <w:szCs w:val="24"/>
        </w:rPr>
        <w:t xml:space="preserve"> et al. 2020</w:t>
      </w:r>
      <w:r>
        <w:rPr>
          <w:rFonts w:ascii="Times New Roman" w:eastAsia="Times New Roman" w:hAnsi="Times New Roman" w:cs="Times New Roman"/>
          <w:sz w:val="24"/>
          <w:szCs w:val="24"/>
        </w:rPr>
        <w:t xml:space="preserve">) were used to construct BRTs and the raster package was used to create prediction layers of Canada Warbler and Wood Thrush density under each BRT. As some areas in </w:t>
      </w:r>
      <w:r w:rsidR="005B3178">
        <w:rPr>
          <w:rFonts w:ascii="Times New Roman" w:eastAsia="Times New Roman" w:hAnsi="Times New Roman" w:cs="Times New Roman"/>
          <w:sz w:val="24"/>
          <w:szCs w:val="24"/>
        </w:rPr>
        <w:t>each species’ modeling regions</w:t>
      </w:r>
      <w:r>
        <w:rPr>
          <w:rFonts w:ascii="Times New Roman" w:eastAsia="Times New Roman" w:hAnsi="Times New Roman" w:cs="Times New Roman"/>
          <w:sz w:val="24"/>
          <w:szCs w:val="24"/>
        </w:rPr>
        <w:t xml:space="preserve"> had more point counts than other areas (Figure</w:t>
      </w:r>
      <w:r w:rsidR="005B3178">
        <w:rPr>
          <w:rFonts w:ascii="Times New Roman" w:eastAsia="Times New Roman" w:hAnsi="Times New Roman" w:cs="Times New Roman"/>
          <w:sz w:val="24"/>
          <w:szCs w:val="24"/>
        </w:rPr>
        <w:t xml:space="preserve"> 2 in main manuscript</w:t>
      </w:r>
      <w:r>
        <w:rPr>
          <w:rFonts w:ascii="Times New Roman" w:eastAsia="Times New Roman" w:hAnsi="Times New Roman" w:cs="Times New Roman"/>
          <w:sz w:val="24"/>
          <w:szCs w:val="24"/>
        </w:rPr>
        <w:t>), areas with more point counts could unduly influence results if all point count data were used in modelling. To account for spatial correlation in the data and create random sample data sets for training and cross-validating each BRT, cross-validation (</w:t>
      </w:r>
      <w:proofErr w:type="spellStart"/>
      <w:r>
        <w:rPr>
          <w:rFonts w:ascii="Times New Roman" w:eastAsia="Times New Roman" w:hAnsi="Times New Roman" w:cs="Times New Roman"/>
          <w:sz w:val="24"/>
          <w:szCs w:val="24"/>
        </w:rPr>
        <w:t>blockCV</w:t>
      </w:r>
      <w:proofErr w:type="spellEnd"/>
      <w:r>
        <w:rPr>
          <w:rFonts w:ascii="Times New Roman" w:eastAsia="Times New Roman" w:hAnsi="Times New Roman" w:cs="Times New Roman"/>
          <w:sz w:val="24"/>
          <w:szCs w:val="24"/>
        </w:rPr>
        <w:t xml:space="preserve"> package</w:t>
      </w:r>
      <w:r w:rsidR="00777D0C">
        <w:rPr>
          <w:rFonts w:ascii="Times New Roman" w:eastAsia="Times New Roman" w:hAnsi="Times New Roman" w:cs="Times New Roman"/>
          <w:sz w:val="24"/>
          <w:szCs w:val="24"/>
        </w:rPr>
        <w:t xml:space="preserve"> </w:t>
      </w:r>
      <w:r w:rsidR="00777D0C">
        <w:rPr>
          <w:rFonts w:ascii="Times New Roman" w:eastAsia="Times New Roman" w:hAnsi="Times New Roman" w:cs="Times New Roman"/>
          <w:sz w:val="24"/>
          <w:szCs w:val="24"/>
        </w:rPr>
        <w:fldChar w:fldCharType="begin"/>
      </w:r>
      <w:r w:rsidR="00777D0C">
        <w:rPr>
          <w:rFonts w:ascii="Times New Roman" w:eastAsia="Times New Roman" w:hAnsi="Times New Roman" w:cs="Times New Roman"/>
          <w:sz w:val="24"/>
          <w:szCs w:val="24"/>
        </w:rPr>
        <w:instrText xml:space="preserve"> ADDIN ZOTERO_ITEM CSL_CITATION {"citationID":"TlIHeGLn","properties":{"formattedCitation":"(Valavi et al. 2018)","plainCitation":"(Valavi et al. 2018)","noteIndex":0},"citationItems":[{"id":324,"uris":["http://zotero.org/groups/4916363/items/Y2UEECU2"],"itemData":{"id":324,"type":"article","abstract":"When applied to structured data, conventional random cross-validation techniques can lead to underestimation of prediction error, and may result in inappropriate model selection.We present the R package blockCV, a new toolbox for cross-validation of species distribution modelling.The package can generate spatially or environmentally separated folds. It includes tools to measure spatial autocorrelation ranges in candidate covariates, providing the user with insights into the spatial structure in these data. It also offers interactive graphical capabilities for creating spatial blocks and exploring data folds.Package blockCV enables modellers to more easily implement a range of evaluation approaches. It will help the modelling community learn more about the impacts of evaluation approaches on our understanding of predictive performance of species distribution models.","DOI":"10.1101/357798","language":"en","license":"© 2018, Posted by Cold Spring Harbor Laboratory. This pre-print is available under a Creative Commons License (Attribution-NonCommercial-NoDerivs 4.0 International), CC BY-NC-ND 4.0, as described at http://creativecommons.org/licenses/by-nc-nd/4.0/","note":"page: 357798\nsection: New Results","publisher":"bioRxiv","source":"bioRxiv","title":"blockCV: an R package for generating spatially or environmentally separated folds for k-fold cross-validation of species distribution models","title-short":"blockCV","URL":"https://www.biorxiv.org/content/10.1101/357798v1","author":[{"family":"Valavi","given":"Roozbeh"},{"family":"Elith","given":"Jane"},{"family":"Lahoz-Monfort","given":"José J."},{"family":"Guillera-Arroita","given":"Gurutzeta"}],"accessed":{"date-parts":[["2023",2,5]]},"issued":{"date-parts":[["2018",6,28]]}}}],"schema":"https://github.com/citation-style-language/schema/raw/master/csl-citation.json"} </w:instrText>
      </w:r>
      <w:r w:rsidR="00777D0C">
        <w:rPr>
          <w:rFonts w:ascii="Times New Roman" w:eastAsia="Times New Roman" w:hAnsi="Times New Roman" w:cs="Times New Roman"/>
          <w:sz w:val="24"/>
          <w:szCs w:val="24"/>
        </w:rPr>
        <w:fldChar w:fldCharType="separate"/>
      </w:r>
      <w:r w:rsidR="00777D0C">
        <w:rPr>
          <w:rFonts w:ascii="Times New Roman" w:hAnsi="Times New Roman" w:cs="Times New Roman"/>
          <w:sz w:val="24"/>
        </w:rPr>
        <w:t>[</w:t>
      </w:r>
      <w:proofErr w:type="spellStart"/>
      <w:r w:rsidR="00777D0C" w:rsidRPr="00777D0C">
        <w:rPr>
          <w:rFonts w:ascii="Times New Roman" w:hAnsi="Times New Roman" w:cs="Times New Roman"/>
          <w:sz w:val="24"/>
        </w:rPr>
        <w:t>Valavi</w:t>
      </w:r>
      <w:proofErr w:type="spellEnd"/>
      <w:r w:rsidR="00777D0C" w:rsidRPr="00777D0C">
        <w:rPr>
          <w:rFonts w:ascii="Times New Roman" w:hAnsi="Times New Roman" w:cs="Times New Roman"/>
          <w:sz w:val="24"/>
        </w:rPr>
        <w:t xml:space="preserve"> et al. 2018</w:t>
      </w:r>
      <w:r w:rsidR="00777D0C">
        <w:rPr>
          <w:rFonts w:ascii="Times New Roman" w:eastAsia="Times New Roman" w:hAnsi="Times New Roman" w:cs="Times New Roman"/>
          <w:sz w:val="24"/>
          <w:szCs w:val="24"/>
        </w:rPr>
        <w:fldChar w:fldCharType="end"/>
      </w:r>
      <w:r w:rsidR="00777D0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was used to partition study regions into blocks sharing overall similarity in BRT predictor values that were independent of the values in other blocks. Training and testing data were drawn evenly from the blocks. Five-fold cross-validation </w:t>
      </w:r>
      <w:r w:rsidR="00777D0C">
        <w:rPr>
          <w:rFonts w:ascii="Times New Roman" w:eastAsia="Times New Roman" w:hAnsi="Times New Roman" w:cs="Times New Roman"/>
          <w:sz w:val="24"/>
          <w:szCs w:val="24"/>
        </w:rPr>
        <w:fldChar w:fldCharType="begin"/>
      </w:r>
      <w:r w:rsidR="00777D0C">
        <w:rPr>
          <w:rFonts w:ascii="Times New Roman" w:eastAsia="Times New Roman" w:hAnsi="Times New Roman" w:cs="Times New Roman"/>
          <w:sz w:val="24"/>
          <w:szCs w:val="24"/>
        </w:rPr>
        <w:instrText xml:space="preserve"> ADDIN ZOTERO_ITEM CSL_CITATION {"citationID":"4uNLAKSD","properties":{"formattedCitation":"(Leathwick et al. 2006)","plainCitation":"(Leathwick et al. 2006)","noteIndex":0},"citationItems":[{"id":304,"uris":["http://zotero.org/groups/4916363/items/ZGPYKTTM"],"itemData":{"id":304,"type":"article-journal","abstract":"We analysed relationships between demersal fish species richness, environment and trawl characteristics using an extensive collection of trawl data from the oceans around New Zealand. Analyses were carried out using both generalised additive models and boosted regression trees (sometimes referred to as ‘stochastic gradient boosting’). Depth was the single most important environmental predictor of variation in species richness, with highest richness occurring at depths of 900 to 1000 m, and with a broad plateau of moderately high richness between 400 and 1100 m. Richness was higher both in waters with high surface concentrations of chlorophyll a and in zones of mixing of water bodies of contrasting origins. Local variation in temperature was also important, with lower richness occurring in waters that were cooler than expected given their depth. Variables describing trawl length, trawl speed, and cod-end mesh size made a substantial contribution to analysis outcomes, even though functions fitted for trawl distance and cod-end mesh size were constrained to reflect the known performance of trawl gear. Species richness declined with increasing cod-end mesh size and increasing trawl speed, but increased with increasing trawl distance, reaching a plateau once trawl distances exceed about 3 nautical miles. Boosted regression trees provided a powerful analysis tool, giving substantially superior predictive performance to generalized additive models, despite the fitting of interaction terms in the latter.","container-title":"Marine Ecology Progress Series","DOI":"10.3354/meps321267","ISSN":"0171-8630, 1616-1599","language":"en","page":"267-281","source":"www.int-res.com","title":"Variation in demersal fish species richness in the oceans surrounding New Zealand: an analysis using boosted regression trees","title-short":"Variation in demersal fish species richness in the oceans surrounding New Zealand","volume":"321","author":[{"family":"Leathwick","given":"J. R."},{"family":"Elith","given":"J."},{"family":"Francis","given":"M. P."},{"family":"Hastie","given":"T."},{"family":"Taylor","given":"P."}],"issued":{"date-parts":[["2006",9,8]]}}}],"schema":"https://github.com/citation-style-language/schema/raw/master/csl-citation.json"} </w:instrText>
      </w:r>
      <w:r w:rsidR="00777D0C">
        <w:rPr>
          <w:rFonts w:ascii="Times New Roman" w:eastAsia="Times New Roman" w:hAnsi="Times New Roman" w:cs="Times New Roman"/>
          <w:sz w:val="24"/>
          <w:szCs w:val="24"/>
        </w:rPr>
        <w:fldChar w:fldCharType="separate"/>
      </w:r>
      <w:r w:rsidR="00777D0C" w:rsidRPr="00777D0C">
        <w:rPr>
          <w:rFonts w:ascii="Times New Roman" w:hAnsi="Times New Roman" w:cs="Times New Roman"/>
          <w:sz w:val="24"/>
        </w:rPr>
        <w:t>(Leathwick et al. 2006)</w:t>
      </w:r>
      <w:r w:rsidR="00777D0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was used both to select the number of trees that minimized residual deviance in the final BRT model and to evaluate predictive ability of the final BRT model</w:t>
      </w:r>
      <w:r w:rsidR="00777D0C">
        <w:rPr>
          <w:rFonts w:ascii="Times New Roman" w:eastAsia="Times New Roman" w:hAnsi="Times New Roman" w:cs="Times New Roman"/>
          <w:sz w:val="24"/>
          <w:szCs w:val="24"/>
        </w:rPr>
        <w:t xml:space="preserve"> </w:t>
      </w:r>
      <w:r w:rsidR="00777D0C">
        <w:rPr>
          <w:rFonts w:ascii="Times New Roman" w:eastAsia="Times New Roman" w:hAnsi="Times New Roman" w:cs="Times New Roman"/>
          <w:sz w:val="24"/>
          <w:szCs w:val="24"/>
        </w:rPr>
        <w:fldChar w:fldCharType="begin"/>
      </w:r>
      <w:r w:rsidR="00777D0C">
        <w:rPr>
          <w:rFonts w:ascii="Times New Roman" w:eastAsia="Times New Roman" w:hAnsi="Times New Roman" w:cs="Times New Roman"/>
          <w:sz w:val="24"/>
          <w:szCs w:val="24"/>
        </w:rPr>
        <w:instrText xml:space="preserve"> ADDIN ZOTERO_ITEM CSL_CITATION {"citationID":"X7fwxnok","properties":{"formattedCitation":"(B\\uc0\\u252{}hlmann and Yu 2003; Hastie et al. 2009)","plainCitation":"(Bühlmann and Yu 2003; Hastie et al. 2009)","noteIndex":0},"citationItems":[{"id":291,"uris":["http://zotero.org/groups/4916363/items/QYJDH5QK"],"itemData":{"id":291,"type":"article-journal","abstract":"This article investigates a computationally simple variant of boosting, L2Boost, which is constructed from a functional gradient descent algorithm with the L2-loss function. Like other boosting algorithms, L2Boost uses many times in an iterative fashion a prechosen fitting method, called the learner. Based on the explicit expression of refitting of residuals of L2Boost, the case with (symmetric) linear learners is studied in detail in both regression and classification. In particular, with the boosting iteration m working as the smoothing or regularization parameter, a new exponential bias-variance trade-off is found with the variance (complexity) term increasing very slowly as m tends to infinity. When the learner is a smoothing spline, an optimal rate of convergence result holds for both regression and classification and the boosted smoothing spline even adapts to higher-order, unknown smoothness. Moreover, a simple expansion of a (smoothed) 0–1 loss function is derived to reveal the importance of the decision boundary, bias reduction, and impossibility of an additive bias-variance decomposition in classification. Finally, simulation and real dataset results are obtained to demonstrate the attractiveness of L2Boost. In particular, we demonstrate that L2Boosting with a novel component-wise cubic smoothing spline is both practical and effective in the presence of high-dimensional predictors.","container-title":"Journal of the American Statistical Association","DOI":"10.1198/016214503000125","ISSN":"0162-1459","issue":"462","note":"publisher: Taylor &amp; Francis\n_eprint: https://doi.org/10.1198/016214503000125","page":"324-339","source":"Taylor and Francis+NEJM","title":"Boosting With the L2 Loss","volume":"98","author":[{"family":"Bühlmann","given":"Peter"},{"family":"Yu","given":"Bin"}],"issued":{"date-parts":[["2003",6,1]]}}},{"id":300,"uris":["http://zotero.org/groups/4916363/items/BL7NIKXE"],"itemData":{"id":300,"type":"chapter","container-title":"The Elements of Statistical Learning","event-place":"New York, NY","ISBN":"978-0-387-84857-0","language":"en","note":"collection-title: Springer Series in Statistics\nDOI: 10.1007/978-0-387-84858-7_10","page":"337-387","publisher":"Springer New York","publisher-place":"New York, NY","source":"DOI.org (Crossref)","title":"Boosting and Additive Trees","URL":"http://link.springer.com/10.1007/978-0-387-84858-7_10","container-author":[{"family":"Hastie","given":"Trevor"},{"family":"Tibshirani","given":"Robert"},{"family":"Friedman","given":"Jerome"}],"author":[{"family":"Hastie","given":"Trevor"},{"family":"Tibshirani","given":"Robert"},{"family":"Friedman","given":"Jerome"}],"accessed":{"date-parts":[["2023",2,5]]},"issued":{"date-parts":[["2009"]]}}}],"schema":"https://github.com/citation-style-language/schema/raw/master/csl-citation.json"} </w:instrText>
      </w:r>
      <w:r w:rsidR="00777D0C">
        <w:rPr>
          <w:rFonts w:ascii="Times New Roman" w:eastAsia="Times New Roman" w:hAnsi="Times New Roman" w:cs="Times New Roman"/>
          <w:sz w:val="24"/>
          <w:szCs w:val="24"/>
        </w:rPr>
        <w:fldChar w:fldCharType="separate"/>
      </w:r>
      <w:r w:rsidR="00777D0C" w:rsidRPr="00777D0C">
        <w:rPr>
          <w:rFonts w:ascii="Times New Roman" w:hAnsi="Times New Roman" w:cs="Times New Roman"/>
          <w:sz w:val="24"/>
          <w:szCs w:val="24"/>
        </w:rPr>
        <w:t>(Bühlmann and Yu 2003; Hastie et al. 2009)</w:t>
      </w:r>
      <w:r w:rsidR="00777D0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There were 5 initial models of 50 trees each, a tree complexity of 3, a learning rate of 0.01, and a bag fraction of 0.5 (the proportion of data in each subset used to train the model as opposed to the out-of-bag 50 % of data used to test the model). Prediction error (PE or residual deviance) was calculated for each BRT for tree sizes 1 to 3 from the “out-of-bag” data and pooled across the 5 boosted trees, then the number of trees in each model was augmented by 50 trees and the process was repeated. </w:t>
      </w:r>
    </w:p>
    <w:p w14:paraId="24A49F93" w14:textId="77777777" w:rsidR="00AA57B0"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Predictive ability of the BRT models run for both Canada Warbler and Wood Thrush was compared by examining 5-fold cross validation correlation in the test data and by examining the intercept and slope values from a regression of predicted versus observed density. Better predictive ability is indicated by higher correlation, intercepts closer to 0, and slopes closer to 1. Once a final BRT for predicting density was selected based on its predictive accuracy, that selected BRT was rerun on 250 random sample data sets to obtain 250 sets of model regression trees. Each set of regression trees can be used to generate a predicted density raster. We predicted the mean, standard deviation, and 90 % confidence interval estimates of density of each species in each management unit where a species was modelled. We also used these regression trees to predict future density of each species from land use simulation outputs run in Landis-II and for Wood Thrush also in ALCES Online (Appendix S4).</w:t>
      </w:r>
    </w:p>
    <w:p w14:paraId="5A8A896A" w14:textId="77777777" w:rsidR="00AA57B0"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 measured the relative influence of predictors in the final selected BRT model for each species. Relative influence refers to the number of times a specific predictor is used to classify or split sample point counts into smaller groups within the boosted regression tree model’s individual regression trees. This number is weighted by the improvement to the model due to that predictor, averaged across all individual trees, then scaled so that relative influences add up to 1. We generated partial dependence plots showing the effect of each predictor on predicted density of Canada Warbler and Wood Thrush after averaging other predictors’ values.</w:t>
      </w:r>
    </w:p>
    <w:p w14:paraId="0FC69E7F" w14:textId="77777777" w:rsidR="00AA57B0" w:rsidRPr="00B115F7" w:rsidRDefault="00000000" w:rsidP="00B115F7">
      <w:pPr>
        <w:pStyle w:val="Heading2"/>
        <w:rPr>
          <w:rFonts w:ascii="Times New Roman" w:hAnsi="Times New Roman" w:cs="Times New Roman"/>
          <w:sz w:val="24"/>
          <w:szCs w:val="24"/>
        </w:rPr>
      </w:pPr>
      <w:r w:rsidRPr="00B115F7">
        <w:rPr>
          <w:rFonts w:ascii="Times New Roman" w:hAnsi="Times New Roman" w:cs="Times New Roman"/>
          <w:sz w:val="24"/>
          <w:szCs w:val="24"/>
        </w:rPr>
        <w:lastRenderedPageBreak/>
        <w:t>Point Count Data</w:t>
      </w:r>
    </w:p>
    <w:p w14:paraId="51BB32B2" w14:textId="77777777" w:rsidR="00AA57B0" w:rsidRPr="005F2586" w:rsidRDefault="00000000" w:rsidP="005F2586">
      <w:pPr>
        <w:rPr>
          <w:rFonts w:ascii="Times New Roman" w:eastAsia="Times New Roman" w:hAnsi="Times New Roman" w:cs="Times New Roman"/>
          <w:sz w:val="24"/>
          <w:szCs w:val="24"/>
        </w:rPr>
      </w:pPr>
      <w:bookmarkStart w:id="0" w:name="_heading=h.30j0zll" w:colFirst="0" w:colLast="0"/>
      <w:bookmarkEnd w:id="0"/>
      <w:r w:rsidRPr="005F2586">
        <w:rPr>
          <w:rFonts w:ascii="Times New Roman" w:eastAsia="Times New Roman" w:hAnsi="Times New Roman" w:cs="Times New Roman"/>
          <w:sz w:val="24"/>
          <w:szCs w:val="24"/>
        </w:rPr>
        <w:t>For the BRT models, 15,059 surveys in northern Nova Scotia and 123,996 surveys in Alberta (1% of surveys in each region with detections) were available for Canada Warbler and 316,241 surveys (5% with detections) were available for Wood Thrush (Figure 2, Appendices S1-S2).</w:t>
      </w:r>
    </w:p>
    <w:p w14:paraId="1594B839" w14:textId="53EF1090" w:rsidR="00AA57B0" w:rsidRDefault="00000000">
      <w:pPr>
        <w:ind w:firstLine="720"/>
        <w:rPr>
          <w:rFonts w:ascii="Times New Roman" w:eastAsia="Times New Roman" w:hAnsi="Times New Roman" w:cs="Times New Roman"/>
          <w:sz w:val="24"/>
          <w:szCs w:val="24"/>
        </w:rPr>
      </w:pPr>
      <w:bookmarkStart w:id="1" w:name="_heading=h.nuimccwtjnq8" w:colFirst="0" w:colLast="0"/>
      <w:bookmarkEnd w:id="1"/>
      <w:r>
        <w:rPr>
          <w:rFonts w:ascii="Times New Roman" w:eastAsia="Times New Roman" w:hAnsi="Times New Roman" w:cs="Times New Roman"/>
          <w:sz w:val="24"/>
          <w:szCs w:val="24"/>
        </w:rPr>
        <w:t>We ran separate BRTs for Canada Warbler in northern Nova Scotia and Alberta, based on management units identified by geographically weighted models (“GWR models”). In contrast, we ran BRTs across the entire range of the Wood Thrush as we did not find biological evidence for differential habitat use within this range from GWR models. Point counts that were available for Canada Warbler from GWR models were available for BRTs if those point counts occurred within the region of a specific BRT. For Wood Thrush however, since some of the eastern Canadian point counts from GWR models occurred north of the known range of the Wood Thrush, we used point counts with least one Wood Thrush detection to calculate a Wood Thrush range boundary within Canada based on kernel density estimation methods</w:t>
      </w:r>
      <w:r w:rsidR="00777D0C">
        <w:rPr>
          <w:rFonts w:ascii="Times New Roman" w:eastAsia="Times New Roman" w:hAnsi="Times New Roman" w:cs="Times New Roman"/>
          <w:sz w:val="24"/>
          <w:szCs w:val="24"/>
        </w:rPr>
        <w:t xml:space="preserve"> </w:t>
      </w:r>
      <w:r w:rsidR="00777D0C">
        <w:rPr>
          <w:rFonts w:ascii="Times New Roman" w:eastAsia="Times New Roman" w:hAnsi="Times New Roman" w:cs="Times New Roman"/>
          <w:sz w:val="24"/>
          <w:szCs w:val="24"/>
        </w:rPr>
        <w:fldChar w:fldCharType="begin"/>
      </w:r>
      <w:r w:rsidR="00777D0C">
        <w:rPr>
          <w:rFonts w:ascii="Times New Roman" w:eastAsia="Times New Roman" w:hAnsi="Times New Roman" w:cs="Times New Roman"/>
          <w:sz w:val="24"/>
          <w:szCs w:val="24"/>
        </w:rPr>
        <w:instrText xml:space="preserve"> ADDIN ZOTERO_ITEM CSL_CITATION {"citationID":"oZXqIn8j","properties":{"formattedCitation":"(Lichti and Swihart 2011)","plainCitation":"(Lichti and Swihart 2011)","noteIndex":0},"citationItems":[{"id":309,"uris":["http://zotero.org/groups/4916363/items/J59RGQRG"],"itemData":{"id":309,"type":"article-journal","abstract":"Estimates of utilization distributions (UDs) are used in analyses of home-range area, habitat and resource selection, and social interactions. We simulated data from 12 parent UDs, representing 3 series of increasingly intense space-use patterns (clustering of points around a home site, restriction of locations to a network of nodes and corridors, and dominance of a central hole in the UD) and compared the ability of kernel density estimation (KDE) and local convex hull (LCH) construction to reconstruct known UDs from samples of 10, 50, 250, and 1,000 location points. For KDE, we considered 4 bandwidth selectors: the reference bandwidth, least-squares cross-validation (LSCV), direct plug-in (DPI), and solve-the-equation (STE). For the sample sizes and UD patterns tested here, KDE achieved significantly higher volume-of-intersection (VI) scores with known parent UDs than did LCH; KDE also provided less biased home-range area estimates under many conditions. However, LCH minimized the UD volume that occurred outside the true home range boundary (Vout). Among the KDE bandwidth estimators, relative performance depended on the type and intensity of space use patterns, sample size, and the metric used to evaluate performance. Biologists should use KDE for UD and home range estimation within a probabilistic context, unless their objective is to exclude potentially unused areas by defining the area delimited by data. © 2011 The Wildlife Society.","container-title":"The Journal of Wildlife Management","DOI":"10.1002/jwmg.48","ISSN":"1937-2817","issue":"2","language":"en","note":"_eprint: https://onlinelibrary.wiley.com/doi/pdf/10.1002/jwmg.48","page":"413-422","source":"Wiley Online Library","title":"Estimating utilization distributions with kernel versus local convex hull methods","volume":"75","author":[{"family":"Lichti","given":"Nathanael I."},{"family":"Swihart","given":"Robert K."}],"issued":{"date-parts":[["2011"]]}}}],"schema":"https://github.com/citation-style-language/schema/raw/master/csl-citation.json"} </w:instrText>
      </w:r>
      <w:r w:rsidR="00777D0C">
        <w:rPr>
          <w:rFonts w:ascii="Times New Roman" w:eastAsia="Times New Roman" w:hAnsi="Times New Roman" w:cs="Times New Roman"/>
          <w:sz w:val="24"/>
          <w:szCs w:val="24"/>
        </w:rPr>
        <w:fldChar w:fldCharType="separate"/>
      </w:r>
      <w:r w:rsidR="00777D0C" w:rsidRPr="00777D0C">
        <w:rPr>
          <w:rFonts w:ascii="Times New Roman" w:hAnsi="Times New Roman" w:cs="Times New Roman"/>
          <w:sz w:val="24"/>
        </w:rPr>
        <w:t>(Lichti and Swihart 2011)</w:t>
      </w:r>
      <w:r w:rsidR="00777D0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using the “</w:t>
      </w:r>
      <w:proofErr w:type="spellStart"/>
      <w:r>
        <w:rPr>
          <w:rFonts w:ascii="Times New Roman" w:eastAsia="Times New Roman" w:hAnsi="Times New Roman" w:cs="Times New Roman"/>
          <w:sz w:val="24"/>
          <w:szCs w:val="24"/>
        </w:rPr>
        <w:t>ks</w:t>
      </w:r>
      <w:proofErr w:type="spellEnd"/>
      <w:r>
        <w:rPr>
          <w:rFonts w:ascii="Times New Roman" w:eastAsia="Times New Roman" w:hAnsi="Times New Roman" w:cs="Times New Roman"/>
          <w:sz w:val="24"/>
          <w:szCs w:val="24"/>
        </w:rPr>
        <w:t>” package in R (</w:t>
      </w:r>
      <w:r w:rsidRPr="005F2586">
        <w:rPr>
          <w:rFonts w:ascii="Times New Roman" w:eastAsia="Times New Roman" w:hAnsi="Times New Roman" w:cs="Times New Roman"/>
          <w:sz w:val="24"/>
          <w:szCs w:val="24"/>
        </w:rPr>
        <w:t>Duong 2021).</w:t>
      </w:r>
      <w:r>
        <w:rPr>
          <w:rFonts w:ascii="Times New Roman" w:eastAsia="Times New Roman" w:hAnsi="Times New Roman" w:cs="Times New Roman"/>
          <w:sz w:val="24"/>
          <w:szCs w:val="24"/>
        </w:rPr>
        <w:t xml:space="preserve"> The range boundary corresponded to the 99 % line. We then used this range boundary as the study area for the Wood Thrush BRTs, excluding point counts in Prince Edward Island, and northern parts of New Brunswick, Nova Scotia, Ontario, and Quebec (Appendix S1, Fig. 2</w:t>
      </w:r>
      <w:r w:rsidR="00191523">
        <w:rPr>
          <w:rFonts w:ascii="Times New Roman" w:eastAsia="Times New Roman" w:hAnsi="Times New Roman" w:cs="Times New Roman"/>
          <w:sz w:val="24"/>
          <w:szCs w:val="24"/>
        </w:rPr>
        <w:t xml:space="preserve"> in main manuscript</w:t>
      </w:r>
      <w:r>
        <w:rPr>
          <w:rFonts w:ascii="Times New Roman" w:eastAsia="Times New Roman" w:hAnsi="Times New Roman" w:cs="Times New Roman"/>
          <w:sz w:val="24"/>
          <w:szCs w:val="24"/>
        </w:rPr>
        <w:t xml:space="preserve">). </w:t>
      </w:r>
    </w:p>
    <w:p w14:paraId="056C2938" w14:textId="77777777" w:rsidR="00AA57B0" w:rsidRDefault="00AA57B0">
      <w:pPr>
        <w:rPr>
          <w:rFonts w:ascii="Times New Roman" w:eastAsia="Times New Roman" w:hAnsi="Times New Roman" w:cs="Times New Roman"/>
          <w:sz w:val="24"/>
          <w:szCs w:val="24"/>
        </w:rPr>
      </w:pPr>
    </w:p>
    <w:p w14:paraId="2175F9E6" w14:textId="77777777" w:rsidR="00AA57B0" w:rsidRPr="00B115F7" w:rsidRDefault="00000000" w:rsidP="00B115F7">
      <w:pPr>
        <w:pStyle w:val="Heading2"/>
        <w:rPr>
          <w:rFonts w:ascii="Times New Roman" w:hAnsi="Times New Roman" w:cs="Times New Roman"/>
          <w:sz w:val="24"/>
          <w:szCs w:val="24"/>
        </w:rPr>
      </w:pPr>
      <w:r w:rsidRPr="00B115F7">
        <w:rPr>
          <w:rFonts w:ascii="Times New Roman" w:hAnsi="Times New Roman" w:cs="Times New Roman"/>
          <w:sz w:val="24"/>
          <w:szCs w:val="24"/>
        </w:rPr>
        <w:t>Predictor Data</w:t>
      </w:r>
    </w:p>
    <w:p w14:paraId="4600BB01" w14:textId="7D523372" w:rsidR="00AA57B0" w:rsidRDefault="00000000" w:rsidP="005F258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Predictors used in Canada Warbler BRTs were generally similar in Alberta and northern Nova Scotia. For vegetation, we use satellite data from 2001 and 2011 at 250-m resolution </w:t>
      </w:r>
      <w:r w:rsidR="00777D0C">
        <w:rPr>
          <w:rFonts w:ascii="Times New Roman" w:eastAsia="Times New Roman" w:hAnsi="Times New Roman" w:cs="Times New Roman"/>
          <w:sz w:val="24"/>
          <w:szCs w:val="24"/>
        </w:rPr>
        <w:fldChar w:fldCharType="begin"/>
      </w:r>
      <w:r w:rsidR="00777D0C">
        <w:rPr>
          <w:rFonts w:ascii="Times New Roman" w:eastAsia="Times New Roman" w:hAnsi="Times New Roman" w:cs="Times New Roman"/>
          <w:sz w:val="24"/>
          <w:szCs w:val="24"/>
        </w:rPr>
        <w:instrText xml:space="preserve"> ADDIN ZOTERO_ITEM CSL_CITATION {"citationID":"xqaVu9HZ","properties":{"formattedCitation":"(Beaudoin et al. 2014)","plainCitation":"(Beaudoin et al. 2014)","noteIndex":0},"citationItems":[{"id":92,"uris":["http://zotero.org/groups/4916363/items/BEZDZWFD"],"itemData":{"id":92,"type":"article-journal","abstract":"Canada’s National Forest Inventory (NFI) sampling program is designed to support reporting on forests at the national scale. On the other hand, continuous maps of forest attributes are required to support strategic analyses of regional policy and management issues. We have therefore produced maps covering 4.03 × 106 km2 of inventoried forest area for the 2001 base year using standardised observations from the NFI photo plots (PP) as reference data. We used the k nearest neighbours (kNN) method with 26 geospatial data layers including MODIS spectral data and climatic and topographic variables to produce maps of 127 forest attributes at a 250 × 250 m resolution. The stand-level attributes include land cover, structure, and tree species relative abundance. In this article, we report only on total live aboveground tree biomass, with all other attributes covered in the supplementary data (Supplementary Material). In general, deviations in predicted pixel-level values from those in a PP validation set are greater in mountainous regions and in areas with either low biomass or sparse PP sampling. Predicted pixel-level values are overestimated at small observed values and underestimated at large ones. Accuracy measures are improved through the spatial aggregation of pixels to 1 km2 and beyond. Overall, these new products provide unique baseline information for strategic-level analyses of forests (https://nfi.nfis.org).","container-title":"Canadian Journal of Forest Research","DOI":"10.1139/cjfr-2013-0401","ISSN":"0045-5067","issue":"5","journalAbbreviation":"Can. J. For. Res.","note":"publisher: NRC Research Press","page":"521-532","source":"cdnsciencepub.com (Atypon)","title":"Mapping attributes of Canada’s forests at moderate resolution through kNN and MODIS imagery","volume":"44","author":[{"family":"Beaudoin","given":"A."},{"family":"Bernier","given":"P.Y."},{"family":"Guindon","given":"L."},{"family":"Villemaire","given":"P."},{"family":"Guo","given":"X.J."},{"family":"Stinson","given":"G."},{"family":"Bergeron","given":"T."},{"family":"Magnussen","given":"S."},{"family":"Hall","given":"R.J."}],"issued":{"date-parts":[["2014",5]]}}}],"schema":"https://github.com/citation-style-language/schema/raw/master/csl-citation.json"} </w:instrText>
      </w:r>
      <w:r w:rsidR="00777D0C">
        <w:rPr>
          <w:rFonts w:ascii="Times New Roman" w:eastAsia="Times New Roman" w:hAnsi="Times New Roman" w:cs="Times New Roman"/>
          <w:sz w:val="24"/>
          <w:szCs w:val="24"/>
        </w:rPr>
        <w:fldChar w:fldCharType="separate"/>
      </w:r>
      <w:r w:rsidR="00777D0C" w:rsidRPr="00777D0C">
        <w:rPr>
          <w:rFonts w:ascii="Times New Roman" w:hAnsi="Times New Roman" w:cs="Times New Roman"/>
          <w:sz w:val="24"/>
        </w:rPr>
        <w:t>(Beaudoin et al. 2014)</w:t>
      </w:r>
      <w:r w:rsidR="00777D0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clipped to each region and extracted to point counts based on survey year (1993-2005 [N=418, 337]; 2006-2014 [N=400, 780]). Predictors included the proportion of each cell dominated by different tree species in each region; total live above-ground vegetation biomass in each cell; and stand age. We used the compound topographic index (CTI) described in Appendix S2 as a measure of soil moisture based on slope and catchment area: areas with low CTI values have small catchment areas with steep slopes</w:t>
      </w:r>
      <w:r w:rsidR="00777D0C">
        <w:rPr>
          <w:rFonts w:ascii="Times New Roman" w:eastAsia="Times New Roman" w:hAnsi="Times New Roman" w:cs="Times New Roman"/>
          <w:sz w:val="24"/>
          <w:szCs w:val="24"/>
        </w:rPr>
        <w:t xml:space="preserve"> </w:t>
      </w:r>
      <w:r w:rsidR="00777D0C">
        <w:rPr>
          <w:rFonts w:ascii="Times New Roman" w:eastAsia="Times New Roman" w:hAnsi="Times New Roman" w:cs="Times New Roman"/>
          <w:sz w:val="24"/>
          <w:szCs w:val="24"/>
        </w:rPr>
        <w:fldChar w:fldCharType="begin"/>
      </w:r>
      <w:r w:rsidR="00777D0C">
        <w:rPr>
          <w:rFonts w:ascii="Times New Roman" w:eastAsia="Times New Roman" w:hAnsi="Times New Roman" w:cs="Times New Roman"/>
          <w:sz w:val="24"/>
          <w:szCs w:val="24"/>
        </w:rPr>
        <w:instrText xml:space="preserve"> ADDIN ZOTERO_ITEM CSL_CITATION {"citationID":"d3KTPFto","properties":{"formattedCitation":"(Ball et al. 2016)","plainCitation":"(Ball et al. 2016)","noteIndex":0},"citationItems":[{"id":176,"uris":["http://zotero.org/groups/4916363/items/KBTCLJDR"],"itemData":{"id":176,"type":"article-journal","abstract":"Ball, J. R., P. Sólymos, F. K. A. Schmiegelow, S. Hache, J. Schieck, and E. Bayne. 2016. Regional habitat needs of a nationally listed species, Canada Warbler (Cardellina canadensis), in Alberta, Canada. Avian Conservation and Ecology 11(2):10.http://dx.doi.org/10.5751/ACE-00916-110210","container-title":"Avian Conservation and Ecology","DOI":"10.5751/ACE-00916-110210","ISSN":"1712-6568","issue":"2","language":"en","license":"© 2016 by the author(s)","note":"publisher: The Resilience Alliance","source":"ace-eco.org","title":"Regional habitat needs of a nationally listed species, Canada Warbler (&lt;em&gt;Cardellina canadensis&lt;/em&gt;), in Alberta, Canada","URL":"https://ace-eco.org/vol11/iss2/art10/","volume":"11","author":[{"family":"Ball","given":"Jeffrey"},{"family":"Sólymos","given":"Péter"},{"family":"Schmiegelow","given":"Fiona"},{"family":"Hache","given":"Samuel"},{"family":"Schieck","given":"Jim"},{"family":"Bayne","given":"Erin"}],"accessed":{"date-parts":[["2023",2,1]]},"issued":{"date-parts":[["2016",11,30]]}}}],"schema":"https://github.com/citation-style-language/schema/raw/master/csl-citation.json"} </w:instrText>
      </w:r>
      <w:r w:rsidR="00777D0C">
        <w:rPr>
          <w:rFonts w:ascii="Times New Roman" w:eastAsia="Times New Roman" w:hAnsi="Times New Roman" w:cs="Times New Roman"/>
          <w:sz w:val="24"/>
          <w:szCs w:val="24"/>
        </w:rPr>
        <w:fldChar w:fldCharType="separate"/>
      </w:r>
      <w:r w:rsidR="00777D0C" w:rsidRPr="00777D0C">
        <w:rPr>
          <w:rFonts w:ascii="Times New Roman" w:hAnsi="Times New Roman" w:cs="Times New Roman"/>
          <w:sz w:val="24"/>
        </w:rPr>
        <w:t>(Ball et al. 2016)</w:t>
      </w:r>
      <w:r w:rsidR="00777D0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To measure the amount of flooding in possible Canada Warbler habitat in Nova Scotia, we used a raster layer for the mean number of metres each 250-m cell was above or below the water table (</w:t>
      </w:r>
      <w:hyperlink r:id="rId5">
        <w:r>
          <w:rPr>
            <w:rFonts w:ascii="Times New Roman" w:eastAsia="Times New Roman" w:hAnsi="Times New Roman" w:cs="Times New Roman"/>
            <w:color w:val="1155CC"/>
            <w:sz w:val="24"/>
            <w:szCs w:val="24"/>
            <w:u w:val="single"/>
          </w:rPr>
          <w:t>https://novascotia.ca/natr/forestry/gis/wamdownload.asp</w:t>
        </w:r>
      </w:hyperlink>
      <w:r>
        <w:rPr>
          <w:rFonts w:ascii="Times New Roman" w:eastAsia="Times New Roman" w:hAnsi="Times New Roman" w:cs="Times New Roman"/>
          <w:sz w:val="24"/>
          <w:szCs w:val="24"/>
        </w:rPr>
        <w:t>). In Nova Scotia, we used the proportion of each cell occupied by urban/ agricultural land, roads, and open water. In Alberta, we used a wider range of human footprint types that were prevalent in Alberta boreal forests. Proportions of rural industrial land, mines, pipelines, paved roads, narrow (3-d) seismic lines, wide (2-d) seismic lines, transmission lines, agriculture, and open water in each 250-m cell were obtained from provincial layers produced by the Alberta Biodiversity Monitoring Institute (</w:t>
      </w:r>
      <w:r w:rsidRPr="005F2586">
        <w:rPr>
          <w:rFonts w:ascii="Times New Roman" w:eastAsia="Times New Roman" w:hAnsi="Times New Roman" w:cs="Times New Roman"/>
          <w:sz w:val="24"/>
          <w:szCs w:val="24"/>
        </w:rPr>
        <w:t>ABMI 2019</w:t>
      </w:r>
      <w:r>
        <w:rPr>
          <w:rFonts w:ascii="Times New Roman" w:eastAsia="Times New Roman" w:hAnsi="Times New Roman" w:cs="Times New Roman"/>
          <w:sz w:val="24"/>
          <w:szCs w:val="24"/>
        </w:rPr>
        <w:t xml:space="preserve">) (Table S2.1). </w:t>
      </w:r>
    </w:p>
    <w:p w14:paraId="2512F606" w14:textId="6A8C49A5" w:rsidR="00AA57B0" w:rsidRDefault="00000000">
      <w:pPr>
        <w:ind w:firstLine="720"/>
        <w:rPr>
          <w:rFonts w:ascii="Times New Roman" w:eastAsia="Times New Roman" w:hAnsi="Times New Roman" w:cs="Times New Roman"/>
          <w:sz w:val="24"/>
          <w:szCs w:val="24"/>
        </w:rPr>
      </w:pPr>
      <w:bookmarkStart w:id="2" w:name="_heading=h.2et92p0" w:colFirst="0" w:colLast="0"/>
      <w:bookmarkEnd w:id="2"/>
      <w:r>
        <w:rPr>
          <w:rFonts w:ascii="Times New Roman" w:eastAsia="Times New Roman" w:hAnsi="Times New Roman" w:cs="Times New Roman"/>
          <w:sz w:val="24"/>
          <w:szCs w:val="24"/>
        </w:rPr>
        <w:t>We quantified forest structure predictors, mean elevation relative to the water table, and compound topographic index in Nova Scotia and Alberta at three spatial extents: the original value assigned to each 250-m cell (“local”) and mean values at two landscape scales (within 250 m and 750 m of each cell) in a moving window analysis via Gaussian filtering (“</w:t>
      </w:r>
      <w:proofErr w:type="spellStart"/>
      <w:r>
        <w:rPr>
          <w:rFonts w:ascii="Times New Roman" w:eastAsia="Times New Roman" w:hAnsi="Times New Roman" w:cs="Times New Roman"/>
          <w:sz w:val="24"/>
          <w:szCs w:val="24"/>
        </w:rPr>
        <w:t>focalweight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function in </w:t>
      </w:r>
      <w:r w:rsidR="00777D0C">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“raster” package</w:t>
      </w:r>
      <w:r w:rsidR="00777D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sidRPr="005F2586">
        <w:rPr>
          <w:rFonts w:ascii="Times New Roman" w:eastAsia="Times New Roman" w:hAnsi="Times New Roman" w:cs="Times New Roman"/>
          <w:sz w:val="24"/>
          <w:szCs w:val="24"/>
        </w:rPr>
        <w:t>Hijmans</w:t>
      </w:r>
      <w:proofErr w:type="spellEnd"/>
      <w:r w:rsidRPr="005F2586">
        <w:rPr>
          <w:rFonts w:ascii="Times New Roman" w:eastAsia="Times New Roman" w:hAnsi="Times New Roman" w:cs="Times New Roman"/>
          <w:sz w:val="24"/>
          <w:szCs w:val="24"/>
        </w:rPr>
        <w:t xml:space="preserve"> </w:t>
      </w:r>
      <w:r w:rsidR="005F2586">
        <w:rPr>
          <w:rFonts w:ascii="Times New Roman" w:eastAsia="Times New Roman" w:hAnsi="Times New Roman" w:cs="Times New Roman"/>
          <w:sz w:val="24"/>
          <w:szCs w:val="24"/>
        </w:rPr>
        <w:t>et al.</w:t>
      </w:r>
      <w:r w:rsidRPr="005F2586">
        <w:rPr>
          <w:rFonts w:ascii="Times New Roman" w:eastAsia="Times New Roman" w:hAnsi="Times New Roman" w:cs="Times New Roman"/>
          <w:sz w:val="24"/>
          <w:szCs w:val="24"/>
        </w:rPr>
        <w:t xml:space="preserve"> 2012</w:t>
      </w:r>
      <w:r>
        <w:rPr>
          <w:rFonts w:ascii="Times New Roman" w:eastAsia="Times New Roman" w:hAnsi="Times New Roman" w:cs="Times New Roman"/>
          <w:sz w:val="24"/>
          <w:szCs w:val="24"/>
        </w:rPr>
        <w:t xml:space="preserve">]) </w:t>
      </w:r>
      <w:r w:rsidR="00777D0C">
        <w:rPr>
          <w:rFonts w:ascii="Times New Roman" w:eastAsia="Times New Roman" w:hAnsi="Times New Roman" w:cs="Times New Roman"/>
          <w:sz w:val="24"/>
          <w:szCs w:val="24"/>
        </w:rPr>
        <w:fldChar w:fldCharType="begin"/>
      </w:r>
      <w:r w:rsidR="00777D0C">
        <w:rPr>
          <w:rFonts w:ascii="Times New Roman" w:eastAsia="Times New Roman" w:hAnsi="Times New Roman" w:cs="Times New Roman"/>
          <w:sz w:val="24"/>
          <w:szCs w:val="24"/>
        </w:rPr>
        <w:instrText xml:space="preserve"> ADDIN ZOTERO_ITEM CSL_CITATION {"citationID":"6Ss49bcw","properties":{"formattedCitation":"(Chandler and Hepinstall-Cymerman 2016)","plainCitation":"(Chandler and Hepinstall-Cymerman 2016)","noteIndex":0},"citationItems":[{"id":295,"uris":["http://zotero.org/groups/4916363/items/X2V3XK94"],"itemData":{"id":295,"type":"article-journal","abstract":"Spatial variation in abundance is influenced by local- and landscape-level environmental variables, but modeling landscape effects is challenging because the spatial scales of the relationships are unknown. Current approaches involve buffering survey locations with polygons of various sizes and using model selection to identify the best scale. The buffering approach does not acknowledge that the influence of surrounding landscape features should diminish with distance, and it does not yield an estimate of the unknown scale parameters.","container-title":"Landscape Ecology","DOI":"10.1007/s10980-016-0380-z","ISSN":"1572-9761","issue":"6","journalAbbreviation":"Landscape Ecol","language":"en","page":"1383-1394","source":"Springer Link","title":"Estimating the spatial scales of landscape effects on abundance","volume":"31","author":[{"family":"Chandler","given":"Richard"},{"family":"Hepinstall-Cymerman","given":"Jeffrey"}],"issued":{"date-parts":[["2016",8,1]]}}}],"schema":"https://github.com/citation-style-language/schema/raw/master/csl-citation.json"} </w:instrText>
      </w:r>
      <w:r w:rsidR="00777D0C">
        <w:rPr>
          <w:rFonts w:ascii="Times New Roman" w:eastAsia="Times New Roman" w:hAnsi="Times New Roman" w:cs="Times New Roman"/>
          <w:sz w:val="24"/>
          <w:szCs w:val="24"/>
        </w:rPr>
        <w:fldChar w:fldCharType="separate"/>
      </w:r>
      <w:r w:rsidR="00777D0C" w:rsidRPr="00777D0C">
        <w:rPr>
          <w:rFonts w:ascii="Times New Roman" w:hAnsi="Times New Roman" w:cs="Times New Roman"/>
          <w:sz w:val="24"/>
        </w:rPr>
        <w:t>(Chandler and Hepinstall-Cymerman 2016)</w:t>
      </w:r>
      <w:r w:rsidR="00777D0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637503CB" w14:textId="77777777" w:rsidR="00AA57B0" w:rsidRDefault="00AA57B0">
      <w:pPr>
        <w:ind w:firstLine="720"/>
        <w:rPr>
          <w:rFonts w:ascii="Times New Roman" w:eastAsia="Times New Roman" w:hAnsi="Times New Roman" w:cs="Times New Roman"/>
          <w:sz w:val="24"/>
          <w:szCs w:val="24"/>
        </w:rPr>
      </w:pPr>
    </w:p>
    <w:p w14:paraId="1B1F64C1" w14:textId="77777777" w:rsidR="00AA57B0" w:rsidRDefault="00000000">
      <w:pPr>
        <w:rPr>
          <w:rFonts w:ascii="Times New Roman" w:eastAsia="Times New Roman" w:hAnsi="Times New Roman" w:cs="Times New Roman"/>
          <w:sz w:val="24"/>
          <w:szCs w:val="24"/>
        </w:rPr>
      </w:pPr>
      <w:bookmarkStart w:id="3" w:name="_heading=h.1t3h5sf" w:colFirst="0" w:colLast="0"/>
      <w:bookmarkEnd w:id="3"/>
      <w:r>
        <w:rPr>
          <w:rFonts w:ascii="Times New Roman" w:eastAsia="Times New Roman" w:hAnsi="Times New Roman" w:cs="Times New Roman"/>
          <w:sz w:val="24"/>
          <w:szCs w:val="24"/>
        </w:rPr>
        <w:t>Table S2.1. Description and sources of predictor variables used in boosted regression tree models of Canada Warbler density (#males per ha) in northern Nova Scotia (NNS) and Alberta (AB).</w:t>
      </w:r>
    </w:p>
    <w:tbl>
      <w:tblPr>
        <w:tblStyle w:val="a9"/>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0"/>
        <w:gridCol w:w="4455"/>
        <w:gridCol w:w="1170"/>
        <w:gridCol w:w="2145"/>
      </w:tblGrid>
      <w:tr w:rsidR="00AA57B0" w14:paraId="58E150AC" w14:textId="77777777">
        <w:tc>
          <w:tcPr>
            <w:tcW w:w="1590" w:type="dxa"/>
            <w:shd w:val="clear" w:color="auto" w:fill="auto"/>
            <w:tcMar>
              <w:top w:w="100" w:type="dxa"/>
              <w:left w:w="100" w:type="dxa"/>
              <w:bottom w:w="100" w:type="dxa"/>
              <w:right w:w="100" w:type="dxa"/>
            </w:tcMar>
          </w:tcPr>
          <w:p w14:paraId="1E690A12" w14:textId="77777777" w:rsidR="00AA57B0" w:rsidRDefault="00000000">
            <w:pPr>
              <w:widowContro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Variable</w:t>
            </w:r>
          </w:p>
        </w:tc>
        <w:tc>
          <w:tcPr>
            <w:tcW w:w="4455" w:type="dxa"/>
            <w:shd w:val="clear" w:color="auto" w:fill="auto"/>
            <w:tcMar>
              <w:top w:w="100" w:type="dxa"/>
              <w:left w:w="100" w:type="dxa"/>
              <w:bottom w:w="100" w:type="dxa"/>
              <w:right w:w="100" w:type="dxa"/>
            </w:tcMar>
          </w:tcPr>
          <w:p w14:paraId="3EB412BB" w14:textId="77777777" w:rsidR="00AA57B0" w:rsidRDefault="00000000">
            <w:pPr>
              <w:widowContro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Description</w:t>
            </w:r>
          </w:p>
        </w:tc>
        <w:tc>
          <w:tcPr>
            <w:tcW w:w="1170" w:type="dxa"/>
            <w:shd w:val="clear" w:color="auto" w:fill="auto"/>
            <w:tcMar>
              <w:top w:w="100" w:type="dxa"/>
              <w:left w:w="100" w:type="dxa"/>
              <w:bottom w:w="100" w:type="dxa"/>
              <w:right w:w="100" w:type="dxa"/>
            </w:tcMar>
          </w:tcPr>
          <w:p w14:paraId="1D3F60A2" w14:textId="77777777" w:rsidR="00AA57B0" w:rsidRDefault="00000000">
            <w:pPr>
              <w:widowControl w:val="0"/>
              <w:ind w:left="-90"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Region(s)</w:t>
            </w:r>
          </w:p>
        </w:tc>
        <w:tc>
          <w:tcPr>
            <w:tcW w:w="2145" w:type="dxa"/>
            <w:shd w:val="clear" w:color="auto" w:fill="auto"/>
            <w:tcMar>
              <w:top w:w="100" w:type="dxa"/>
              <w:left w:w="100" w:type="dxa"/>
              <w:bottom w:w="100" w:type="dxa"/>
              <w:right w:w="100" w:type="dxa"/>
            </w:tcMar>
          </w:tcPr>
          <w:p w14:paraId="236AF262" w14:textId="77777777" w:rsidR="00AA57B0" w:rsidRDefault="00000000">
            <w:pPr>
              <w:widowContro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Citation</w:t>
            </w:r>
          </w:p>
        </w:tc>
      </w:tr>
      <w:tr w:rsidR="00AA57B0" w14:paraId="254F8C08" w14:textId="77777777">
        <w:tc>
          <w:tcPr>
            <w:tcW w:w="1590" w:type="dxa"/>
            <w:shd w:val="clear" w:color="auto" w:fill="auto"/>
            <w:tcMar>
              <w:top w:w="100" w:type="dxa"/>
              <w:left w:w="100" w:type="dxa"/>
              <w:bottom w:w="100" w:type="dxa"/>
              <w:right w:w="100" w:type="dxa"/>
            </w:tcMar>
          </w:tcPr>
          <w:p w14:paraId="56E0C3BB"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Tree species cover </w:t>
            </w:r>
          </w:p>
        </w:tc>
        <w:tc>
          <w:tcPr>
            <w:tcW w:w="4455" w:type="dxa"/>
            <w:shd w:val="clear" w:color="auto" w:fill="auto"/>
            <w:tcMar>
              <w:top w:w="100" w:type="dxa"/>
              <w:left w:w="100" w:type="dxa"/>
              <w:bottom w:w="100" w:type="dxa"/>
              <w:right w:w="100" w:type="dxa"/>
            </w:tcMar>
          </w:tcPr>
          <w:p w14:paraId="07C1B055"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National layers of percent cover of individual tree species found in each region (resolution of 250 m) based on 2005 Moderate Resolution Imaging Spectroradiometer (MODIS) satellite imagery combined with forestry permanent sample plots. </w:t>
            </w:r>
          </w:p>
        </w:tc>
        <w:tc>
          <w:tcPr>
            <w:tcW w:w="1170" w:type="dxa"/>
            <w:shd w:val="clear" w:color="auto" w:fill="auto"/>
            <w:tcMar>
              <w:top w:w="100" w:type="dxa"/>
              <w:left w:w="100" w:type="dxa"/>
              <w:bottom w:w="100" w:type="dxa"/>
              <w:right w:w="100" w:type="dxa"/>
            </w:tcMar>
          </w:tcPr>
          <w:p w14:paraId="2C9666BA" w14:textId="77777777" w:rsidR="00AA57B0"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NNS, AB</w:t>
            </w:r>
          </w:p>
        </w:tc>
        <w:tc>
          <w:tcPr>
            <w:tcW w:w="2145" w:type="dxa"/>
            <w:shd w:val="clear" w:color="auto" w:fill="auto"/>
            <w:tcMar>
              <w:top w:w="100" w:type="dxa"/>
              <w:left w:w="100" w:type="dxa"/>
              <w:bottom w:w="100" w:type="dxa"/>
              <w:right w:w="100" w:type="dxa"/>
            </w:tcMar>
          </w:tcPr>
          <w:p w14:paraId="20EFA9BD"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Beaudoin et al. 2014</w:t>
            </w:r>
          </w:p>
        </w:tc>
      </w:tr>
      <w:tr w:rsidR="00AA57B0" w14:paraId="16B97435" w14:textId="77777777">
        <w:tc>
          <w:tcPr>
            <w:tcW w:w="1590" w:type="dxa"/>
            <w:shd w:val="clear" w:color="auto" w:fill="auto"/>
            <w:tcMar>
              <w:top w:w="100" w:type="dxa"/>
              <w:left w:w="100" w:type="dxa"/>
              <w:bottom w:w="100" w:type="dxa"/>
              <w:right w:w="100" w:type="dxa"/>
            </w:tcMar>
          </w:tcPr>
          <w:p w14:paraId="77BBD69C"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Live above-ground biomass</w:t>
            </w:r>
          </w:p>
        </w:tc>
        <w:tc>
          <w:tcPr>
            <w:tcW w:w="4455" w:type="dxa"/>
            <w:shd w:val="clear" w:color="auto" w:fill="auto"/>
            <w:tcMar>
              <w:top w:w="100" w:type="dxa"/>
              <w:left w:w="100" w:type="dxa"/>
              <w:bottom w:w="100" w:type="dxa"/>
              <w:right w:w="100" w:type="dxa"/>
            </w:tcMar>
          </w:tcPr>
          <w:p w14:paraId="7C25185A"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National layers of total live above-ground biomass (tonnes per ha) (resolution of 250 m) based on 2005 Moderate Resolution Imaging Spectroradiometer (MODIS) satellite imagery combined with forestry permanent sample plots. </w:t>
            </w:r>
          </w:p>
        </w:tc>
        <w:tc>
          <w:tcPr>
            <w:tcW w:w="1170" w:type="dxa"/>
            <w:shd w:val="clear" w:color="auto" w:fill="auto"/>
            <w:tcMar>
              <w:top w:w="100" w:type="dxa"/>
              <w:left w:w="100" w:type="dxa"/>
              <w:bottom w:w="100" w:type="dxa"/>
              <w:right w:w="100" w:type="dxa"/>
            </w:tcMar>
          </w:tcPr>
          <w:p w14:paraId="3624344D" w14:textId="77777777" w:rsidR="00AA57B0"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NNS, AB</w:t>
            </w:r>
          </w:p>
        </w:tc>
        <w:tc>
          <w:tcPr>
            <w:tcW w:w="2145" w:type="dxa"/>
            <w:shd w:val="clear" w:color="auto" w:fill="auto"/>
            <w:tcMar>
              <w:top w:w="100" w:type="dxa"/>
              <w:left w:w="100" w:type="dxa"/>
              <w:bottom w:w="100" w:type="dxa"/>
              <w:right w:w="100" w:type="dxa"/>
            </w:tcMar>
          </w:tcPr>
          <w:p w14:paraId="25F72E57"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Beaudoin et al. 2014</w:t>
            </w:r>
          </w:p>
        </w:tc>
      </w:tr>
      <w:tr w:rsidR="00AA57B0" w14:paraId="62D2D70A" w14:textId="77777777">
        <w:trPr>
          <w:trHeight w:val="1069"/>
        </w:trPr>
        <w:tc>
          <w:tcPr>
            <w:tcW w:w="1590" w:type="dxa"/>
            <w:shd w:val="clear" w:color="auto" w:fill="auto"/>
            <w:tcMar>
              <w:top w:w="100" w:type="dxa"/>
              <w:left w:w="100" w:type="dxa"/>
              <w:bottom w:w="100" w:type="dxa"/>
              <w:right w:w="100" w:type="dxa"/>
            </w:tcMar>
          </w:tcPr>
          <w:p w14:paraId="63ABDC5C"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Forest age</w:t>
            </w:r>
          </w:p>
        </w:tc>
        <w:tc>
          <w:tcPr>
            <w:tcW w:w="4455" w:type="dxa"/>
            <w:shd w:val="clear" w:color="auto" w:fill="auto"/>
            <w:tcMar>
              <w:top w:w="100" w:type="dxa"/>
              <w:left w:w="100" w:type="dxa"/>
              <w:bottom w:w="100" w:type="dxa"/>
              <w:right w:w="100" w:type="dxa"/>
            </w:tcMar>
          </w:tcPr>
          <w:p w14:paraId="53319DB9"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National layers of forest stand age (years) (resolution of 250 m) based on 2005 Moderate Resolution Imaging Spectroradiometer (MODIS) satellite imagery combined with forestry permanent sample plots. </w:t>
            </w:r>
          </w:p>
        </w:tc>
        <w:tc>
          <w:tcPr>
            <w:tcW w:w="1170" w:type="dxa"/>
            <w:shd w:val="clear" w:color="auto" w:fill="auto"/>
            <w:tcMar>
              <w:top w:w="100" w:type="dxa"/>
              <w:left w:w="100" w:type="dxa"/>
              <w:bottom w:w="100" w:type="dxa"/>
              <w:right w:w="100" w:type="dxa"/>
            </w:tcMar>
          </w:tcPr>
          <w:p w14:paraId="317C960E" w14:textId="77777777" w:rsidR="00AA57B0"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NNS, AB</w:t>
            </w:r>
          </w:p>
        </w:tc>
        <w:tc>
          <w:tcPr>
            <w:tcW w:w="2145" w:type="dxa"/>
            <w:shd w:val="clear" w:color="auto" w:fill="auto"/>
            <w:tcMar>
              <w:top w:w="100" w:type="dxa"/>
              <w:left w:w="100" w:type="dxa"/>
              <w:bottom w:w="100" w:type="dxa"/>
              <w:right w:w="100" w:type="dxa"/>
            </w:tcMar>
          </w:tcPr>
          <w:p w14:paraId="13955461"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Beaudoin et al. 2014</w:t>
            </w:r>
          </w:p>
        </w:tc>
      </w:tr>
      <w:tr w:rsidR="00AA57B0" w14:paraId="5A6AA48A" w14:textId="77777777">
        <w:tc>
          <w:tcPr>
            <w:tcW w:w="1590" w:type="dxa"/>
            <w:shd w:val="clear" w:color="auto" w:fill="auto"/>
            <w:tcMar>
              <w:top w:w="100" w:type="dxa"/>
              <w:left w:w="100" w:type="dxa"/>
              <w:bottom w:w="100" w:type="dxa"/>
              <w:right w:w="100" w:type="dxa"/>
            </w:tcMar>
          </w:tcPr>
          <w:p w14:paraId="4D90979D"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Roads</w:t>
            </w:r>
          </w:p>
        </w:tc>
        <w:tc>
          <w:tcPr>
            <w:tcW w:w="4455" w:type="dxa"/>
            <w:shd w:val="clear" w:color="auto" w:fill="auto"/>
            <w:tcMar>
              <w:top w:w="100" w:type="dxa"/>
              <w:left w:w="100" w:type="dxa"/>
              <w:bottom w:w="100" w:type="dxa"/>
              <w:right w:w="100" w:type="dxa"/>
            </w:tcMar>
          </w:tcPr>
          <w:p w14:paraId="3F153AFA"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Whether a point count was within a pixel (resolution of 250 m) classified as containing a road or the proportion of land within 250 or 750 m containing pixels classed as roadside pixels.</w:t>
            </w:r>
          </w:p>
        </w:tc>
        <w:tc>
          <w:tcPr>
            <w:tcW w:w="1170" w:type="dxa"/>
            <w:shd w:val="clear" w:color="auto" w:fill="auto"/>
            <w:tcMar>
              <w:top w:w="100" w:type="dxa"/>
              <w:left w:w="100" w:type="dxa"/>
              <w:bottom w:w="100" w:type="dxa"/>
              <w:right w:w="100" w:type="dxa"/>
            </w:tcMar>
          </w:tcPr>
          <w:p w14:paraId="2C84539A" w14:textId="77777777" w:rsidR="00AA57B0"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NNS</w:t>
            </w:r>
          </w:p>
        </w:tc>
        <w:tc>
          <w:tcPr>
            <w:tcW w:w="2145" w:type="dxa"/>
            <w:shd w:val="clear" w:color="auto" w:fill="auto"/>
            <w:tcMar>
              <w:top w:w="100" w:type="dxa"/>
              <w:left w:w="100" w:type="dxa"/>
              <w:bottom w:w="100" w:type="dxa"/>
              <w:right w:w="100" w:type="dxa"/>
            </w:tcMar>
          </w:tcPr>
          <w:p w14:paraId="6B87F90F"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CEC 2005</w:t>
            </w:r>
          </w:p>
        </w:tc>
      </w:tr>
      <w:tr w:rsidR="00AA57B0" w14:paraId="516FA6B9" w14:textId="77777777">
        <w:tc>
          <w:tcPr>
            <w:tcW w:w="1590" w:type="dxa"/>
            <w:shd w:val="clear" w:color="auto" w:fill="auto"/>
            <w:tcMar>
              <w:top w:w="100" w:type="dxa"/>
              <w:left w:w="100" w:type="dxa"/>
              <w:bottom w:w="100" w:type="dxa"/>
              <w:right w:w="100" w:type="dxa"/>
            </w:tcMar>
          </w:tcPr>
          <w:p w14:paraId="48373825"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Urban or agricultural</w:t>
            </w:r>
          </w:p>
        </w:tc>
        <w:tc>
          <w:tcPr>
            <w:tcW w:w="4455" w:type="dxa"/>
            <w:shd w:val="clear" w:color="auto" w:fill="auto"/>
            <w:tcMar>
              <w:top w:w="100" w:type="dxa"/>
              <w:left w:w="100" w:type="dxa"/>
              <w:bottom w:w="100" w:type="dxa"/>
              <w:right w:w="100" w:type="dxa"/>
            </w:tcMar>
          </w:tcPr>
          <w:p w14:paraId="0971C082"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Proportional cover of non-forest (urban or agricultural) (resolution of 250 m) based on 2005 Moderate Resolution Imaging Spectroradiometer (MODIS) satellite imagery.</w:t>
            </w:r>
          </w:p>
        </w:tc>
        <w:tc>
          <w:tcPr>
            <w:tcW w:w="1170" w:type="dxa"/>
            <w:shd w:val="clear" w:color="auto" w:fill="auto"/>
            <w:tcMar>
              <w:top w:w="100" w:type="dxa"/>
              <w:left w:w="100" w:type="dxa"/>
              <w:bottom w:w="100" w:type="dxa"/>
              <w:right w:w="100" w:type="dxa"/>
            </w:tcMar>
          </w:tcPr>
          <w:p w14:paraId="6BF2DF44" w14:textId="77777777" w:rsidR="00AA57B0"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NNS</w:t>
            </w:r>
          </w:p>
        </w:tc>
        <w:tc>
          <w:tcPr>
            <w:tcW w:w="2145" w:type="dxa"/>
            <w:shd w:val="clear" w:color="auto" w:fill="auto"/>
            <w:tcMar>
              <w:top w:w="100" w:type="dxa"/>
              <w:left w:w="100" w:type="dxa"/>
              <w:bottom w:w="100" w:type="dxa"/>
              <w:right w:w="100" w:type="dxa"/>
            </w:tcMar>
          </w:tcPr>
          <w:p w14:paraId="5F6C1BB4"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CEC 2005</w:t>
            </w:r>
          </w:p>
        </w:tc>
      </w:tr>
      <w:tr w:rsidR="00AA57B0" w14:paraId="73EA2802" w14:textId="77777777">
        <w:tc>
          <w:tcPr>
            <w:tcW w:w="1590" w:type="dxa"/>
            <w:shd w:val="clear" w:color="auto" w:fill="auto"/>
            <w:tcMar>
              <w:top w:w="100" w:type="dxa"/>
              <w:left w:w="100" w:type="dxa"/>
              <w:bottom w:w="100" w:type="dxa"/>
              <w:right w:w="100" w:type="dxa"/>
            </w:tcMar>
          </w:tcPr>
          <w:p w14:paraId="435BFB59"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Human footprint classes</w:t>
            </w:r>
          </w:p>
        </w:tc>
        <w:tc>
          <w:tcPr>
            <w:tcW w:w="4455" w:type="dxa"/>
            <w:shd w:val="clear" w:color="auto" w:fill="auto"/>
            <w:tcMar>
              <w:top w:w="100" w:type="dxa"/>
              <w:left w:w="100" w:type="dxa"/>
              <w:bottom w:w="100" w:type="dxa"/>
              <w:right w:w="100" w:type="dxa"/>
            </w:tcMar>
          </w:tcPr>
          <w:p w14:paraId="3AC64DA3"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Proportional cover of 8 different human footprint classes (resolution of 250 m) derived from provincial shapefile layer, </w:t>
            </w:r>
            <w:proofErr w:type="gramStart"/>
            <w:r>
              <w:rPr>
                <w:rFonts w:ascii="Times New Roman" w:eastAsia="Times New Roman" w:hAnsi="Times New Roman" w:cs="Times New Roman"/>
                <w:sz w:val="18"/>
                <w:szCs w:val="18"/>
              </w:rPr>
              <w:t>rasterized</w:t>
            </w:r>
            <w:proofErr w:type="gramEnd"/>
            <w:r>
              <w:rPr>
                <w:rFonts w:ascii="Times New Roman" w:eastAsia="Times New Roman" w:hAnsi="Times New Roman" w:cs="Times New Roman"/>
                <w:sz w:val="18"/>
                <w:szCs w:val="18"/>
              </w:rPr>
              <w:t xml:space="preserve"> and resampled to 250-m resolution.</w:t>
            </w:r>
          </w:p>
        </w:tc>
        <w:tc>
          <w:tcPr>
            <w:tcW w:w="1170" w:type="dxa"/>
            <w:shd w:val="clear" w:color="auto" w:fill="auto"/>
            <w:tcMar>
              <w:top w:w="100" w:type="dxa"/>
              <w:left w:w="100" w:type="dxa"/>
              <w:bottom w:w="100" w:type="dxa"/>
              <w:right w:w="100" w:type="dxa"/>
            </w:tcMar>
          </w:tcPr>
          <w:p w14:paraId="649D4AEB" w14:textId="77777777" w:rsidR="00AA57B0"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AB</w:t>
            </w:r>
          </w:p>
        </w:tc>
        <w:tc>
          <w:tcPr>
            <w:tcW w:w="2145" w:type="dxa"/>
            <w:shd w:val="clear" w:color="auto" w:fill="auto"/>
            <w:tcMar>
              <w:top w:w="100" w:type="dxa"/>
              <w:left w:w="100" w:type="dxa"/>
              <w:bottom w:w="100" w:type="dxa"/>
              <w:right w:w="100" w:type="dxa"/>
            </w:tcMar>
          </w:tcPr>
          <w:p w14:paraId="014FF802"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ABMI 2019</w:t>
            </w:r>
          </w:p>
        </w:tc>
      </w:tr>
      <w:tr w:rsidR="00AA57B0" w14:paraId="57F6ABB9" w14:textId="77777777">
        <w:tc>
          <w:tcPr>
            <w:tcW w:w="1590" w:type="dxa"/>
            <w:shd w:val="clear" w:color="auto" w:fill="auto"/>
            <w:tcMar>
              <w:top w:w="100" w:type="dxa"/>
              <w:left w:w="100" w:type="dxa"/>
              <w:bottom w:w="100" w:type="dxa"/>
              <w:right w:w="100" w:type="dxa"/>
            </w:tcMar>
          </w:tcPr>
          <w:p w14:paraId="790DD946"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ARU</w:t>
            </w:r>
          </w:p>
        </w:tc>
        <w:tc>
          <w:tcPr>
            <w:tcW w:w="4455" w:type="dxa"/>
            <w:shd w:val="clear" w:color="auto" w:fill="auto"/>
            <w:tcMar>
              <w:top w:w="100" w:type="dxa"/>
              <w:left w:w="100" w:type="dxa"/>
              <w:bottom w:w="100" w:type="dxa"/>
              <w:right w:w="100" w:type="dxa"/>
            </w:tcMar>
          </w:tcPr>
          <w:p w14:paraId="2355443F"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A binary variable to indicate if a survey was conducted by a human observer (0) or an acoustic recording unit (1).</w:t>
            </w:r>
          </w:p>
        </w:tc>
        <w:tc>
          <w:tcPr>
            <w:tcW w:w="1170" w:type="dxa"/>
            <w:shd w:val="clear" w:color="auto" w:fill="auto"/>
            <w:tcMar>
              <w:top w:w="100" w:type="dxa"/>
              <w:left w:w="100" w:type="dxa"/>
              <w:bottom w:w="100" w:type="dxa"/>
              <w:right w:w="100" w:type="dxa"/>
            </w:tcMar>
          </w:tcPr>
          <w:p w14:paraId="1927FB6E" w14:textId="77777777" w:rsidR="00AA57B0"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NNS, AB</w:t>
            </w:r>
          </w:p>
        </w:tc>
        <w:tc>
          <w:tcPr>
            <w:tcW w:w="2145" w:type="dxa"/>
            <w:shd w:val="clear" w:color="auto" w:fill="auto"/>
            <w:tcMar>
              <w:top w:w="100" w:type="dxa"/>
              <w:left w:w="100" w:type="dxa"/>
              <w:bottom w:w="100" w:type="dxa"/>
              <w:right w:w="100" w:type="dxa"/>
            </w:tcMar>
          </w:tcPr>
          <w:p w14:paraId="2DE57CEF" w14:textId="3A07B489"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Van </w:t>
            </w:r>
            <w:proofErr w:type="spellStart"/>
            <w:r>
              <w:rPr>
                <w:rFonts w:ascii="Times New Roman" w:eastAsia="Times New Roman" w:hAnsi="Times New Roman" w:cs="Times New Roman"/>
                <w:sz w:val="18"/>
                <w:szCs w:val="18"/>
              </w:rPr>
              <w:t>Wilgenberg</w:t>
            </w:r>
            <w:proofErr w:type="spellEnd"/>
            <w:r>
              <w:rPr>
                <w:rFonts w:ascii="Times New Roman" w:eastAsia="Times New Roman" w:hAnsi="Times New Roman" w:cs="Times New Roman"/>
                <w:sz w:val="18"/>
                <w:szCs w:val="18"/>
              </w:rPr>
              <w:t xml:space="preserve"> et al 2015; </w:t>
            </w:r>
            <w:proofErr w:type="spellStart"/>
            <w:r>
              <w:rPr>
                <w:rFonts w:ascii="Times New Roman" w:eastAsia="Times New Roman" w:hAnsi="Times New Roman" w:cs="Times New Roman"/>
                <w:sz w:val="18"/>
                <w:szCs w:val="18"/>
              </w:rPr>
              <w:t>S</w:t>
            </w:r>
            <w:r w:rsidR="005F2586">
              <w:rPr>
                <w:rFonts w:ascii="Times New Roman" w:eastAsia="Times New Roman" w:hAnsi="Times New Roman" w:cs="Times New Roman"/>
                <w:sz w:val="18"/>
                <w:szCs w:val="18"/>
              </w:rPr>
              <w:t>ó</w:t>
            </w:r>
            <w:r>
              <w:rPr>
                <w:rFonts w:ascii="Times New Roman" w:eastAsia="Times New Roman" w:hAnsi="Times New Roman" w:cs="Times New Roman"/>
                <w:sz w:val="18"/>
                <w:szCs w:val="18"/>
              </w:rPr>
              <w:t>lymos</w:t>
            </w:r>
            <w:proofErr w:type="spellEnd"/>
            <w:r>
              <w:rPr>
                <w:rFonts w:ascii="Times New Roman" w:eastAsia="Times New Roman" w:hAnsi="Times New Roman" w:cs="Times New Roman"/>
                <w:sz w:val="18"/>
                <w:szCs w:val="18"/>
              </w:rPr>
              <w:t xml:space="preserve"> et al 2020</w:t>
            </w:r>
          </w:p>
        </w:tc>
      </w:tr>
      <w:tr w:rsidR="00AA57B0" w14:paraId="0221C020" w14:textId="77777777">
        <w:tc>
          <w:tcPr>
            <w:tcW w:w="1590" w:type="dxa"/>
            <w:shd w:val="clear" w:color="auto" w:fill="auto"/>
            <w:tcMar>
              <w:top w:w="100" w:type="dxa"/>
              <w:left w:w="100" w:type="dxa"/>
              <w:bottom w:w="100" w:type="dxa"/>
              <w:right w:w="100" w:type="dxa"/>
            </w:tcMar>
          </w:tcPr>
          <w:p w14:paraId="2D26BC50"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Compound Topographic Index (CTI)</w:t>
            </w:r>
          </w:p>
        </w:tc>
        <w:tc>
          <w:tcPr>
            <w:tcW w:w="4455" w:type="dxa"/>
            <w:shd w:val="clear" w:color="auto" w:fill="auto"/>
            <w:tcMar>
              <w:top w:w="100" w:type="dxa"/>
              <w:left w:w="100" w:type="dxa"/>
              <w:bottom w:w="100" w:type="dxa"/>
              <w:right w:w="100" w:type="dxa"/>
            </w:tcMar>
          </w:tcPr>
          <w:p w14:paraId="42131650"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Measure of soil moisture based on slope and catchment area, resampled to 250-m resolution.</w:t>
            </w:r>
          </w:p>
        </w:tc>
        <w:tc>
          <w:tcPr>
            <w:tcW w:w="1170" w:type="dxa"/>
            <w:shd w:val="clear" w:color="auto" w:fill="auto"/>
            <w:tcMar>
              <w:top w:w="100" w:type="dxa"/>
              <w:left w:w="100" w:type="dxa"/>
              <w:bottom w:w="100" w:type="dxa"/>
              <w:right w:w="100" w:type="dxa"/>
            </w:tcMar>
          </w:tcPr>
          <w:p w14:paraId="714BDF50" w14:textId="77777777" w:rsidR="00AA57B0"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NNS, AB</w:t>
            </w:r>
          </w:p>
        </w:tc>
        <w:tc>
          <w:tcPr>
            <w:tcW w:w="2145" w:type="dxa"/>
            <w:shd w:val="clear" w:color="auto" w:fill="auto"/>
            <w:tcMar>
              <w:top w:w="100" w:type="dxa"/>
              <w:left w:w="100" w:type="dxa"/>
              <w:bottom w:w="100" w:type="dxa"/>
              <w:right w:w="100" w:type="dxa"/>
            </w:tcMar>
          </w:tcPr>
          <w:p w14:paraId="06C3019E"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Global Land Cover Facility 2014</w:t>
            </w:r>
          </w:p>
        </w:tc>
      </w:tr>
      <w:tr w:rsidR="00AA57B0" w14:paraId="46B61102" w14:textId="77777777">
        <w:tc>
          <w:tcPr>
            <w:tcW w:w="1590" w:type="dxa"/>
            <w:shd w:val="clear" w:color="auto" w:fill="auto"/>
            <w:tcMar>
              <w:top w:w="100" w:type="dxa"/>
              <w:left w:w="100" w:type="dxa"/>
              <w:bottom w:w="100" w:type="dxa"/>
              <w:right w:w="100" w:type="dxa"/>
            </w:tcMar>
          </w:tcPr>
          <w:p w14:paraId="63D4482A"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Wet areas</w:t>
            </w:r>
          </w:p>
        </w:tc>
        <w:tc>
          <w:tcPr>
            <w:tcW w:w="4455" w:type="dxa"/>
            <w:shd w:val="clear" w:color="auto" w:fill="auto"/>
            <w:tcMar>
              <w:top w:w="100" w:type="dxa"/>
              <w:left w:w="100" w:type="dxa"/>
              <w:bottom w:w="100" w:type="dxa"/>
              <w:right w:w="100" w:type="dxa"/>
            </w:tcMar>
          </w:tcPr>
          <w:p w14:paraId="61E16A78"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Mean local elevation relative to water table</w:t>
            </w:r>
          </w:p>
        </w:tc>
        <w:tc>
          <w:tcPr>
            <w:tcW w:w="1170" w:type="dxa"/>
            <w:shd w:val="clear" w:color="auto" w:fill="auto"/>
            <w:tcMar>
              <w:top w:w="100" w:type="dxa"/>
              <w:left w:w="100" w:type="dxa"/>
              <w:bottom w:w="100" w:type="dxa"/>
              <w:right w:w="100" w:type="dxa"/>
            </w:tcMar>
          </w:tcPr>
          <w:p w14:paraId="1FBE6E10" w14:textId="77777777" w:rsidR="00AA57B0"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NNS, AB</w:t>
            </w:r>
          </w:p>
        </w:tc>
        <w:tc>
          <w:tcPr>
            <w:tcW w:w="2145" w:type="dxa"/>
            <w:shd w:val="clear" w:color="auto" w:fill="auto"/>
            <w:tcMar>
              <w:top w:w="100" w:type="dxa"/>
              <w:left w:w="100" w:type="dxa"/>
              <w:bottom w:w="100" w:type="dxa"/>
              <w:right w:w="100" w:type="dxa"/>
            </w:tcMar>
          </w:tcPr>
          <w:p w14:paraId="679127F0" w14:textId="77777777" w:rsidR="00AA57B0"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https://novascotia.ca/natr/forestry/gis/wamdownload.asp (NNS); </w:t>
            </w:r>
          </w:p>
        </w:tc>
      </w:tr>
    </w:tbl>
    <w:p w14:paraId="51B74601" w14:textId="77777777" w:rsidR="00AA57B0" w:rsidRDefault="00AA57B0">
      <w:pPr>
        <w:ind w:firstLine="720"/>
        <w:rPr>
          <w:rFonts w:ascii="Times New Roman" w:eastAsia="Times New Roman" w:hAnsi="Times New Roman" w:cs="Times New Roman"/>
          <w:sz w:val="24"/>
          <w:szCs w:val="24"/>
        </w:rPr>
      </w:pPr>
    </w:p>
    <w:p w14:paraId="7F056AC1" w14:textId="7A77665F" w:rsidR="00AA57B0" w:rsidRDefault="00000000">
      <w:pPr>
        <w:ind w:firstLine="720"/>
        <w:rPr>
          <w:rFonts w:ascii="Times New Roman" w:eastAsia="Times New Roman" w:hAnsi="Times New Roman" w:cs="Times New Roman"/>
          <w:sz w:val="24"/>
          <w:szCs w:val="24"/>
        </w:rPr>
      </w:pPr>
      <w:bookmarkStart w:id="4" w:name="_heading=h.2s8eyo1" w:colFirst="0" w:colLast="0"/>
      <w:bookmarkEnd w:id="4"/>
      <w:r>
        <w:rPr>
          <w:rFonts w:ascii="Times New Roman" w:eastAsia="Times New Roman" w:hAnsi="Times New Roman" w:cs="Times New Roman"/>
          <w:sz w:val="24"/>
          <w:szCs w:val="24"/>
        </w:rPr>
        <w:t xml:space="preserve">For Wood Thrush BRTs, categorical land cover data were obtained from Landsat satellite data (30-m resolution) by Agriculture Canada (AAFC 2021) for the years 2011, 2015, 2020. These land cover data were used because of their recent origin and greater accuracy in representing forest and shrubland cover within agricultural and urban areas of eastern Canada. </w:t>
      </w:r>
      <w:r>
        <w:rPr>
          <w:rFonts w:ascii="Times New Roman" w:eastAsia="Times New Roman" w:hAnsi="Times New Roman" w:cs="Times New Roman"/>
          <w:sz w:val="24"/>
          <w:szCs w:val="24"/>
        </w:rPr>
        <w:lastRenderedPageBreak/>
        <w:t xml:space="preserve">To get a “local” estimate for each land cover type of interest (barren ground, coniferous forest, all cultivated land, deciduous forest, grassland, mixed-wood forest, orchards, shrubland, urban land, open water, all wetland), binary </w:t>
      </w:r>
      <w:proofErr w:type="spellStart"/>
      <w:r>
        <w:rPr>
          <w:rFonts w:ascii="Times New Roman" w:eastAsia="Times New Roman" w:hAnsi="Times New Roman" w:cs="Times New Roman"/>
          <w:sz w:val="24"/>
          <w:szCs w:val="24"/>
        </w:rPr>
        <w:t>rasters</w:t>
      </w:r>
      <w:proofErr w:type="spellEnd"/>
      <w:r>
        <w:rPr>
          <w:rFonts w:ascii="Times New Roman" w:eastAsia="Times New Roman" w:hAnsi="Times New Roman" w:cs="Times New Roman"/>
          <w:sz w:val="24"/>
          <w:szCs w:val="24"/>
        </w:rPr>
        <w:t xml:space="preserve"> were generated for each land cover type and Gaussian filtering (“</w:t>
      </w:r>
      <w:proofErr w:type="spellStart"/>
      <w:r>
        <w:rPr>
          <w:rFonts w:ascii="Times New Roman" w:eastAsia="Times New Roman" w:hAnsi="Times New Roman" w:cs="Times New Roman"/>
          <w:sz w:val="24"/>
          <w:szCs w:val="24"/>
        </w:rPr>
        <w:t>focalweight</w:t>
      </w:r>
      <w:proofErr w:type="spellEnd"/>
      <w:r>
        <w:rPr>
          <w:rFonts w:ascii="Times New Roman" w:eastAsia="Times New Roman" w:hAnsi="Times New Roman" w:cs="Times New Roman"/>
          <w:sz w:val="24"/>
          <w:szCs w:val="24"/>
        </w:rPr>
        <w:t>” function in “raster” package [</w:t>
      </w:r>
      <w:proofErr w:type="spellStart"/>
      <w:r>
        <w:rPr>
          <w:rFonts w:ascii="Times New Roman" w:eastAsia="Times New Roman" w:hAnsi="Times New Roman" w:cs="Times New Roman"/>
          <w:sz w:val="24"/>
          <w:szCs w:val="24"/>
        </w:rPr>
        <w:t>Hijmans</w:t>
      </w:r>
      <w:proofErr w:type="spellEnd"/>
      <w:r>
        <w:rPr>
          <w:rFonts w:ascii="Times New Roman" w:eastAsia="Times New Roman" w:hAnsi="Times New Roman" w:cs="Times New Roman"/>
          <w:sz w:val="24"/>
          <w:szCs w:val="24"/>
        </w:rPr>
        <w:t xml:space="preserve"> et al. 2015]) was used to estimate the proportion of each land cover type within 150 m of each pixel (Chandler and </w:t>
      </w:r>
      <w:proofErr w:type="spellStart"/>
      <w:r>
        <w:rPr>
          <w:rFonts w:ascii="Times New Roman" w:eastAsia="Times New Roman" w:hAnsi="Times New Roman" w:cs="Times New Roman"/>
          <w:sz w:val="24"/>
          <w:szCs w:val="24"/>
        </w:rPr>
        <w:t>Hepinstall-Cymerman</w:t>
      </w:r>
      <w:proofErr w:type="spellEnd"/>
      <w:r>
        <w:rPr>
          <w:rFonts w:ascii="Times New Roman" w:eastAsia="Times New Roman" w:hAnsi="Times New Roman" w:cs="Times New Roman"/>
          <w:sz w:val="24"/>
          <w:szCs w:val="24"/>
        </w:rPr>
        <w:t xml:space="preserve"> 2016). These proportions were then resampled and averaged at coarser resolution (150 m) to speed up processing, then additional Gaussian filtering was performed to obtain average land cover proportions within 250, 1000, and 2000 m of each pixel. Finally, land cover proportions at 150, 250, 1000, and 2000 m were resampled to 250-m resolution to enable stacking of these raster layers with other layers. The spatial scales at which land cover was averaged were based on the scales at which Wood Thrush was observed to respond to forest structure and cover in previous studies</w:t>
      </w:r>
      <w:r w:rsidR="00777D0C">
        <w:rPr>
          <w:rFonts w:ascii="Times New Roman" w:eastAsia="Times New Roman" w:hAnsi="Times New Roman" w:cs="Times New Roman"/>
          <w:sz w:val="24"/>
          <w:szCs w:val="24"/>
        </w:rPr>
        <w:t xml:space="preserve"> </w:t>
      </w:r>
      <w:r w:rsidR="00777D0C">
        <w:rPr>
          <w:rFonts w:ascii="Times New Roman" w:eastAsia="Times New Roman" w:hAnsi="Times New Roman" w:cs="Times New Roman"/>
          <w:sz w:val="24"/>
          <w:szCs w:val="24"/>
        </w:rPr>
        <w:fldChar w:fldCharType="begin"/>
      </w:r>
      <w:r w:rsidR="00777D0C">
        <w:rPr>
          <w:rFonts w:ascii="Times New Roman" w:eastAsia="Times New Roman" w:hAnsi="Times New Roman" w:cs="Times New Roman"/>
          <w:sz w:val="24"/>
          <w:szCs w:val="24"/>
        </w:rPr>
        <w:instrText xml:space="preserve"> ADDIN ZOTERO_ITEM CSL_CITATION {"citationID":"lQQskXgM","properties":{"formattedCitation":"(Burke and Nol 2000; Austen et al. 2001; Lee et al. 2002; Driscoll et al. 2005; Richmond et al. 2012; Bonnot et al. 2013)","plainCitation":"(Burke and Nol 2000; Austen et al. 2001; Lee et al. 2002; Driscoll et al. 2005; Richmond et al. 2012; Bonnot et al. 2013)","noteIndex":0},"citationItems":[{"id":293,"uris":["http://zotero.org/groups/4916363/items/6B49Z5XM"],"itemData":{"id":293,"type":"article-journal","abstract":"To determine the minimum size requirements and influence of landscape context on reproductive success of forest-breeding songbirds, we monitored nesting success of five species of songbirds on 40 fragments (12–2350 ha in total woodlot size) and two continuous forest sites in south-central Ontario from 1994 through 1997. Woodlot size was the most important variable contributing to differences in reproductive success, with local forest cover (within a 10-km radius) having no significant additional effect on productivity for any species. For all species, except Red-eyed Vireo (Vireo olivaceous), adult female reproductive success was at or above replacement levels in large fragments (mean of 121 ha core area, 849 ha woodlot area) and continuous forest, and below replacement levels in small fragments (mean of 7.8 ha core area, 93 ha woodlot area). Red-eyed Vireo productivity was particularly low, with single-brooded females unable to maintain populations in any woodlots monitored, although populations were close to replacement levels in continuous forest. Only the very largest fragments acted as sources for Ovenbird (Seiurus aurocapillus) and Wood Thrush (Hylocichla mustelina) (i.e., &gt;23 ha in core area, 225 ha in total woodlot area). Ovenbird and Wood Thrush were the most area-sensitive, and Rose-breasted Grosbeak (Pheucticus ludovicianus) and Veery (Catharus fuscens) the least, although all four species had significantly lower reproductive success in small as compared to large forest fragments. Reproductive success of Rose-breasted Grosbeaks and Veery were similar in large forest fragments and continuous forest and were close to maintenance levels in small fragments, despite published reports of significant declines that might be attributable to poor productivity. Nest predation was the major cause of nest failure, with brood parasitism by Brown-headed Cowbirds (Molothrus ater) further reducing the number of host young fledged from Ovenbird and Red-eyed Vireo nests. Parasitism rates on the remaining species were very low and not analyzed statistically. Local forest cover had little effect on predation rate or rate of parasitism by Brown-headed Cowbirds. Although local forest cover had little effect on reproductive success within fragmented landscapes, nest success was significantly higher in continuous forest than in all fragments combined for both Ovenbird and Red-eyed Vireo. Our data show a poor agreement with Breeding Bird Survey population trend estimates for Ontario between 1986 and 1996. As only 1% of the forest fragments locally available are large enough to function as source habitats, we strongly advocate their preservation. We recommend preservation of forest tracts at least 500 ha in size, particularly woodlots with &gt;90 ha in core area, to function as sources that will help guard against population declines on a local scale.","container-title":"Ecological Applications","DOI":"10.1890/1051-0761(2000)010[1749:LAFSEO]2.0.CO;2","ISSN":"1939-5582","issue":"6","language":"en","note":"_eprint: https://onlinelibrary.wiley.com/doi/pdf/10.1890/1051-0761%282000%29010%5B1749%3ALAFSEO%5D2.0.CO%3B2","page":"1749-1761","source":"Wiley Online Library","title":"Landscape and Fragment Size Effects on Reproductive Success of Forest-Breeding Birds in Ontario","volume":"10","author":[{"family":"Burke","given":"D. M."},{"family":"Nol","given":"E."}],"issued":{"date-parts":[["2000"]]}}},{"id":281,"uris":["http://zotero.org/groups/4916363/items/5BYGZDNJ"],"itemData":{"id":281,"type":"article-journal","abstract":"We examined the effects of patch size, local forest cover, and regional forest cover on the numbers and species composition of forest birds detected during fixed-radius point counts in 287 forest patches in four replicate study areas in southern Ontario. Each study area consisted of two subareas differing in regional forest cover. The number of forest-interior species (as classified from the literature) detected per count, after controlling for forest patch size, tended to be higher in subareas with greater regional forest cover, but this effect was much stronger in some study areas than others. In contrast, numbers of edge species and interior-edge generalists were higher in subareas with lower regional forest cover. Within study areas, the number of forest-interior species increased and edge species decreased with both woodlot size and core area (amount of forest &amp;gt;100 m from an edge), but total species diversity at a point was relatively unaffected. Analyses of individual species generally corroborated the patterns, except that some so-called interior-edge generalists were more likely to be detected in large woodlots, while others were more likely in small woodlots. There was a tendency for the loss of forest-interior species with decreasing woodlot size to be greatest in subareas with low regional forest cover. In the context of highly fragmented landscapes such as southern Ontario, where many forest-dependent species have become rare, forest conservation should focus on protecting or restoring larger forest tracts in areas with substantial remaining regional forest cover.Efectos del Contexto del Paisaje y la Fragmentación sobre Aves de Bosque en el Sur de OntarioResumen.  Examinamos el efecto del tamaño de parches y de la cobertura de bosque a escalas local y regional sobre el número y composición de especies de aves de bosque. Las aves fueron detectadas mediante puntos de conteo de radio fijo en 287 parches de bosque, en cuatro áreas de estudio replicadas en el sur de Ontario. Cada área de estudio consistió en dos sub-áreas, las que se diferenciaron en la cantidad de cobertura regional de bosque. Luego de controlar por el área de los parches, el número de especies de interior de bosque (clasificadas según la literatura) detectadas por conteo tendió a ser mayor en sub-áreas con mayor cobertura regional de bosque. Sin embargo, este efecto fue mucho mayor en algunas áreas de estudio que en otras. En contraste, los números de especies de borde y especies generalistas de borde-interior fueron mayores en las sub-áreas con menor cobertura regional de bosque. Dentro de cada área de estudio, el número de especies de interior de bosque aumentó y el número de especies de borde disminuyó con el aumento del tamaño y del área nucleo (cantidad de bosque a &amp;gt;100 m del borde) de los fragmentos de bosque, pero la diversidad total de especies en un punto no se vió relativamente afectada. Los análisis individuales por especie corroboraron los patrones observados, exceptuando que alguna especies llamadas generalistas de borde-interior tuvieron una mayor probabilidad de ser detectadas en fragmentos grandes, mientras que otras tuvieron mayor probabilidad en fragmentos pequeños. La tendencia más marcada a perder especies de interior de bosque con la reducción del área de los fragmentos ocurrió en las sub-áreas con baja cobertura regional de bosque. En paisajes en un contexto altamente fragmentado tales como en el sur de Ontario, donde muchas especies dependientes de bosque se han tornado escasas, la conservación de bosques debiera estar enfocada a la protección o restauración de grandes extenciones de bosque en áreas donde la cobertura regional de bosque es aún substancial.","container-title":"The Condor","DOI":"10.1093/condor/103.4.701","ISSN":"1938-5129","issue":"4","journalAbbreviation":"The Condor","page":"701-714","source":"Silverchair","title":"Landscape Context and Fragmentation Effects on Forest Birds in Southern Ontario","volume":"103","author":[{"family":"Austen","given":"Madeline J. W."},{"family":"Francis","given":"Charles M."},{"family":"Burke","given":"Dawn M."},{"family":"Bradstreet","given":"Michael S. W."}],"issued":{"date-parts":[["2001",11,1]]}}},{"id":306,"uris":["http://zotero.org/groups/4916363/items/WA9NB4L8"],"itemData":{"id":306,"type":"article-journal","abstract":"The management and protection of natural areas have primarily occurred in isolation from surrounding land management. The structure of surrounding land cover, however, may be important to the abundance and reproductive success of birds within a habitat patch. We investigated the relative importance of forest patch area, within patch habitat and surrounding landscape forest cover on the abundance of three Neotropical migrant bird species thought to be area-sensitive (ovenbird [Seiurus aurocapillus], wood thrush [Hylocichla mustelina] and red-eyed vireo [Vireo olivaceus]), and on pairing success of the ovenbird. We selected 31 isolated forest patches of differing sizes, and three 80-ha plots in continuous forest each centered within non-overlapping 200-ha landscapes, such that patch area and landscape forest cover were uncorrelated among landscapes. Each study plot was surveyed to estimate abundances of territorial males and ovenbird pairing success. Landscape forest cover (p&lt;0.05) explained the most variation in ovenbird abundance, while percent deciduous forest cover within patches (p&lt;0.05) and patch size (p&lt;0.05) explained the most variation in red-eyed vireo and wood thrush abundance, respectively. Patch size was a significant (p&lt;0.05) predictor of abundance for all three study species; however, density for all species decreased significantly (p&lt;0.05) with patch size. Ovenbird pairing success was higher in continuous forest plots than in forest patches (p=0.018). This study's findings suggest that the relative importance of within patch characteristics, patch size and landscape forest cover varies for different bird species, and that conservation efforts would benefit from the inclusion of all three factors.","container-title":"Oikos","DOI":"10.1034/j.1600-0706.2002.960112.x","ISSN":"1600-0706","issue":"1","language":"en","note":"_eprint: https://onlinelibrary.wiley.com/doi/pdf/10.1034/j.1600-0706.2002.960112.x","page":"110-118","source":"Wiley Online Library","title":"Importance of patch scale vs landscape scale on selected forest birds","volume":"96","author":[{"family":"Lee","given":"Michelle"},{"family":"Fahrig","given":"Lenore"},{"family":"Freemark","given":"Kathryn"},{"family":"Currie","given":"David J."}],"issued":{"date-parts":[["2002"]]}}},{"id":297,"uris":["http://zotero.org/groups/4916363/items/BCBYALR2"],"itemData":{"id":297,"type":"article-journal","abstract":"We collected data on 212 wood thrush (Hylocichla mustelina) nests in central New York from 1998 to 2000 to determine the factors that most strongly influence nest success. We used an information–theoretic approach to assess and rank 9 models that examined the relationship between nest success (i.e., the probability that a nest would successfully fledge at least 1 wood thrush offspring) and habitat conditions at different spatial scales. We found that 4 variables were significant predictors of nesting success for wood thrushes: (1) total core habitat within 5 km of a study site, (2) distance to forest–field edge, (3) total forest cover within 5 km of the study site, and (4) density and variation in diameter of trees and shrubs surrounding the nest. The coefficients of these predictors were all positive. Of the 9 models evaluated, amount of core habitat in the 5-km landscape was the best-fit model, but the vegetation structure model (i.e., the density of trees and stems surrounding a nest) was also supported by the data. Based on AIC weights, enhancement of core area is likely to be a more effective management option than any other habitat-management options explored in this study. Bootstrap analysis generally confirmed these results; core and vegetation structure models were ranked 1, 2, or 3 in over 50% of 1,000 bootstrap trials. However, bootstrap results did not point to a decisive model, which suggests that multiple habitat factors are influencing wood thrush nesting success. Due to model uncertainty, we used a model averaging approach to predict the success or failure of each nest in our dataset. This averaged model was able to correctly predict 61.1% of nest outcomes.","container-title":"The Journal of Wildlife Management","DOI":"10.2193/0022-541X(2005)069[0699:DOWTNS]2.0.CO;2","ISSN":"1937-2817","issue":"2","language":"en","note":"_eprint: https://onlinelibrary.wiley.com/doi/pdf/10.2193/0022-541X%282005%29069%5B0699%3ADOWTNS%5D2.0.CO%3B2","page":"699-709","source":"Wiley Online Library","title":"Determinants of Wood Thrush Nest Success: A Multi-Scale, Model Selection Approach","title-short":"Determinants of Wood Thrush Nest Success","volume":"69","author":[{"family":"Driscoll","given":"Melanie J. L."},{"family":"Donovan","given":"Therese"},{"family":"Mickey","given":"Ruth"},{"family":"Howard","given":"Alan"},{"family":"Fleming","given":"Kathleen K."}],"issued":{"date-parts":[["2005"]]}}},{"id":315,"uris":["http://zotero.org/groups/4916363/items/Z3YZ4CDF"],"itemData":{"id":315,"type":"article-journal","abstract":"Reproductive success of songbirds breeding in forest fragments can be influenced by local habitat characteristics and by anthropogenic land uses in the surrounding matrix such as exurban development and agriculture. Effectively managing these songbirds requires an understanding of which spatial scales most strongly influence their demography. We conducted a multiscale study to investigate the relative influence of local vegetation characteristics and landscape composition at two spatial scales (100 and 2000 m) in a predominantly agricultural landscape on songbird demography. Density, pairing success, nest success, and productivity were assessed for Ovenbirds (Seiurus aurocapilla (L., 1766)), Wood Thrush (Hylocichla mustelina (J.F. Gmelin, 1789)), and American Robins (Turdus migratorius L., 1766) in 16 deciduous forest fragments in southeastern Ontario. Demography of Ovenbirds was most strongly associated with local vegetation characteristics, while demography of Wood Thrush and American Robins was most strongly related to landscape composition within a 2000 m buffer. For all three species, cross-scale correlations influenced nest success, although other demographic parameters were less affected. We conclude that relationships between local- and landscape-scale metrics and songbird demography are complex, species-specific, and differ among reproductive parameters, necessitating a multiscale approach to management.","container-title":"Canadian Journal of Zoology","DOI":"10.1139/z2012-051","ISSN":"0008-4301","issue":"7","journalAbbreviation":"Can. J. Zool.","note":"publisher: NRC Research Press","page":"815-828","source":"cdnsciencepub.com (Atypon)","title":"Local- versus landscape-scale effects on the demography of three forest-breeding songbirds in Ontario, Canada","volume":"90","author":[{"family":"Richmond","given":"S."},{"family":"Nol","given":"E."},{"family":"Burke","given":"D."}],"issued":{"date-parts":[["2012",7]]}}},{"id":288,"uris":["http://zotero.org/groups/4916363/items/UBS6JH2W"],"itemData":{"id":288,"type":"article-journal","abstract":"Efforts to conserve regional biodiversity in the face of global climate change, habitat loss and fragmentation will depend on approaches that consider population processes at multiple scales. By combining habitat and demographic modeling, landscape-based population viability models effectively relate small-scale habitat and landscape patterns to regional population viability. We demonstrate the power of landscape-based population viability models to inform conservation planning by using these models to evaluate responses of prairie warbler (Dendroica discolor) and wood thrush (Hylocichla mustelina) populations in the Central Hardwoods Bird Conservation Region to simulated conservation scenarios. We assessed the relative effectiveness of habitat restoration, afforestation, and increased survival and differed placement and levels of effort for implementing those approaches. Population projections of the two species confirmed the potential for large-scale conservation to sustain regional populations. For example, abundances of prairie warblers and wood thrush tripled under afforestation and increased survival scenarios, respectively. Furthermore, responses to conservation actions were driven by interacting local and large-scale population processes such as source–sink interactions and dispersal. Relying on randomly placed habitat conservation was ineffective and potentially counterproductive whereas strategic placements resulted in greater populations and viability of prairie warbler and wood thrush. These models offer a valuable advance in conservation planning because they allow an understanding of the effects of local actions on regional growth, which is necessary for translating regional goals into local actions.","container-title":"Biological Conservation","DOI":"10.1016/j.biocon.2013.05.010","ISSN":"0006-3207","journalAbbreviation":"Biological Conservation","language":"en","page":"104-114","source":"ScienceDirect","title":"Landscape-based population viability models demonstrate importance of strategic conservation planning for birds","volume":"165","author":[{"family":"Bonnot","given":"Thomas W."},{"family":"Thompson","given":"Frank R."},{"family":"Millspaugh","given":"Joshua J."},{"family":"Jones-Farrand","given":"D. Todd"}],"issued":{"date-parts":[["2013",9,1]]}}}],"schema":"https://github.com/citation-style-language/schema/raw/master/csl-citation.json"} </w:instrText>
      </w:r>
      <w:r w:rsidR="00777D0C">
        <w:rPr>
          <w:rFonts w:ascii="Times New Roman" w:eastAsia="Times New Roman" w:hAnsi="Times New Roman" w:cs="Times New Roman"/>
          <w:sz w:val="24"/>
          <w:szCs w:val="24"/>
        </w:rPr>
        <w:fldChar w:fldCharType="separate"/>
      </w:r>
      <w:r w:rsidR="00777D0C" w:rsidRPr="00777D0C">
        <w:rPr>
          <w:rFonts w:ascii="Times New Roman" w:hAnsi="Times New Roman" w:cs="Times New Roman"/>
          <w:sz w:val="24"/>
        </w:rPr>
        <w:t>(Burke and Nol 2000; Austen et al. 2001; Lee et al. 2002; Driscoll et al. 2005; Richmond et al. 2012; Bonnot et al. 2013)</w:t>
      </w:r>
      <w:r w:rsidR="00777D0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(Table S2.2).</w:t>
      </w:r>
    </w:p>
    <w:p w14:paraId="0DDD5884" w14:textId="77777777" w:rsidR="00AA57B0"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Wood Thrush will use swamps as habitat separate from other wetland types, and the Agriculture Canada Landsat products may misidentify swamps as shrubland. Thus, a 30-m swamp raster layer was generated from separate provincial sources in which swamps could be distinguished from other wetland types. Depending on the source (Table S2.2), pixels were classified as swamps in the original raster (Ontario Land Cover Compilation v.2.0 2016) or forested wetlands shapefiles (New Brunswick Department of Environment and Local Government 2021) or swamps were identified as locations where forested shapefile polygons intersected with wetland polygons (Nova Scotia Forest Inventory 2021, Nova Scotia Wetlands Inventory 2021). Once a 30-m raster layer was generated for each province in ArcGIS, then the same Gaussian filtering operations were performed on each provincial swamp raster as done for the Agriculture Canada Layers to generate raster layers of the proportions of swamp within 150, 250, 1000, and 2000 m of each pixel at 250-m resolution. These proportions were independent of the land cover proportions measured at each spatial scale (Table S2.2).</w:t>
      </w:r>
    </w:p>
    <w:p w14:paraId="7F9970BA" w14:textId="77777777" w:rsidR="00AA57B0"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Forest stand age and biomass (branch, foliage, woody stem, bark, total dead, total live aboveground) were extrapolated from satellite data from 2001 and 2011 at 250-m resolution (Beaudoin et al. 2014), clipped to each region and extracted to point counts based on survey year (1993-2005 [N=145,957]; 2006-2020 [N=170,284]). The “local” estimates for stand age (#years since stand origin) and different fractions of live aboveground and dead biomass (tonnes/ha) were extracted from each 250-m pixel, then Gaussian filtering was used to estimate the average stand age and biomass within approximately 250, 1000, and 2000 m of each pixel (Table S2.2).</w:t>
      </w:r>
    </w:p>
    <w:p w14:paraId="3C86994A" w14:textId="77777777" w:rsidR="00AA57B0" w:rsidRPr="00B115F7" w:rsidRDefault="00000000" w:rsidP="00B115F7">
      <w:pPr>
        <w:pStyle w:val="Heading2"/>
        <w:rPr>
          <w:rFonts w:ascii="Times New Roman" w:hAnsi="Times New Roman" w:cs="Times New Roman"/>
          <w:sz w:val="24"/>
          <w:szCs w:val="24"/>
        </w:rPr>
      </w:pPr>
      <w:r w:rsidRPr="00B115F7">
        <w:rPr>
          <w:rFonts w:ascii="Times New Roman" w:hAnsi="Times New Roman" w:cs="Times New Roman"/>
          <w:sz w:val="24"/>
          <w:szCs w:val="24"/>
        </w:rPr>
        <w:t>Models</w:t>
      </w:r>
    </w:p>
    <w:p w14:paraId="12B38055" w14:textId="77777777" w:rsidR="00AA57B0" w:rsidRPr="00B115F7" w:rsidRDefault="00000000" w:rsidP="00B115F7">
      <w:pPr>
        <w:rPr>
          <w:rFonts w:ascii="Times New Roman" w:hAnsi="Times New Roman" w:cs="Times New Roman"/>
          <w:sz w:val="24"/>
          <w:szCs w:val="24"/>
        </w:rPr>
      </w:pPr>
      <w:r w:rsidRPr="00B115F7">
        <w:rPr>
          <w:rFonts w:ascii="Times New Roman" w:hAnsi="Times New Roman" w:cs="Times New Roman"/>
          <w:sz w:val="24"/>
          <w:szCs w:val="24"/>
        </w:rPr>
        <w:t xml:space="preserve">For Canada Warbler, separately in Alberta and northern Nova Scotia, we ran 5 BRT models differing in the potential predictors that were used. One BRT (the “full model”) included predictors at all three spatial scales. Output from the full-model BRT was examined to determine the scale for each predictor that had the largest relative importance in predicting abundance of each species in the point counts. The second BRT (the “selected scales model”) used just the single most important scale for each vegetation or terrain variable. The third BRT (the “cell level model”) just used the cell-level predictor for each vegetation or terrain variable, while the fourth </w:t>
      </w:r>
      <w:r w:rsidRPr="00B115F7">
        <w:rPr>
          <w:rFonts w:ascii="Times New Roman" w:hAnsi="Times New Roman" w:cs="Times New Roman"/>
          <w:sz w:val="24"/>
          <w:szCs w:val="24"/>
        </w:rPr>
        <w:lastRenderedPageBreak/>
        <w:t xml:space="preserve">and fifth BRTs (the “GF250 model” and “GF750 model”) just used respectively the landscape scale predictors for each vegetation or terrain variable resulting from the 250-m and 750-m Gaussian filters. </w:t>
      </w:r>
    </w:p>
    <w:p w14:paraId="0B4EE532" w14:textId="77777777" w:rsidR="00AA57B0" w:rsidRPr="00B115F7" w:rsidRDefault="00000000" w:rsidP="00B115F7">
      <w:pPr>
        <w:ind w:firstLine="720"/>
        <w:rPr>
          <w:rFonts w:ascii="Times New Roman" w:hAnsi="Times New Roman" w:cs="Times New Roman"/>
          <w:sz w:val="24"/>
          <w:szCs w:val="24"/>
        </w:rPr>
      </w:pPr>
      <w:r w:rsidRPr="00B115F7">
        <w:rPr>
          <w:rFonts w:ascii="Times New Roman" w:hAnsi="Times New Roman" w:cs="Times New Roman"/>
          <w:sz w:val="24"/>
          <w:szCs w:val="24"/>
        </w:rPr>
        <w:t>For Wood Thrush throughout eastern Canada, we first ran 6 BRT models differing in the potential predictors that were used. One BRT (the “full model”) included land cover, forest age, forest biomass, and swamp predictors at four spatial scales (cell-level, 250, 1000, 2000 m). Output from the full-model BRT was examined to determine the scale for each predictor that had the largest relative importance in predicting abundance of each species in the point counts. The second BRT (the “selected scales model”) used just the single most important scale for each land cover, forest age, forest biomass, and swamp variable. The third BRT (the “local model”) just used the cell-level predictor for each land cover, forest age, forest biomass, and swamp variable, while the fourth, fifth, and sixth BRTs (the “GF250 model”, “GF1000 model” and “GF2000 model”) just used respectively the landscape scale predictors for each land cover, forest age, forest biomass, and swamp variable resulting from the 250, 1000, and 2000-m Gaussian filters. All BRTs also included elevation, slope, TRI, TPI, whether a point count was within 150 m of any road, and whether a point count was within 150 m of a major road (Table 2). The final BRT model selected from these models was used to predict current Wood Thrush density and distribution in southern Quebec, New Brunswick, and Nova Scotia, along with changes in density and distribution over time in Landis II land use scenarios (Leston 2022).</w:t>
      </w:r>
    </w:p>
    <w:p w14:paraId="6CBB57FF" w14:textId="2018447D" w:rsidR="00AA57B0" w:rsidRPr="00B115F7" w:rsidRDefault="00000000" w:rsidP="00B115F7">
      <w:pPr>
        <w:ind w:firstLine="720"/>
        <w:rPr>
          <w:rFonts w:ascii="Times New Roman" w:hAnsi="Times New Roman" w:cs="Times New Roman"/>
          <w:sz w:val="24"/>
          <w:szCs w:val="24"/>
        </w:rPr>
      </w:pPr>
      <w:bookmarkStart w:id="5" w:name="_heading=h.44sinio" w:colFirst="0" w:colLast="0"/>
      <w:bookmarkEnd w:id="5"/>
      <w:r w:rsidRPr="00B115F7">
        <w:rPr>
          <w:rFonts w:ascii="Times New Roman" w:hAnsi="Times New Roman" w:cs="Times New Roman"/>
          <w:sz w:val="24"/>
          <w:szCs w:val="24"/>
        </w:rPr>
        <w:t>The Wood Thrush also occurs in southern Ontario where we lacked the necessary parameters for Landis-II to simulate changes in tree species biomass within the Wood Thrush’s range in southern Ontario. Instead, we used another program called ALCES Online (</w:t>
      </w:r>
      <w:hyperlink r:id="rId6" w:history="1">
        <w:r w:rsidR="00777D0C" w:rsidRPr="00B115F7">
          <w:rPr>
            <w:rStyle w:val="Hyperlink"/>
            <w:rFonts w:ascii="Times New Roman" w:eastAsia="Times New Roman" w:hAnsi="Times New Roman" w:cs="Times New Roman"/>
            <w:sz w:val="24"/>
            <w:szCs w:val="24"/>
          </w:rPr>
          <w:t>https://www.online.alces.ca/</w:t>
        </w:r>
      </w:hyperlink>
      <w:r w:rsidRPr="00B115F7">
        <w:rPr>
          <w:rFonts w:ascii="Times New Roman" w:hAnsi="Times New Roman" w:cs="Times New Roman"/>
          <w:sz w:val="24"/>
          <w:szCs w:val="24"/>
        </w:rPr>
        <w:t>)</w:t>
      </w:r>
      <w:r w:rsidR="00777D0C" w:rsidRPr="00B115F7">
        <w:rPr>
          <w:rFonts w:ascii="Times New Roman" w:hAnsi="Times New Roman" w:cs="Times New Roman"/>
          <w:sz w:val="24"/>
          <w:szCs w:val="24"/>
        </w:rPr>
        <w:t xml:space="preserve"> </w:t>
      </w:r>
      <w:r w:rsidRPr="00B115F7">
        <w:rPr>
          <w:rFonts w:ascii="Times New Roman" w:hAnsi="Times New Roman" w:cs="Times New Roman"/>
          <w:sz w:val="24"/>
          <w:szCs w:val="24"/>
        </w:rPr>
        <w:t xml:space="preserve">to simulate land use change in Ontario without accounting for tree species biomass or effects on forest succession and disturbance due to climate change </w:t>
      </w:r>
      <w:r w:rsidR="00777D0C" w:rsidRPr="00B115F7">
        <w:rPr>
          <w:rFonts w:ascii="Times New Roman" w:hAnsi="Times New Roman" w:cs="Times New Roman"/>
          <w:sz w:val="24"/>
          <w:szCs w:val="24"/>
        </w:rPr>
        <w:t xml:space="preserve">(Carlson et al. 2014; </w:t>
      </w:r>
      <w:r w:rsidR="00777D0C" w:rsidRPr="00B115F7">
        <w:rPr>
          <w:rFonts w:ascii="Times New Roman" w:hAnsi="Times New Roman" w:cs="Times New Roman"/>
          <w:sz w:val="24"/>
          <w:szCs w:val="24"/>
        </w:rPr>
        <w:fldChar w:fldCharType="begin"/>
      </w:r>
      <w:r w:rsidR="00777D0C" w:rsidRPr="00B115F7">
        <w:rPr>
          <w:rFonts w:ascii="Times New Roman" w:hAnsi="Times New Roman" w:cs="Times New Roman"/>
          <w:sz w:val="24"/>
          <w:szCs w:val="24"/>
        </w:rPr>
        <w:instrText xml:space="preserve"> ADDIN ZOTERO_ITEM CSL_CITATION {"citationID":"9DQrtoK9","properties":{"formattedCitation":"(Carlson and Stelfox 2014; Carlson et al. 2019; Leston et al. 2020)","plainCitation":"(Carlson and Stelfox 2014; Carlson et al. 2019; Leston et al. 2020)","noteIndex":0},"citationItems":[{"id":108,"uris":["http://zotero.org/groups/4916363/items/ZXJ3I99M"],"itemData":{"id":108,"type":"chapter","abstract":"The vast majority of Alberta’s oil sands are yet to be developed due to the high cost of production, but declining conventional reserves will create high pressure to develop the resource. Simulation of the potential future effects of accelerated oil sands development demonstrates that associated increases in landscape disturbance, human access, and industrial activity would increase GHG emissions and elevate risk to fish and wildlife. These impacts can be reduced but not avoided by improving management practices and limiting non‐industrial access. Expansion of the protected areas network is an additional mechanism to reduce environmental risk, and the aggregated distribution of bitumen deposits provides opportunities for cost–effective protection. The greatest land‐use planning challenge presented by the oil sands is environmental values that are in direct conflict with oil sands production such as reducing greenhouse gas emissions or conserving wildlife such as caribou whose distribution overlaps bitumen deposits. A land’use plan has been developed for the region with the objective of optimizing the economic potential of the oil sands while also maintaining ecosystem function, biodiversity, and human health. If the land’use plan is implemented in its entirety, including the establishment of thresholds to limit land use within bounds of ecological integrity, it may provide a model for sustainable development of hydrocarbon reserves.","container-title":"Peak Oil, Economic Growth, and Wildlife Conservation","event-place":"New York, NY","ISBN":"978-1-4939-1954-3","language":"en","note":"DOI: 10.1007/978-1-4939-1954-3_11","page":"219-244","publisher":"Springer","publisher-place":"New York, NY","source":"Springer Link","title":"Alberta Oil Sands Development and Risk Management of Canadian Boreal Ecosystems","URL":"https://doi.org/10.1007/978-1-4939-1954-3_11","author":[{"family":"Carlson","given":"Matthew"},{"family":"Stelfox","given":"J. Brad"}],"editor":[{"family":"Gates","given":"J. Edward"},{"family":"Trauger","given":"David L."},{"family":"Czech","given":"Brian"}],"accessed":{"date-parts":[["2023",2,1]]},"issued":{"date-parts":[["2014"]]}}},{"id":110,"uris":["http://zotero.org/groups/4916363/items/DWAPQZS6"],"itemData":{"id":110,"type":"article-journal","abstract":"Avoided ecological loss is an appropriate measure of conservation effectiveness, but challenging to measure because it requires consideration of counterfactual conditions. Land-use simulation is a well suited but underutilized tool in this regard. As a case study for the application of land-use simulation to assess the impact of protected areas, we present a scenario analysis exploring conservation options in Canada’s western boreal forest. The cumulative effect of multiple natural resource sectors, including oil and gas, forestry, and agriculture, have substantially altered the region’s ecosystems in recent decades and elevated risk to wildlife. The evolving state of the region is such that managing risks to biodiversity requires consideration of not only today’s but also tomorrow’s conditions. We simulated the long-term (50-year) outcomes of land use and protection to caribou, fisher, fish, and resource production in each of 104 watersheds in the 693,345 km2 study area. Simulated land use caused increased risk to wildlife in response to northwards expansion of resource extraction and expansion of agricultural lands. For each watershed, indicator performance with and without protection were compared to calculate the benefit (avoided ecological loss) and cost (lost opportunity for resource production) of protection. The capacity for protected areas to avoid disturbance varied substantially across watersheds, as did the potential loss of economic opportunity. Focusing protection on cost-effective watersheds made protected area expansion a more efficient strategy for reducing wildlife risk than reducing the overall rate of natural resource production. Heterogeneity in the cost-effectiveness of protection presents an opportunity to balance ecological integrity and economic growth.","container-title":"Land Use Policy","DOI":"10.1016/j.landusepol.2019.01.015","ISSN":"0264-8377","journalAbbreviation":"Land Use Policy","language":"en","page":"821-831","source":"ScienceDirect","title":"Application of land-use simulation to protected area selection for efficient avoidance of biodiversity loss in Canada’s western boreal region","volume":"82","author":[{"family":"Carlson","given":"Matt"},{"family":"Browne","given":"David"},{"family":"Callaghan","given":"Carolyn"}],"issued":{"date-parts":[["2019",3,1]]}}},{"id":119,"uris":["http://zotero.org/groups/4916363/items/Q9TUFC7H"],"itemData":{"id":119,"type":"article-journal","abstract":"There is interest in linking outputs from land use simulators to bird species distribution models to project how boreal birds will respond to cumulative effects of caribou (Rangifer tarandus) conservation, harvest, fire, and energy-sector development in Alberta. Our hypotheses were: (1) species associated with older mixed-wood stands would decline more if harvest was shifted away from areas used by caribou to areas with more mixed-wood; and (2) species associated with older forests would be more negatively affected by the combined effects of harvest, fire, and non-forestry footprint than by harvest alone. We used vegetation data from two harvest scenarios produced in Patchworks as inputs for density models of 20 boreal forest songbird and woodpecker species in Alberta. We projected abundance of these species over 50 years under: 1) two scenarios created in Patchworks, without fire but with and without deferral of timber harvest within a caribou conservation zone on lands tenured to Alberta-Pacific Forest Industries Inc.; (2) a scenario with fire but no human footprint; and (3) five scenarios in ALCES Online, in which habitat was affected by Patchworks harvest locations, fire (1–2 × current rate), and energy sector development (present or absent; with or without seismic line reclamation to improve caribou habitat). In the Patchworks scenarios, we found similar projected numbers of each bird species over time, whether harvest deferral occurred or not. Both harvest plans increased habitat and numbers for most species associated with older forests over 50 years, while most species associated with younger forests declined in both harvest plans, because average projected forest age increased over 50 years. Fire and other footprint generally reduced relative amount of habitat for species associated with older forests, which still increased over time, while other species responded positively or less negatively to fire. Seismic restoration created habitat for three-quarters of species that responded negatively to energy sector development over 50 years. As projections depended on whether just harvest, fire or all footprints were analyzed, multiple human impacts over time beyond harvest should be considered in conservation and land use planning based on long-term predictions about wildlife in anthropogenic landscapes.","container-title":"Frontiers in Ecology and Evolution","ISSN":"2296-701X","source":"Frontiers","title":"Quantifying Long-Term Bird Population Responses to Simulated Harvest Plans and Cumulative Effects of Disturbance","URL":"https://www.frontiersin.org/articles/10.3389/fevo.2020.00252","volume":"8","author":[{"family":"Leston","given":"Lionel"},{"family":"Bayne","given":"Erin"},{"family":"Dzus","given":"Elston"},{"family":"Sólymos","given":"Péter"},{"family":"Moore","given":"Tom"},{"family":"Andison","given":"David"},{"family":"Cheyne","given":"Dave"},{"family":"Carlson","given":"Matt"}],"accessed":{"date-parts":[["2023",2,1]]},"issued":{"date-parts":[["2020"]]}}}],"schema":"https://github.com/citation-style-language/schema/raw/master/csl-citation.json"} </w:instrText>
      </w:r>
      <w:r w:rsidR="00777D0C" w:rsidRPr="00B115F7">
        <w:rPr>
          <w:rFonts w:ascii="Times New Roman" w:hAnsi="Times New Roman" w:cs="Times New Roman"/>
          <w:sz w:val="24"/>
          <w:szCs w:val="24"/>
        </w:rPr>
        <w:fldChar w:fldCharType="separate"/>
      </w:r>
      <w:r w:rsidR="00777D0C" w:rsidRPr="00B115F7">
        <w:rPr>
          <w:rFonts w:ascii="Times New Roman" w:hAnsi="Times New Roman" w:cs="Times New Roman"/>
          <w:sz w:val="24"/>
          <w:szCs w:val="24"/>
        </w:rPr>
        <w:t>Carlson and Stelfox 2014; Carlson et al. 2019; Leston et al. 2020)</w:t>
      </w:r>
      <w:r w:rsidR="00777D0C" w:rsidRPr="00B115F7">
        <w:rPr>
          <w:rFonts w:ascii="Times New Roman" w:hAnsi="Times New Roman" w:cs="Times New Roman"/>
          <w:sz w:val="24"/>
          <w:szCs w:val="24"/>
        </w:rPr>
        <w:fldChar w:fldCharType="end"/>
      </w:r>
      <w:r w:rsidRPr="00B115F7">
        <w:rPr>
          <w:rFonts w:ascii="Times New Roman" w:hAnsi="Times New Roman" w:cs="Times New Roman"/>
          <w:sz w:val="24"/>
          <w:szCs w:val="24"/>
        </w:rPr>
        <w:t xml:space="preserve">. </w:t>
      </w:r>
    </w:p>
    <w:p w14:paraId="6A2BD19D" w14:textId="77777777" w:rsidR="00AA57B0" w:rsidRPr="00B115F7" w:rsidRDefault="00000000" w:rsidP="00B115F7">
      <w:pPr>
        <w:ind w:firstLine="720"/>
        <w:rPr>
          <w:rFonts w:ascii="Times New Roman" w:hAnsi="Times New Roman" w:cs="Times New Roman"/>
          <w:sz w:val="24"/>
          <w:szCs w:val="24"/>
        </w:rPr>
      </w:pPr>
      <w:r w:rsidRPr="00B115F7">
        <w:rPr>
          <w:rFonts w:ascii="Times New Roman" w:hAnsi="Times New Roman" w:cs="Times New Roman"/>
          <w:sz w:val="24"/>
          <w:szCs w:val="24"/>
        </w:rPr>
        <w:t>The final BRT model that was selected for predicting future Wood Thrush density and distribution elsewhere in eastern Canada was modified in two ways to predict future Wood Thrush density and distribution in Ontario. First, live aboveground biomass was excluded as a predictor, since that variable cannot currently be modeled within ALCES Online. Second, as ALCES Online currently can simulate environmental variables at several resolutions but not at 250-m resolution, all other predictor variables used in the BRT were resampled to 200-m resolution (the closest available resolution in ALCES Online to 250 m), prior to extracting data to point counts and running the BRT (“ALCES 200”) for making predictions from ALCES Online outputs. The same point count data that were available for the final BRT used elsewhere in eastern Canada were potentially available for the “ALCES 200” BRT, meaning that while ALCES Online simulations were only run in Ontario, point counts from the Wood Thrush range in Quebec, New Brunswick and Nova Scotia were also used in the model.</w:t>
      </w:r>
    </w:p>
    <w:p w14:paraId="2E15572B" w14:textId="77777777" w:rsidR="00AA57B0" w:rsidRPr="00B115F7" w:rsidRDefault="00000000" w:rsidP="00B115F7">
      <w:pPr>
        <w:ind w:firstLine="720"/>
        <w:rPr>
          <w:rFonts w:ascii="Times New Roman" w:hAnsi="Times New Roman" w:cs="Times New Roman"/>
          <w:sz w:val="24"/>
          <w:szCs w:val="24"/>
        </w:rPr>
      </w:pPr>
      <w:r w:rsidRPr="00B115F7">
        <w:rPr>
          <w:rFonts w:ascii="Times New Roman" w:hAnsi="Times New Roman" w:cs="Times New Roman"/>
          <w:sz w:val="24"/>
          <w:szCs w:val="24"/>
        </w:rPr>
        <w:t xml:space="preserve">For both Canada Warbler and Wood Thrush, once a final BRT model was selected for predicting density of each species in a specific landscape (Alberta and Nova Scotia management units for Canada Warbler; individual provinces in Eastern Canada for Wood Thrush), that model was rerun 250 times by resampling available point counts for that model. Resampling was done </w:t>
      </w:r>
      <w:r w:rsidRPr="00B115F7">
        <w:rPr>
          <w:rFonts w:ascii="Times New Roman" w:hAnsi="Times New Roman" w:cs="Times New Roman"/>
          <w:sz w:val="24"/>
          <w:szCs w:val="24"/>
        </w:rPr>
        <w:lastRenderedPageBreak/>
        <w:t>to reduce effects of a particular random sample on model results. Replicate samples were used to make spatial predictions on stacked spatial data representing a current landscape or a future landscape. These prediction maps were then summarized (mean, standard deviation, confidence interval) across all replicates for each species and landscape. Current and future populations were estimated as the summed product of predicted density per cell * cell area, across all cells in a landscape.</w:t>
      </w:r>
    </w:p>
    <w:p w14:paraId="03BDCC04" w14:textId="77777777" w:rsidR="00AA57B0" w:rsidRPr="00B115F7" w:rsidRDefault="00AA57B0" w:rsidP="00B115F7">
      <w:pPr>
        <w:rPr>
          <w:rFonts w:ascii="Times New Roman" w:hAnsi="Times New Roman" w:cs="Times New Roman"/>
          <w:sz w:val="24"/>
          <w:szCs w:val="24"/>
        </w:rPr>
      </w:pPr>
    </w:p>
    <w:p w14:paraId="23485C31" w14:textId="77777777" w:rsidR="00AA57B0" w:rsidRPr="00B115F7" w:rsidRDefault="00000000" w:rsidP="00B115F7">
      <w:pPr>
        <w:rPr>
          <w:rFonts w:ascii="Times New Roman" w:hAnsi="Times New Roman" w:cs="Times New Roman"/>
          <w:b/>
          <w:sz w:val="24"/>
          <w:szCs w:val="24"/>
        </w:rPr>
      </w:pPr>
      <w:r w:rsidRPr="00B115F7">
        <w:rPr>
          <w:rFonts w:ascii="Times New Roman" w:hAnsi="Times New Roman" w:cs="Times New Roman"/>
          <w:sz w:val="24"/>
          <w:szCs w:val="24"/>
        </w:rPr>
        <w:t xml:space="preserve">Table S2.2. Description and sources of predictor variables used in boosted regression tree models of Wood Thrush abundance in Canada. </w:t>
      </w:r>
    </w:p>
    <w:p w14:paraId="2A059A1F" w14:textId="77777777" w:rsidR="00AA57B0" w:rsidRPr="00B115F7" w:rsidRDefault="00AA57B0" w:rsidP="00B115F7">
      <w:pPr>
        <w:rPr>
          <w:rFonts w:ascii="Times New Roman" w:hAnsi="Times New Roman" w:cs="Times New Roman"/>
        </w:rPr>
      </w:pPr>
    </w:p>
    <w:tbl>
      <w:tblPr>
        <w:tblStyle w:val="aa"/>
        <w:tblW w:w="93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2"/>
        <w:gridCol w:w="4454"/>
        <w:gridCol w:w="1337"/>
        <w:gridCol w:w="1737"/>
      </w:tblGrid>
      <w:tr w:rsidR="00AA57B0" w:rsidRPr="00B115F7" w14:paraId="63050D3A" w14:textId="77777777">
        <w:tc>
          <w:tcPr>
            <w:tcW w:w="1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F65454" w14:textId="77777777" w:rsidR="00AA57B0" w:rsidRPr="00B115F7" w:rsidRDefault="00000000" w:rsidP="00B115F7">
            <w:pPr>
              <w:rPr>
                <w:rFonts w:ascii="Times New Roman" w:hAnsi="Times New Roman" w:cs="Times New Roman"/>
              </w:rPr>
            </w:pPr>
            <w:r w:rsidRPr="00B115F7">
              <w:rPr>
                <w:rFonts w:ascii="Times New Roman" w:hAnsi="Times New Roman" w:cs="Times New Roman"/>
                <w:b/>
                <w:color w:val="000000"/>
                <w:sz w:val="20"/>
                <w:szCs w:val="20"/>
              </w:rPr>
              <w:t>Variable</w:t>
            </w:r>
          </w:p>
        </w:tc>
        <w:tc>
          <w:tcPr>
            <w:tcW w:w="44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0DF5C8" w14:textId="77777777" w:rsidR="00AA57B0" w:rsidRPr="00B115F7" w:rsidRDefault="00000000" w:rsidP="00B115F7">
            <w:pPr>
              <w:rPr>
                <w:rFonts w:ascii="Times New Roman" w:hAnsi="Times New Roman" w:cs="Times New Roman"/>
              </w:rPr>
            </w:pPr>
            <w:r w:rsidRPr="00B115F7">
              <w:rPr>
                <w:rFonts w:ascii="Times New Roman" w:hAnsi="Times New Roman" w:cs="Times New Roman"/>
                <w:b/>
                <w:color w:val="000000"/>
                <w:sz w:val="20"/>
                <w:szCs w:val="20"/>
              </w:rPr>
              <w:t>Description</w:t>
            </w:r>
          </w:p>
        </w:tc>
        <w:tc>
          <w:tcPr>
            <w:tcW w:w="13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9AB647" w14:textId="77777777" w:rsidR="00AA57B0" w:rsidRPr="00B115F7" w:rsidRDefault="00000000" w:rsidP="00B115F7">
            <w:pPr>
              <w:rPr>
                <w:rFonts w:ascii="Times New Roman" w:hAnsi="Times New Roman" w:cs="Times New Roman"/>
              </w:rPr>
            </w:pPr>
            <w:r w:rsidRPr="00B115F7">
              <w:rPr>
                <w:rFonts w:ascii="Times New Roman" w:hAnsi="Times New Roman" w:cs="Times New Roman"/>
                <w:b/>
                <w:color w:val="000000"/>
                <w:sz w:val="20"/>
                <w:szCs w:val="20"/>
              </w:rPr>
              <w:t>Abbreviation</w:t>
            </w:r>
          </w:p>
        </w:tc>
        <w:tc>
          <w:tcPr>
            <w:tcW w:w="17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4F733E" w14:textId="77777777" w:rsidR="00AA57B0" w:rsidRPr="00B115F7" w:rsidRDefault="00000000" w:rsidP="00B115F7">
            <w:pPr>
              <w:rPr>
                <w:rFonts w:ascii="Times New Roman" w:hAnsi="Times New Roman" w:cs="Times New Roman"/>
              </w:rPr>
            </w:pPr>
            <w:r w:rsidRPr="00B115F7">
              <w:rPr>
                <w:rFonts w:ascii="Times New Roman" w:hAnsi="Times New Roman" w:cs="Times New Roman"/>
                <w:b/>
                <w:color w:val="000000"/>
                <w:sz w:val="20"/>
                <w:szCs w:val="20"/>
              </w:rPr>
              <w:t>Citation</w:t>
            </w:r>
          </w:p>
        </w:tc>
      </w:tr>
      <w:tr w:rsidR="00AA57B0" w:rsidRPr="00B115F7" w14:paraId="108647D1" w14:textId="77777777">
        <w:tc>
          <w:tcPr>
            <w:tcW w:w="1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D96600"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Land cover </w:t>
            </w:r>
          </w:p>
        </w:tc>
        <w:tc>
          <w:tcPr>
            <w:tcW w:w="44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2AF879"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 xml:space="preserve">Eleven land cover classes for individual Canadian provinces – Quebec, Ontario, New Brunswick, Nova Scotia - (30 m resolution) based on Landsat satellite imagery in 2011, 2015, and 2020; used to create binary land cover </w:t>
            </w:r>
            <w:proofErr w:type="spellStart"/>
            <w:r w:rsidRPr="00B115F7">
              <w:rPr>
                <w:rFonts w:ascii="Times New Roman" w:hAnsi="Times New Roman" w:cs="Times New Roman"/>
                <w:color w:val="000000"/>
                <w:sz w:val="20"/>
                <w:szCs w:val="20"/>
              </w:rPr>
              <w:t>rasters</w:t>
            </w:r>
            <w:proofErr w:type="spellEnd"/>
            <w:r w:rsidRPr="00B115F7">
              <w:rPr>
                <w:rFonts w:ascii="Times New Roman" w:hAnsi="Times New Roman" w:cs="Times New Roman"/>
                <w:color w:val="000000"/>
                <w:sz w:val="20"/>
                <w:szCs w:val="20"/>
              </w:rPr>
              <w:t xml:space="preserve"> resampled to 250 m resolution. </w:t>
            </w:r>
          </w:p>
        </w:tc>
        <w:tc>
          <w:tcPr>
            <w:tcW w:w="13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8B1811"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Land cover</w:t>
            </w:r>
          </w:p>
        </w:tc>
        <w:tc>
          <w:tcPr>
            <w:tcW w:w="17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272368" w14:textId="77777777" w:rsidR="00AA57B0" w:rsidRPr="00B115F7" w:rsidRDefault="00000000" w:rsidP="00B115F7">
            <w:pPr>
              <w:rPr>
                <w:rFonts w:ascii="Times New Roman" w:hAnsi="Times New Roman" w:cs="Times New Roman"/>
              </w:rPr>
            </w:pPr>
            <w:r w:rsidRPr="00B115F7">
              <w:rPr>
                <w:rFonts w:ascii="Times New Roman" w:hAnsi="Times New Roman" w:cs="Times New Roman"/>
                <w:sz w:val="20"/>
                <w:szCs w:val="20"/>
              </w:rPr>
              <w:t>AAFC 2021</w:t>
            </w:r>
          </w:p>
        </w:tc>
      </w:tr>
      <w:tr w:rsidR="00AA57B0" w:rsidRPr="00B115F7" w14:paraId="2333F07F" w14:textId="77777777">
        <w:trPr>
          <w:trHeight w:val="1070"/>
        </w:trPr>
        <w:tc>
          <w:tcPr>
            <w:tcW w:w="1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7DDA4C" w14:textId="77777777" w:rsidR="00AA57B0" w:rsidRPr="00B115F7" w:rsidRDefault="00000000" w:rsidP="00B115F7">
            <w:pPr>
              <w:rPr>
                <w:rFonts w:ascii="Times New Roman" w:hAnsi="Times New Roman" w:cs="Times New Roman"/>
                <w:color w:val="000000"/>
                <w:sz w:val="20"/>
                <w:szCs w:val="20"/>
              </w:rPr>
            </w:pPr>
            <w:r w:rsidRPr="00B115F7">
              <w:rPr>
                <w:rFonts w:ascii="Times New Roman" w:hAnsi="Times New Roman" w:cs="Times New Roman"/>
                <w:color w:val="000000"/>
                <w:sz w:val="20"/>
                <w:szCs w:val="20"/>
              </w:rPr>
              <w:t>Forest stand age</w:t>
            </w:r>
          </w:p>
        </w:tc>
        <w:tc>
          <w:tcPr>
            <w:tcW w:w="44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2C4006" w14:textId="77777777" w:rsidR="00AA57B0" w:rsidRPr="00B115F7" w:rsidRDefault="00000000" w:rsidP="00B115F7">
            <w:pPr>
              <w:rPr>
                <w:rFonts w:ascii="Times New Roman" w:hAnsi="Times New Roman" w:cs="Times New Roman"/>
                <w:color w:val="000000"/>
                <w:sz w:val="20"/>
                <w:szCs w:val="20"/>
              </w:rPr>
            </w:pPr>
            <w:r w:rsidRPr="00B115F7">
              <w:rPr>
                <w:rFonts w:ascii="Times New Roman" w:hAnsi="Times New Roman" w:cs="Times New Roman"/>
                <w:color w:val="000000"/>
                <w:sz w:val="20"/>
                <w:szCs w:val="20"/>
              </w:rPr>
              <w:t>Local stand age since last disturbance (years) extracted from forest vegetation layers (250 m resolution) in 2001 and 2011. Stand age layer processed with Gaussian filtering to estimate mean stand age within 250, 1000, and 2000 m.</w:t>
            </w:r>
          </w:p>
        </w:tc>
        <w:tc>
          <w:tcPr>
            <w:tcW w:w="13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A0D250" w14:textId="77777777" w:rsidR="00AA57B0" w:rsidRPr="00B115F7" w:rsidRDefault="00000000" w:rsidP="00B115F7">
            <w:pPr>
              <w:rPr>
                <w:rFonts w:ascii="Times New Roman" w:hAnsi="Times New Roman" w:cs="Times New Roman"/>
                <w:color w:val="000000"/>
                <w:sz w:val="20"/>
                <w:szCs w:val="20"/>
              </w:rPr>
            </w:pPr>
            <w:r w:rsidRPr="00B115F7">
              <w:rPr>
                <w:rFonts w:ascii="Times New Roman" w:hAnsi="Times New Roman" w:cs="Times New Roman"/>
                <w:color w:val="000000"/>
                <w:sz w:val="20"/>
                <w:szCs w:val="20"/>
              </w:rPr>
              <w:t>Stand age</w:t>
            </w:r>
          </w:p>
        </w:tc>
        <w:tc>
          <w:tcPr>
            <w:tcW w:w="17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B12061" w14:textId="77777777" w:rsidR="00AA57B0" w:rsidRPr="00B115F7" w:rsidRDefault="00000000" w:rsidP="00B115F7">
            <w:pPr>
              <w:rPr>
                <w:rFonts w:ascii="Times New Roman" w:hAnsi="Times New Roman" w:cs="Times New Roman"/>
                <w:color w:val="000000"/>
                <w:sz w:val="20"/>
                <w:szCs w:val="20"/>
              </w:rPr>
            </w:pPr>
            <w:r w:rsidRPr="00B115F7">
              <w:rPr>
                <w:rFonts w:ascii="Times New Roman" w:hAnsi="Times New Roman" w:cs="Times New Roman"/>
                <w:color w:val="000000"/>
                <w:sz w:val="20"/>
                <w:szCs w:val="20"/>
              </w:rPr>
              <w:t>Beaudoin et al. 2014</w:t>
            </w:r>
          </w:p>
        </w:tc>
      </w:tr>
      <w:tr w:rsidR="00AA57B0" w:rsidRPr="00B115F7" w14:paraId="2F4CADCD" w14:textId="77777777">
        <w:trPr>
          <w:trHeight w:val="1070"/>
        </w:trPr>
        <w:tc>
          <w:tcPr>
            <w:tcW w:w="1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9E0803"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 xml:space="preserve">Forest </w:t>
            </w:r>
            <w:proofErr w:type="gramStart"/>
            <w:r w:rsidRPr="00B115F7">
              <w:rPr>
                <w:rFonts w:ascii="Times New Roman" w:hAnsi="Times New Roman" w:cs="Times New Roman"/>
                <w:color w:val="000000"/>
                <w:sz w:val="20"/>
                <w:szCs w:val="20"/>
              </w:rPr>
              <w:t>stand</w:t>
            </w:r>
            <w:proofErr w:type="gramEnd"/>
            <w:r w:rsidRPr="00B115F7">
              <w:rPr>
                <w:rFonts w:ascii="Times New Roman" w:hAnsi="Times New Roman" w:cs="Times New Roman"/>
                <w:color w:val="000000"/>
                <w:sz w:val="20"/>
                <w:szCs w:val="20"/>
              </w:rPr>
              <w:t xml:space="preserve"> live above-ground biomass (branch, foliage, woody stem, bark, total live)</w:t>
            </w:r>
          </w:p>
        </w:tc>
        <w:tc>
          <w:tcPr>
            <w:tcW w:w="44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A626B1"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Different fractions of live above-ground biomass (tonnes per ha) extracted from forest vegetation layers (250 m resolution) in 2001 and 2011. Stand biomass layer processed with Gaussian filtering to estimate mean stand biomass within 250, 1000, and 2000 m.</w:t>
            </w:r>
          </w:p>
        </w:tc>
        <w:tc>
          <w:tcPr>
            <w:tcW w:w="13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2738B4"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Stand biomass</w:t>
            </w:r>
          </w:p>
        </w:tc>
        <w:tc>
          <w:tcPr>
            <w:tcW w:w="17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B73A84"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Beaudoin et al. 2014</w:t>
            </w:r>
          </w:p>
        </w:tc>
      </w:tr>
      <w:tr w:rsidR="00AA57B0" w:rsidRPr="00B115F7" w14:paraId="52607ADD" w14:textId="77777777">
        <w:tc>
          <w:tcPr>
            <w:tcW w:w="1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B44EC4"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Roadside status</w:t>
            </w:r>
          </w:p>
        </w:tc>
        <w:tc>
          <w:tcPr>
            <w:tcW w:w="44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3E7F02" w14:textId="77777777" w:rsidR="00AA57B0" w:rsidRPr="00B115F7" w:rsidRDefault="00000000" w:rsidP="00B115F7">
            <w:pPr>
              <w:rPr>
                <w:rFonts w:ascii="Times New Roman" w:hAnsi="Times New Roman" w:cs="Times New Roman"/>
                <w:color w:val="000000"/>
                <w:sz w:val="20"/>
                <w:szCs w:val="20"/>
              </w:rPr>
            </w:pPr>
            <w:r w:rsidRPr="00B115F7">
              <w:rPr>
                <w:rFonts w:ascii="Times New Roman" w:hAnsi="Times New Roman" w:cs="Times New Roman"/>
                <w:color w:val="000000"/>
                <w:sz w:val="20"/>
                <w:szCs w:val="20"/>
              </w:rPr>
              <w:t>Roadside150 = whether a point count was within 150 m of any roadside (1) or not (0)</w:t>
            </w:r>
          </w:p>
          <w:p w14:paraId="5B9B4658" w14:textId="77777777" w:rsidR="00AA57B0" w:rsidRPr="00B115F7" w:rsidRDefault="00000000" w:rsidP="00B115F7">
            <w:pPr>
              <w:rPr>
                <w:rFonts w:ascii="Times New Roman" w:hAnsi="Times New Roman" w:cs="Times New Roman"/>
                <w:sz w:val="20"/>
                <w:szCs w:val="20"/>
              </w:rPr>
            </w:pPr>
            <w:r w:rsidRPr="00B115F7">
              <w:rPr>
                <w:rFonts w:ascii="Times New Roman" w:hAnsi="Times New Roman" w:cs="Times New Roman"/>
                <w:sz w:val="20"/>
                <w:szCs w:val="20"/>
              </w:rPr>
              <w:t>MajorRoad150 = whether a point count was within 150 m of a heavy traffic road (arterial road, expressway, highway, freeway, ramp, rapid transit road) (1) or not (0).</w:t>
            </w:r>
          </w:p>
        </w:tc>
        <w:tc>
          <w:tcPr>
            <w:tcW w:w="13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E676E8"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Road</w:t>
            </w:r>
          </w:p>
        </w:tc>
        <w:tc>
          <w:tcPr>
            <w:tcW w:w="17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6C936D" w14:textId="77777777" w:rsidR="00AA57B0" w:rsidRPr="00B115F7" w:rsidRDefault="00000000" w:rsidP="00B115F7">
            <w:pPr>
              <w:rPr>
                <w:rFonts w:ascii="Times New Roman" w:hAnsi="Times New Roman" w:cs="Times New Roman"/>
              </w:rPr>
            </w:pPr>
            <w:proofErr w:type="spellStart"/>
            <w:r w:rsidRPr="00B115F7">
              <w:rPr>
                <w:rFonts w:ascii="Times New Roman" w:hAnsi="Times New Roman" w:cs="Times New Roman"/>
                <w:color w:val="000000"/>
                <w:sz w:val="20"/>
                <w:szCs w:val="20"/>
              </w:rPr>
              <w:t>CanVec</w:t>
            </w:r>
            <w:proofErr w:type="spellEnd"/>
            <w:r w:rsidRPr="00B115F7">
              <w:rPr>
                <w:rFonts w:ascii="Times New Roman" w:hAnsi="Times New Roman" w:cs="Times New Roman"/>
                <w:color w:val="000000"/>
                <w:sz w:val="20"/>
                <w:szCs w:val="20"/>
              </w:rPr>
              <w:t xml:space="preserve"> 2021</w:t>
            </w:r>
          </w:p>
        </w:tc>
      </w:tr>
      <w:tr w:rsidR="00AA57B0" w:rsidRPr="00B115F7" w14:paraId="2C614D20" w14:textId="77777777">
        <w:tc>
          <w:tcPr>
            <w:tcW w:w="1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5647F3"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Elevation</w:t>
            </w:r>
          </w:p>
        </w:tc>
        <w:tc>
          <w:tcPr>
            <w:tcW w:w="44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13230C"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1-km elevation raster associated with the climate raster geodatabase used in Step 2 of CHID framework (geographically weighted regression models)</w:t>
            </w:r>
          </w:p>
        </w:tc>
        <w:tc>
          <w:tcPr>
            <w:tcW w:w="13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34612B" w14:textId="7D0EE384" w:rsidR="00AA57B0" w:rsidRPr="00B115F7" w:rsidRDefault="00777D0C" w:rsidP="00B115F7">
            <w:pPr>
              <w:rPr>
                <w:rFonts w:ascii="Times New Roman" w:hAnsi="Times New Roman" w:cs="Times New Roman"/>
              </w:rPr>
            </w:pPr>
            <w:proofErr w:type="spellStart"/>
            <w:r w:rsidRPr="00B115F7">
              <w:rPr>
                <w:rFonts w:ascii="Times New Roman" w:hAnsi="Times New Roman" w:cs="Times New Roman"/>
                <w:color w:val="000000"/>
                <w:sz w:val="20"/>
                <w:szCs w:val="20"/>
              </w:rPr>
              <w:t>Elev</w:t>
            </w:r>
            <w:proofErr w:type="spellEnd"/>
          </w:p>
        </w:tc>
        <w:tc>
          <w:tcPr>
            <w:tcW w:w="17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809858"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Wang et al. 2016</w:t>
            </w:r>
          </w:p>
        </w:tc>
      </w:tr>
      <w:tr w:rsidR="00AA57B0" w:rsidRPr="00B115F7" w14:paraId="5DBD5C83" w14:textId="77777777">
        <w:tc>
          <w:tcPr>
            <w:tcW w:w="1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D88058"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Topographic Position Index </w:t>
            </w:r>
          </w:p>
        </w:tc>
        <w:tc>
          <w:tcPr>
            <w:tcW w:w="44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C080E5"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 xml:space="preserve">The difference between the elevation of a focal cell and the mean of its 8 surrounding cells. Positive and negative values correspond to ridges and valleys, respectively, while zero values correspond generally to flat areas (except a special case where a focal cell </w:t>
            </w:r>
            <w:r w:rsidRPr="00B115F7">
              <w:rPr>
                <w:rFonts w:ascii="Times New Roman" w:hAnsi="Times New Roman" w:cs="Times New Roman"/>
                <w:color w:val="000000"/>
                <w:sz w:val="20"/>
                <w:szCs w:val="20"/>
              </w:rPr>
              <w:lastRenderedPageBreak/>
              <w:t>with a value 5 can have surrounding cells with values of 4×1 and 4×9, resulting in a TPI of 0).</w:t>
            </w:r>
          </w:p>
        </w:tc>
        <w:tc>
          <w:tcPr>
            <w:tcW w:w="13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1D8B44" w14:textId="77777777" w:rsidR="00AA57B0" w:rsidRPr="00B115F7" w:rsidRDefault="00000000" w:rsidP="00B115F7">
            <w:pPr>
              <w:rPr>
                <w:rFonts w:ascii="Times New Roman" w:hAnsi="Times New Roman" w:cs="Times New Roman"/>
                <w:sz w:val="20"/>
                <w:szCs w:val="20"/>
              </w:rPr>
            </w:pPr>
            <w:r w:rsidRPr="00B115F7">
              <w:rPr>
                <w:rFonts w:ascii="Times New Roman" w:hAnsi="Times New Roman" w:cs="Times New Roman"/>
                <w:sz w:val="20"/>
                <w:szCs w:val="20"/>
              </w:rPr>
              <w:lastRenderedPageBreak/>
              <w:t>TPI</w:t>
            </w:r>
          </w:p>
        </w:tc>
        <w:tc>
          <w:tcPr>
            <w:tcW w:w="17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745A69" w14:textId="77777777" w:rsidR="00AA57B0" w:rsidRPr="00B115F7" w:rsidRDefault="00000000" w:rsidP="00B115F7">
            <w:pPr>
              <w:rPr>
                <w:rFonts w:ascii="Times New Roman" w:hAnsi="Times New Roman" w:cs="Times New Roman"/>
              </w:rPr>
            </w:pPr>
            <w:proofErr w:type="spellStart"/>
            <w:r w:rsidRPr="00B115F7">
              <w:rPr>
                <w:rFonts w:ascii="Times New Roman" w:hAnsi="Times New Roman" w:cs="Times New Roman"/>
                <w:color w:val="000000"/>
                <w:sz w:val="20"/>
                <w:szCs w:val="20"/>
              </w:rPr>
              <w:t>Amatulli</w:t>
            </w:r>
            <w:proofErr w:type="spellEnd"/>
            <w:r w:rsidRPr="00B115F7">
              <w:rPr>
                <w:rFonts w:ascii="Times New Roman" w:hAnsi="Times New Roman" w:cs="Times New Roman"/>
                <w:color w:val="000000"/>
                <w:sz w:val="20"/>
                <w:szCs w:val="20"/>
              </w:rPr>
              <w:t xml:space="preserve"> et al. 2018</w:t>
            </w:r>
          </w:p>
        </w:tc>
      </w:tr>
      <w:tr w:rsidR="00AA57B0" w:rsidRPr="00B115F7" w14:paraId="13D11D0A" w14:textId="77777777">
        <w:tc>
          <w:tcPr>
            <w:tcW w:w="1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92FCDC"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Terrain Ruggedness Index </w:t>
            </w:r>
          </w:p>
        </w:tc>
        <w:tc>
          <w:tcPr>
            <w:tcW w:w="44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FB53A5"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The mean of the absolute differences in elevation between a focal cell and its 8 surrounding cells. It quantifies the total elevation change across the 3×3 cells. Flat areas have a value of zero whereas mountain areas with steep ridges have positive values, which can be greater than 2000m in the Himalaya area.</w:t>
            </w:r>
          </w:p>
        </w:tc>
        <w:tc>
          <w:tcPr>
            <w:tcW w:w="13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C4C4F9"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TRI</w:t>
            </w:r>
          </w:p>
        </w:tc>
        <w:tc>
          <w:tcPr>
            <w:tcW w:w="17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C54ABE" w14:textId="77777777" w:rsidR="00AA57B0" w:rsidRPr="00B115F7" w:rsidRDefault="00000000" w:rsidP="00B115F7">
            <w:pPr>
              <w:rPr>
                <w:rFonts w:ascii="Times New Roman" w:hAnsi="Times New Roman" w:cs="Times New Roman"/>
              </w:rPr>
            </w:pPr>
            <w:proofErr w:type="spellStart"/>
            <w:r w:rsidRPr="00B115F7">
              <w:rPr>
                <w:rFonts w:ascii="Times New Roman" w:hAnsi="Times New Roman" w:cs="Times New Roman"/>
                <w:color w:val="000000"/>
                <w:sz w:val="20"/>
                <w:szCs w:val="20"/>
              </w:rPr>
              <w:t>Amatulli</w:t>
            </w:r>
            <w:proofErr w:type="spellEnd"/>
            <w:r w:rsidRPr="00B115F7">
              <w:rPr>
                <w:rFonts w:ascii="Times New Roman" w:hAnsi="Times New Roman" w:cs="Times New Roman"/>
                <w:color w:val="000000"/>
                <w:sz w:val="20"/>
                <w:szCs w:val="20"/>
              </w:rPr>
              <w:t xml:space="preserve"> et al. 2018</w:t>
            </w:r>
          </w:p>
        </w:tc>
      </w:tr>
      <w:tr w:rsidR="00AA57B0" w:rsidRPr="00B115F7" w14:paraId="750B156D" w14:textId="77777777">
        <w:tc>
          <w:tcPr>
            <w:tcW w:w="1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53BD15"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Slope</w:t>
            </w:r>
          </w:p>
        </w:tc>
        <w:tc>
          <w:tcPr>
            <w:tcW w:w="44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89AE2A" w14:textId="77777777" w:rsidR="00AA57B0" w:rsidRPr="00B115F7" w:rsidRDefault="00000000" w:rsidP="00B115F7">
            <w:pPr>
              <w:rPr>
                <w:rFonts w:ascii="Times New Roman" w:hAnsi="Times New Roman" w:cs="Times New Roman"/>
              </w:rPr>
            </w:pPr>
            <w:r w:rsidRPr="00B115F7">
              <w:rPr>
                <w:rFonts w:ascii="Times New Roman" w:hAnsi="Times New Roman" w:cs="Times New Roman"/>
                <w:color w:val="000000"/>
                <w:sz w:val="20"/>
                <w:szCs w:val="20"/>
              </w:rPr>
              <w:t>0 – 41.5 degrees</w:t>
            </w:r>
          </w:p>
        </w:tc>
        <w:tc>
          <w:tcPr>
            <w:tcW w:w="13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EB4B6F" w14:textId="5E885823" w:rsidR="00AA57B0" w:rsidRPr="00B115F7" w:rsidRDefault="00777D0C" w:rsidP="00B115F7">
            <w:pPr>
              <w:rPr>
                <w:rFonts w:ascii="Times New Roman" w:hAnsi="Times New Roman" w:cs="Times New Roman"/>
              </w:rPr>
            </w:pPr>
            <w:r w:rsidRPr="00B115F7">
              <w:rPr>
                <w:rFonts w:ascii="Times New Roman" w:hAnsi="Times New Roman" w:cs="Times New Roman"/>
                <w:color w:val="000000"/>
                <w:sz w:val="20"/>
                <w:szCs w:val="20"/>
              </w:rPr>
              <w:t>Slope</w:t>
            </w:r>
          </w:p>
        </w:tc>
        <w:tc>
          <w:tcPr>
            <w:tcW w:w="17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B9DACA" w14:textId="77777777" w:rsidR="00AA57B0" w:rsidRPr="00B115F7" w:rsidRDefault="00000000" w:rsidP="00B115F7">
            <w:pPr>
              <w:rPr>
                <w:rFonts w:ascii="Times New Roman" w:hAnsi="Times New Roman" w:cs="Times New Roman"/>
              </w:rPr>
            </w:pPr>
            <w:proofErr w:type="spellStart"/>
            <w:r w:rsidRPr="00B115F7">
              <w:rPr>
                <w:rFonts w:ascii="Times New Roman" w:hAnsi="Times New Roman" w:cs="Times New Roman"/>
                <w:color w:val="000000"/>
                <w:sz w:val="20"/>
                <w:szCs w:val="20"/>
              </w:rPr>
              <w:t>Amatulli</w:t>
            </w:r>
            <w:proofErr w:type="spellEnd"/>
            <w:r w:rsidRPr="00B115F7">
              <w:rPr>
                <w:rFonts w:ascii="Times New Roman" w:hAnsi="Times New Roman" w:cs="Times New Roman"/>
                <w:color w:val="000000"/>
                <w:sz w:val="20"/>
                <w:szCs w:val="20"/>
              </w:rPr>
              <w:t xml:space="preserve"> et al. 2018</w:t>
            </w:r>
          </w:p>
        </w:tc>
      </w:tr>
      <w:tr w:rsidR="00AA57B0" w:rsidRPr="00B115F7" w14:paraId="035DB2AA" w14:textId="77777777">
        <w:tc>
          <w:tcPr>
            <w:tcW w:w="1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41F095" w14:textId="77777777" w:rsidR="00AA57B0" w:rsidRPr="00B115F7" w:rsidRDefault="00000000" w:rsidP="00B115F7">
            <w:pPr>
              <w:rPr>
                <w:rFonts w:ascii="Times New Roman" w:hAnsi="Times New Roman" w:cs="Times New Roman"/>
                <w:color w:val="000000"/>
                <w:sz w:val="20"/>
                <w:szCs w:val="20"/>
              </w:rPr>
            </w:pPr>
            <w:r w:rsidRPr="00B115F7">
              <w:rPr>
                <w:rFonts w:ascii="Times New Roman" w:hAnsi="Times New Roman" w:cs="Times New Roman"/>
                <w:color w:val="000000"/>
                <w:sz w:val="20"/>
                <w:szCs w:val="20"/>
              </w:rPr>
              <w:t>Swamp – New Brunswick</w:t>
            </w:r>
          </w:p>
        </w:tc>
        <w:tc>
          <w:tcPr>
            <w:tcW w:w="44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B75E6C" w14:textId="77777777" w:rsidR="00AA57B0" w:rsidRPr="00B115F7" w:rsidRDefault="00000000" w:rsidP="00B115F7">
            <w:pPr>
              <w:rPr>
                <w:rFonts w:ascii="Times New Roman" w:hAnsi="Times New Roman" w:cs="Times New Roman"/>
                <w:color w:val="000000"/>
                <w:sz w:val="20"/>
                <w:szCs w:val="20"/>
              </w:rPr>
            </w:pPr>
            <w:r w:rsidRPr="00B115F7">
              <w:rPr>
                <w:rFonts w:ascii="Times New Roman" w:hAnsi="Times New Roman" w:cs="Times New Roman"/>
                <w:color w:val="000000"/>
                <w:sz w:val="20"/>
                <w:szCs w:val="20"/>
              </w:rPr>
              <w:t>Wetland shapefile filtered to swamps only, rasterized to a 30-m swamp layer, then resampled to 250 m (proportion of land within swamps locally – 150 m), then processed with Gaussian filtering to estimate mean proportion of land within swamps within 250, 1000, and 2000 m.</w:t>
            </w:r>
          </w:p>
        </w:tc>
        <w:tc>
          <w:tcPr>
            <w:tcW w:w="13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AE03FD" w14:textId="2C29F3A9" w:rsidR="00AA57B0" w:rsidRPr="00B115F7" w:rsidRDefault="00777D0C" w:rsidP="00B115F7">
            <w:pPr>
              <w:rPr>
                <w:rFonts w:ascii="Times New Roman" w:hAnsi="Times New Roman" w:cs="Times New Roman"/>
                <w:color w:val="000000"/>
                <w:sz w:val="20"/>
                <w:szCs w:val="20"/>
              </w:rPr>
            </w:pPr>
            <w:r w:rsidRPr="00B115F7">
              <w:rPr>
                <w:rFonts w:ascii="Times New Roman" w:hAnsi="Times New Roman" w:cs="Times New Roman"/>
                <w:color w:val="000000"/>
                <w:sz w:val="20"/>
                <w:szCs w:val="20"/>
              </w:rPr>
              <w:t>Swamp</w:t>
            </w:r>
          </w:p>
        </w:tc>
        <w:tc>
          <w:tcPr>
            <w:tcW w:w="17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DBE7F1" w14:textId="77777777" w:rsidR="00AA57B0" w:rsidRPr="00B115F7" w:rsidRDefault="00000000" w:rsidP="00B115F7">
            <w:pPr>
              <w:rPr>
                <w:rFonts w:ascii="Times New Roman" w:hAnsi="Times New Roman" w:cs="Times New Roman"/>
                <w:sz w:val="20"/>
                <w:szCs w:val="20"/>
              </w:rPr>
            </w:pPr>
            <w:r w:rsidRPr="00B115F7">
              <w:rPr>
                <w:rFonts w:ascii="Times New Roman" w:hAnsi="Times New Roman" w:cs="Times New Roman"/>
                <w:sz w:val="20"/>
                <w:szCs w:val="20"/>
              </w:rPr>
              <w:t>New Brunswick Department of Environment and Local Government 2021</w:t>
            </w:r>
          </w:p>
        </w:tc>
      </w:tr>
      <w:tr w:rsidR="00AA57B0" w:rsidRPr="00B115F7" w14:paraId="0B0B802F" w14:textId="77777777">
        <w:tc>
          <w:tcPr>
            <w:tcW w:w="1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BDA62" w14:textId="77777777" w:rsidR="00AA57B0" w:rsidRPr="00B115F7" w:rsidRDefault="00000000" w:rsidP="00B115F7">
            <w:pPr>
              <w:rPr>
                <w:rFonts w:ascii="Times New Roman" w:hAnsi="Times New Roman" w:cs="Times New Roman"/>
                <w:color w:val="000000"/>
                <w:sz w:val="20"/>
                <w:szCs w:val="20"/>
              </w:rPr>
            </w:pPr>
            <w:r w:rsidRPr="00B115F7">
              <w:rPr>
                <w:rFonts w:ascii="Times New Roman" w:hAnsi="Times New Roman" w:cs="Times New Roman"/>
                <w:color w:val="000000"/>
                <w:sz w:val="20"/>
                <w:szCs w:val="20"/>
              </w:rPr>
              <w:t>Swamp – Nova Scotia</w:t>
            </w:r>
          </w:p>
        </w:tc>
        <w:tc>
          <w:tcPr>
            <w:tcW w:w="44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15A50A" w14:textId="77777777" w:rsidR="00AA57B0" w:rsidRPr="00B115F7" w:rsidRDefault="00000000" w:rsidP="00B115F7">
            <w:pPr>
              <w:rPr>
                <w:rFonts w:ascii="Times New Roman" w:hAnsi="Times New Roman" w:cs="Times New Roman"/>
                <w:color w:val="000000"/>
                <w:sz w:val="20"/>
                <w:szCs w:val="20"/>
              </w:rPr>
            </w:pPr>
            <w:r w:rsidRPr="00B115F7">
              <w:rPr>
                <w:rFonts w:ascii="Times New Roman" w:hAnsi="Times New Roman" w:cs="Times New Roman"/>
                <w:color w:val="000000"/>
                <w:sz w:val="20"/>
                <w:szCs w:val="20"/>
              </w:rPr>
              <w:t>Wetland shapefile intersected with merged Forest Inventory shapefiles from all of Nova Scotia, filtered to polygons with 25 % or greater tree cover, rasterized to a 30-m swamp layer, then resampled to 250 m (proportion of land within swamps locally – 150 m), then processed with Gaussian filtering to estimate mean proportion of land within swamps within 250, 1000, and 2000 m.</w:t>
            </w:r>
          </w:p>
        </w:tc>
        <w:tc>
          <w:tcPr>
            <w:tcW w:w="13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693664" w14:textId="1540D03D" w:rsidR="00AA57B0" w:rsidRPr="00B115F7" w:rsidRDefault="00777D0C" w:rsidP="00B115F7">
            <w:pPr>
              <w:rPr>
                <w:rFonts w:ascii="Times New Roman" w:hAnsi="Times New Roman" w:cs="Times New Roman"/>
                <w:color w:val="000000"/>
                <w:sz w:val="20"/>
                <w:szCs w:val="20"/>
              </w:rPr>
            </w:pPr>
            <w:r w:rsidRPr="00B115F7">
              <w:rPr>
                <w:rFonts w:ascii="Times New Roman" w:hAnsi="Times New Roman" w:cs="Times New Roman"/>
                <w:color w:val="000000"/>
                <w:sz w:val="20"/>
                <w:szCs w:val="20"/>
              </w:rPr>
              <w:t>Swamp</w:t>
            </w:r>
          </w:p>
        </w:tc>
        <w:tc>
          <w:tcPr>
            <w:tcW w:w="17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58784B" w14:textId="77777777" w:rsidR="00AA57B0" w:rsidRPr="00B115F7" w:rsidRDefault="00000000" w:rsidP="00B115F7">
            <w:pPr>
              <w:rPr>
                <w:rFonts w:ascii="Times New Roman" w:hAnsi="Times New Roman" w:cs="Times New Roman"/>
                <w:sz w:val="20"/>
                <w:szCs w:val="20"/>
              </w:rPr>
            </w:pPr>
            <w:r w:rsidRPr="00B115F7">
              <w:rPr>
                <w:rFonts w:ascii="Times New Roman" w:hAnsi="Times New Roman" w:cs="Times New Roman"/>
                <w:sz w:val="20"/>
                <w:szCs w:val="20"/>
              </w:rPr>
              <w:t xml:space="preserve">Nova Scotia Department of Lands and Forestry 2021 </w:t>
            </w:r>
          </w:p>
        </w:tc>
      </w:tr>
      <w:tr w:rsidR="00AA57B0" w:rsidRPr="00B115F7" w14:paraId="38A59904" w14:textId="77777777">
        <w:tc>
          <w:tcPr>
            <w:tcW w:w="1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41419F" w14:textId="77777777" w:rsidR="00AA57B0" w:rsidRPr="00B115F7" w:rsidRDefault="00000000" w:rsidP="00B115F7">
            <w:pPr>
              <w:rPr>
                <w:rFonts w:ascii="Times New Roman" w:hAnsi="Times New Roman" w:cs="Times New Roman"/>
                <w:color w:val="000000"/>
                <w:sz w:val="20"/>
                <w:szCs w:val="20"/>
              </w:rPr>
            </w:pPr>
            <w:r w:rsidRPr="00B115F7">
              <w:rPr>
                <w:rFonts w:ascii="Times New Roman" w:hAnsi="Times New Roman" w:cs="Times New Roman"/>
                <w:color w:val="000000"/>
                <w:sz w:val="20"/>
                <w:szCs w:val="20"/>
              </w:rPr>
              <w:t>Swamp - Ontario</w:t>
            </w:r>
          </w:p>
        </w:tc>
        <w:tc>
          <w:tcPr>
            <w:tcW w:w="44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7F5399" w14:textId="77777777" w:rsidR="00AA57B0" w:rsidRPr="00B115F7" w:rsidRDefault="00000000" w:rsidP="00B115F7">
            <w:pPr>
              <w:rPr>
                <w:rFonts w:ascii="Times New Roman" w:hAnsi="Times New Roman" w:cs="Times New Roman"/>
                <w:color w:val="000000"/>
                <w:sz w:val="20"/>
                <w:szCs w:val="20"/>
              </w:rPr>
            </w:pPr>
            <w:r w:rsidRPr="00B115F7">
              <w:rPr>
                <w:rFonts w:ascii="Times New Roman" w:hAnsi="Times New Roman" w:cs="Times New Roman"/>
                <w:sz w:val="20"/>
                <w:szCs w:val="20"/>
              </w:rPr>
              <w:t xml:space="preserve">30-m Ontario Land Cover v.2.0 raster </w:t>
            </w:r>
            <w:r w:rsidRPr="00B115F7">
              <w:rPr>
                <w:rFonts w:ascii="Times New Roman" w:hAnsi="Times New Roman" w:cs="Times New Roman"/>
                <w:color w:val="000000"/>
                <w:sz w:val="20"/>
                <w:szCs w:val="20"/>
              </w:rPr>
              <w:t>layer resampled to 250 m (proportion of land within swamps locally – 150 m), then processed with Gaussian filtering to estimate mean proportion of land within swamps within 250, 1000, and 2000 m.</w:t>
            </w:r>
          </w:p>
        </w:tc>
        <w:tc>
          <w:tcPr>
            <w:tcW w:w="13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B6B818" w14:textId="6B2F35D7" w:rsidR="00AA57B0" w:rsidRPr="00B115F7" w:rsidRDefault="00777D0C" w:rsidP="00B115F7">
            <w:pPr>
              <w:rPr>
                <w:rFonts w:ascii="Times New Roman" w:hAnsi="Times New Roman" w:cs="Times New Roman"/>
                <w:color w:val="000000"/>
                <w:sz w:val="20"/>
                <w:szCs w:val="20"/>
              </w:rPr>
            </w:pPr>
            <w:r w:rsidRPr="00B115F7">
              <w:rPr>
                <w:rFonts w:ascii="Times New Roman" w:hAnsi="Times New Roman" w:cs="Times New Roman"/>
                <w:color w:val="000000"/>
                <w:sz w:val="20"/>
                <w:szCs w:val="20"/>
              </w:rPr>
              <w:t>Swamp</w:t>
            </w:r>
          </w:p>
        </w:tc>
        <w:tc>
          <w:tcPr>
            <w:tcW w:w="17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C174AB" w14:textId="77777777" w:rsidR="00AA57B0" w:rsidRPr="00B115F7" w:rsidRDefault="00000000" w:rsidP="00B115F7">
            <w:pPr>
              <w:rPr>
                <w:rFonts w:ascii="Times New Roman" w:hAnsi="Times New Roman" w:cs="Times New Roman"/>
                <w:sz w:val="20"/>
                <w:szCs w:val="20"/>
              </w:rPr>
            </w:pPr>
            <w:r w:rsidRPr="00B115F7">
              <w:rPr>
                <w:rFonts w:ascii="Times New Roman" w:hAnsi="Times New Roman" w:cs="Times New Roman"/>
                <w:sz w:val="20"/>
                <w:szCs w:val="20"/>
              </w:rPr>
              <w:t>Ontario Land Cover Compilation v.2.0 2016</w:t>
            </w:r>
          </w:p>
        </w:tc>
      </w:tr>
      <w:tr w:rsidR="00AA57B0" w:rsidRPr="00B115F7" w14:paraId="178699ED" w14:textId="77777777">
        <w:tc>
          <w:tcPr>
            <w:tcW w:w="1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EC0093" w14:textId="77777777" w:rsidR="00AA57B0" w:rsidRPr="00B115F7" w:rsidRDefault="00000000" w:rsidP="00B115F7">
            <w:pPr>
              <w:rPr>
                <w:rFonts w:ascii="Times New Roman" w:hAnsi="Times New Roman" w:cs="Times New Roman"/>
                <w:color w:val="000000"/>
                <w:sz w:val="20"/>
                <w:szCs w:val="20"/>
              </w:rPr>
            </w:pPr>
            <w:r w:rsidRPr="00B115F7">
              <w:rPr>
                <w:rFonts w:ascii="Times New Roman" w:hAnsi="Times New Roman" w:cs="Times New Roman"/>
                <w:color w:val="000000"/>
                <w:sz w:val="20"/>
                <w:szCs w:val="20"/>
              </w:rPr>
              <w:t>Swamp - Quebec</w:t>
            </w:r>
          </w:p>
        </w:tc>
        <w:tc>
          <w:tcPr>
            <w:tcW w:w="44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DEE43D" w14:textId="77777777" w:rsidR="00AA57B0" w:rsidRPr="00B115F7" w:rsidRDefault="00000000" w:rsidP="00B115F7">
            <w:pPr>
              <w:rPr>
                <w:rFonts w:ascii="Times New Roman" w:hAnsi="Times New Roman" w:cs="Times New Roman"/>
                <w:color w:val="000000"/>
                <w:sz w:val="20"/>
                <w:szCs w:val="20"/>
              </w:rPr>
            </w:pPr>
            <w:r w:rsidRPr="00B115F7">
              <w:rPr>
                <w:rFonts w:ascii="Times New Roman" w:hAnsi="Times New Roman" w:cs="Times New Roman"/>
                <w:color w:val="000000"/>
                <w:sz w:val="20"/>
                <w:szCs w:val="20"/>
              </w:rPr>
              <w:t>Wetland shapefile data compiled by Ducks Unlimited from different regions in southern Quebec from 2010 – 2015. Shapefile filtered to swamps only, then rasterized to 30-m swamp layer, then resampled to 250 m (proportion of land within swamps locally – 150 m), then processed with Gaussian filtering to estimate mean proportion of land within swamps within 250, 1000, and 2000 m.</w:t>
            </w:r>
          </w:p>
        </w:tc>
        <w:tc>
          <w:tcPr>
            <w:tcW w:w="13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E6D406" w14:textId="3A3C0929" w:rsidR="00AA57B0" w:rsidRPr="00B115F7" w:rsidRDefault="00777D0C" w:rsidP="00B115F7">
            <w:pPr>
              <w:rPr>
                <w:rFonts w:ascii="Times New Roman" w:hAnsi="Times New Roman" w:cs="Times New Roman"/>
                <w:color w:val="000000"/>
                <w:sz w:val="20"/>
                <w:szCs w:val="20"/>
              </w:rPr>
            </w:pPr>
            <w:r w:rsidRPr="00B115F7">
              <w:rPr>
                <w:rFonts w:ascii="Times New Roman" w:hAnsi="Times New Roman" w:cs="Times New Roman"/>
                <w:color w:val="000000"/>
                <w:sz w:val="20"/>
                <w:szCs w:val="20"/>
              </w:rPr>
              <w:t>Swamp</w:t>
            </w:r>
          </w:p>
        </w:tc>
        <w:tc>
          <w:tcPr>
            <w:tcW w:w="173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60B82F" w14:textId="77777777" w:rsidR="00AA57B0" w:rsidRPr="00B115F7" w:rsidRDefault="00000000" w:rsidP="00B115F7">
            <w:pPr>
              <w:rPr>
                <w:rFonts w:ascii="Times New Roman" w:hAnsi="Times New Roman" w:cs="Times New Roman"/>
                <w:sz w:val="20"/>
                <w:szCs w:val="20"/>
              </w:rPr>
            </w:pPr>
            <w:r w:rsidRPr="00B115F7">
              <w:rPr>
                <w:rFonts w:ascii="Times New Roman" w:hAnsi="Times New Roman" w:cs="Times New Roman"/>
                <w:sz w:val="20"/>
                <w:szCs w:val="20"/>
              </w:rPr>
              <w:t>Ducks Unlimited 2015</w:t>
            </w:r>
          </w:p>
        </w:tc>
      </w:tr>
    </w:tbl>
    <w:p w14:paraId="21CBCB14" w14:textId="77777777" w:rsidR="00AA57B0" w:rsidRPr="00B115F7" w:rsidRDefault="00AA57B0" w:rsidP="00B115F7">
      <w:pPr>
        <w:rPr>
          <w:rFonts w:ascii="Times New Roman" w:hAnsi="Times New Roman" w:cs="Times New Roman"/>
        </w:rPr>
      </w:pPr>
    </w:p>
    <w:p w14:paraId="223A77AA" w14:textId="77777777" w:rsidR="00AA57B0" w:rsidRPr="005F2586" w:rsidRDefault="00000000">
      <w:pPr>
        <w:pStyle w:val="Heading1"/>
        <w:rPr>
          <w:rFonts w:ascii="Times New Roman" w:eastAsia="Times New Roman" w:hAnsi="Times New Roman" w:cs="Times New Roman"/>
          <w:bCs/>
          <w:sz w:val="24"/>
          <w:szCs w:val="24"/>
        </w:rPr>
      </w:pPr>
      <w:r w:rsidRPr="005F2586">
        <w:rPr>
          <w:rFonts w:ascii="Times New Roman" w:eastAsia="Times New Roman" w:hAnsi="Times New Roman" w:cs="Times New Roman"/>
          <w:bCs/>
          <w:sz w:val="24"/>
          <w:szCs w:val="24"/>
        </w:rPr>
        <w:t xml:space="preserve">Results </w:t>
      </w:r>
    </w:p>
    <w:p w14:paraId="380D6D7B" w14:textId="77777777" w:rsidR="00AA57B0" w:rsidRPr="005F2586" w:rsidRDefault="00000000" w:rsidP="005F2586">
      <w:pPr>
        <w:pStyle w:val="Heading2"/>
        <w:rPr>
          <w:rFonts w:ascii="Times New Roman" w:hAnsi="Times New Roman" w:cs="Times New Roman"/>
          <w:sz w:val="24"/>
          <w:szCs w:val="24"/>
        </w:rPr>
      </w:pPr>
      <w:r w:rsidRPr="005F2586">
        <w:rPr>
          <w:rFonts w:ascii="Times New Roman" w:hAnsi="Times New Roman" w:cs="Times New Roman"/>
          <w:sz w:val="24"/>
          <w:szCs w:val="24"/>
        </w:rPr>
        <w:t>Canada Warbler</w:t>
      </w:r>
    </w:p>
    <w:p w14:paraId="762DCE6A" w14:textId="13ECC35A" w:rsidR="00AA57B0" w:rsidRDefault="00000000" w:rsidP="005F2586">
      <w:pPr>
        <w:rPr>
          <w:rFonts w:ascii="Times New Roman" w:eastAsia="Times New Roman" w:hAnsi="Times New Roman" w:cs="Times New Roman"/>
          <w:sz w:val="24"/>
          <w:szCs w:val="24"/>
        </w:rPr>
      </w:pPr>
      <w:bookmarkStart w:id="6" w:name="_heading=h.2jxsxqh" w:colFirst="0" w:colLast="0"/>
      <w:bookmarkEnd w:id="6"/>
      <w:r>
        <w:rPr>
          <w:rFonts w:ascii="Times New Roman" w:eastAsia="Times New Roman" w:hAnsi="Times New Roman" w:cs="Times New Roman"/>
          <w:sz w:val="24"/>
          <w:szCs w:val="24"/>
        </w:rPr>
        <w:t xml:space="preserve">The BRT containing predictors at the 750-m landscape scale had the best overall predictive ability for Canada Warbler in Nova Scotia (Table S2.3). Predictors with greatest relative influence on Canada Warbler abundance in Nova Scotia were proportion of red pine (21.37 %), </w:t>
      </w:r>
      <w:r>
        <w:rPr>
          <w:rFonts w:ascii="Times New Roman" w:eastAsia="Times New Roman" w:hAnsi="Times New Roman" w:cs="Times New Roman"/>
          <w:sz w:val="24"/>
          <w:szCs w:val="24"/>
        </w:rPr>
        <w:lastRenderedPageBreak/>
        <w:t>proportion of red maple (9.67 %), CTI (8.40 %), proportions of all birch (8.25 %), balsam fir (6.75 %), red spruce (5.52 %), eastern hemlock (5.43 %), white spruce (4.54 %), and total live above ground biomass (4.23 %). Canada Warbler increased with CTI values: thus, Canada Warbler was more abundant in larger catchment areas with shallow slopes. Canada Warbler also increased with proportions of balsam fir, red pine, and red spruce and declined with increasing red maple, birch, and above ground biomass (Fig. S2.1, Table 1). We estimated that there was habitat to support a current potential population of 45</w:t>
      </w:r>
      <w:r w:rsidR="005F2586">
        <w:rPr>
          <w:rFonts w:ascii="Times New Roman" w:eastAsia="Times New Roman" w:hAnsi="Times New Roman" w:cs="Times New Roman"/>
          <w:sz w:val="24"/>
          <w:szCs w:val="24"/>
        </w:rPr>
        <w:t>,</w:t>
      </w:r>
      <w:r>
        <w:rPr>
          <w:rFonts w:ascii="Times New Roman" w:eastAsia="Times New Roman" w:hAnsi="Times New Roman" w:cs="Times New Roman"/>
          <w:sz w:val="24"/>
          <w:szCs w:val="24"/>
        </w:rPr>
        <w:t>894 (27</w:t>
      </w:r>
      <w:r w:rsidR="005F2586">
        <w:rPr>
          <w:rFonts w:ascii="Times New Roman" w:eastAsia="Times New Roman" w:hAnsi="Times New Roman" w:cs="Times New Roman"/>
          <w:sz w:val="24"/>
          <w:szCs w:val="24"/>
        </w:rPr>
        <w:t>,</w:t>
      </w:r>
      <w:r>
        <w:rPr>
          <w:rFonts w:ascii="Times New Roman" w:eastAsia="Times New Roman" w:hAnsi="Times New Roman" w:cs="Times New Roman"/>
          <w:sz w:val="24"/>
          <w:szCs w:val="24"/>
        </w:rPr>
        <w:t>996 ‒71</w:t>
      </w:r>
      <w:r w:rsidR="005F258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628) Canada Warblers in Nova Scotia. </w:t>
      </w:r>
    </w:p>
    <w:p w14:paraId="5654A454" w14:textId="179FE916" w:rsidR="00AA57B0"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BRT with the best overall predictive ability for Canada Warbler in Alberta contained predictors at different spatial scales (Table S2.3). Predictors with greatest relative influence on Canada Warbler abundance in Alberta were CTI at 250 m (26.80 %), proportion of birch at 750 m (11.30 %), trembling aspen at 250 m (9.58 %), larch at 250 m (8.74 %) proportions of wider seismic lines (8.54 %) and transmission lines (7.32 %) per 250-m cell, proportion of jack pine at 750 m (6.22 %), and total live above ground biomass at 250 m (4.83 %). In contrast to Nova Scotia, Canada Warbler densities in Alberta decreased with CTI values: thus, in Alberta Canada Warbler was more abundant in small catchment areas with steeper slopes. Unlike in Nova Scotia, Canada Warbler also increased with above ground biomass and proportions of deciduous trees like birch, tamarack, and trembling aspen. Canada Warbler densities also increased with the proportions of jack pine, balsam fir, and wider seismic lines and decreased with proportion of transmission lines in Alberta (Fig. S2.2, Table 1). We estimated that there was habitat to support a current potential population of 274</w:t>
      </w:r>
      <w:r w:rsidR="005F2586">
        <w:rPr>
          <w:rFonts w:ascii="Times New Roman" w:eastAsia="Times New Roman" w:hAnsi="Times New Roman" w:cs="Times New Roman"/>
          <w:sz w:val="24"/>
          <w:szCs w:val="24"/>
        </w:rPr>
        <w:t>,</w:t>
      </w:r>
      <w:r>
        <w:rPr>
          <w:rFonts w:ascii="Times New Roman" w:eastAsia="Times New Roman" w:hAnsi="Times New Roman" w:cs="Times New Roman"/>
          <w:sz w:val="24"/>
          <w:szCs w:val="24"/>
        </w:rPr>
        <w:t>176 (165</w:t>
      </w:r>
      <w:r w:rsidR="005F2586">
        <w:rPr>
          <w:rFonts w:ascii="Times New Roman" w:eastAsia="Times New Roman" w:hAnsi="Times New Roman" w:cs="Times New Roman"/>
          <w:sz w:val="24"/>
          <w:szCs w:val="24"/>
        </w:rPr>
        <w:t>,</w:t>
      </w:r>
      <w:r>
        <w:rPr>
          <w:rFonts w:ascii="Times New Roman" w:eastAsia="Times New Roman" w:hAnsi="Times New Roman" w:cs="Times New Roman"/>
          <w:sz w:val="24"/>
          <w:szCs w:val="24"/>
        </w:rPr>
        <w:t>447 ‒442</w:t>
      </w:r>
      <w:r w:rsidR="005F258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813) Canada Warbler males in Alberta. </w:t>
      </w:r>
    </w:p>
    <w:p w14:paraId="0831130B" w14:textId="77777777" w:rsidR="00AA57B0" w:rsidRDefault="00AA57B0">
      <w:pPr>
        <w:ind w:firstLine="720"/>
        <w:rPr>
          <w:rFonts w:ascii="Times New Roman" w:eastAsia="Times New Roman" w:hAnsi="Times New Roman" w:cs="Times New Roman"/>
          <w:sz w:val="24"/>
          <w:szCs w:val="24"/>
        </w:rPr>
      </w:pPr>
    </w:p>
    <w:p w14:paraId="5DB44F62" w14:textId="77777777" w:rsidR="00AA57B0" w:rsidRDefault="00AA57B0">
      <w:pPr>
        <w:ind w:firstLine="720"/>
        <w:rPr>
          <w:rFonts w:ascii="Times New Roman" w:eastAsia="Times New Roman" w:hAnsi="Times New Roman" w:cs="Times New Roman"/>
          <w:sz w:val="24"/>
          <w:szCs w:val="24"/>
        </w:rPr>
      </w:pPr>
    </w:p>
    <w:p w14:paraId="695639E4" w14:textId="77777777" w:rsidR="00AA57B0" w:rsidRDefault="00AA57B0">
      <w:pPr>
        <w:rPr>
          <w:rFonts w:ascii="Times New Roman" w:eastAsia="Times New Roman" w:hAnsi="Times New Roman" w:cs="Times New Roman"/>
          <w:sz w:val="24"/>
          <w:szCs w:val="24"/>
        </w:rPr>
      </w:pPr>
    </w:p>
    <w:p w14:paraId="2BF7D11F" w14:textId="77777777" w:rsidR="00AA57B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S2.3. Comparison of predictive accuracy and explanatory power among boosted regression models of Canada Warbler density in Alberta and northern Nova Scotia and Wood Thrush in eastern Canada. In these management units, the full model contained land cover, forest structure, footprint, and topography predictors at multiple spatial scales (which differed in each species). The selected scales model contained those predictors but only at the spatial scale where each predictor had the highest relative influence on assignment of point counts within regression trees. The 250 m, 750 m, 1000 m, and 2000 m models contained predictors whose values were averaged respectively within 250, 750, 1000, or 2000 m of cells before extracting spatial data to point counts. Deviance = 5-fold cross-validation deviance. Correlation, intercept, and slope = 5-fold cross-validation correlation, y-intercept, and slope of predicted vs. observed density. </w:t>
      </w:r>
    </w:p>
    <w:tbl>
      <w:tblPr>
        <w:tblStyle w:val="ab"/>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88"/>
        <w:gridCol w:w="1275"/>
        <w:gridCol w:w="1134"/>
        <w:gridCol w:w="993"/>
        <w:gridCol w:w="1417"/>
        <w:gridCol w:w="1276"/>
        <w:gridCol w:w="992"/>
        <w:gridCol w:w="1285"/>
      </w:tblGrid>
      <w:tr w:rsidR="00AA57B0" w:rsidRPr="00B115F7" w14:paraId="2A0DC8E2" w14:textId="77777777" w:rsidTr="00B115F7">
        <w:trPr>
          <w:trHeight w:val="740"/>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1E5E50"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Species</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150AE9"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Management Unit</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508368"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Prediction Area</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CE02DF"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BRT model</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5119E7"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Deviance</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5B742E"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Correlation</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84EA91"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Intercept</w:t>
            </w:r>
          </w:p>
        </w:tc>
        <w:tc>
          <w:tcPr>
            <w:tcW w:w="1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279F0F"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Slope</w:t>
            </w:r>
          </w:p>
        </w:tc>
      </w:tr>
      <w:tr w:rsidR="00AA57B0" w:rsidRPr="00B115F7" w14:paraId="4C72C630" w14:textId="77777777" w:rsidTr="00B115F7">
        <w:trPr>
          <w:trHeight w:val="740"/>
        </w:trPr>
        <w:tc>
          <w:tcPr>
            <w:tcW w:w="988" w:type="dxa"/>
            <w:tcBorders>
              <w:top w:val="single" w:sz="4" w:space="0" w:color="000000"/>
              <w:left w:val="single" w:sz="4" w:space="0" w:color="000000"/>
              <w:bottom w:val="nil"/>
              <w:right w:val="single" w:sz="4" w:space="0" w:color="000000"/>
            </w:tcBorders>
            <w:tcMar>
              <w:top w:w="100" w:type="dxa"/>
              <w:left w:w="100" w:type="dxa"/>
              <w:bottom w:w="100" w:type="dxa"/>
              <w:right w:w="100" w:type="dxa"/>
            </w:tcMar>
          </w:tcPr>
          <w:p w14:paraId="6DE0560C"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lastRenderedPageBreak/>
              <w:t>Canada Warbler</w:t>
            </w:r>
          </w:p>
        </w:tc>
        <w:tc>
          <w:tcPr>
            <w:tcW w:w="1275" w:type="dxa"/>
            <w:tcBorders>
              <w:bottom w:val="nil"/>
            </w:tcBorders>
            <w:tcMar>
              <w:top w:w="100" w:type="dxa"/>
              <w:left w:w="100" w:type="dxa"/>
              <w:bottom w:w="100" w:type="dxa"/>
              <w:right w:w="100" w:type="dxa"/>
            </w:tcMar>
          </w:tcPr>
          <w:p w14:paraId="5252034B"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Alberta</w:t>
            </w:r>
          </w:p>
        </w:tc>
        <w:tc>
          <w:tcPr>
            <w:tcW w:w="1134" w:type="dxa"/>
            <w:tcBorders>
              <w:bottom w:val="nil"/>
            </w:tcBorders>
            <w:tcMar>
              <w:top w:w="100" w:type="dxa"/>
              <w:left w:w="100" w:type="dxa"/>
              <w:bottom w:w="100" w:type="dxa"/>
              <w:right w:w="100" w:type="dxa"/>
            </w:tcMar>
          </w:tcPr>
          <w:p w14:paraId="2F5534AE"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northeast Alberta</w:t>
            </w:r>
          </w:p>
        </w:tc>
        <w:tc>
          <w:tcPr>
            <w:tcW w:w="993" w:type="dxa"/>
            <w:tcMar>
              <w:top w:w="100" w:type="dxa"/>
              <w:left w:w="100" w:type="dxa"/>
              <w:bottom w:w="100" w:type="dxa"/>
              <w:right w:w="100" w:type="dxa"/>
            </w:tcMar>
          </w:tcPr>
          <w:p w14:paraId="72D2C848"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full</w:t>
            </w:r>
          </w:p>
        </w:tc>
        <w:tc>
          <w:tcPr>
            <w:tcW w:w="1417" w:type="dxa"/>
            <w:tcMar>
              <w:top w:w="100" w:type="dxa"/>
              <w:left w:w="100" w:type="dxa"/>
              <w:bottom w:w="100" w:type="dxa"/>
              <w:right w:w="100" w:type="dxa"/>
            </w:tcMar>
          </w:tcPr>
          <w:p w14:paraId="1B5A6087"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0.72 (0.37 - 1.08)</w:t>
            </w:r>
          </w:p>
        </w:tc>
        <w:tc>
          <w:tcPr>
            <w:tcW w:w="1276" w:type="dxa"/>
            <w:tcMar>
              <w:top w:w="100" w:type="dxa"/>
              <w:left w:w="100" w:type="dxa"/>
              <w:bottom w:w="100" w:type="dxa"/>
              <w:right w:w="100" w:type="dxa"/>
            </w:tcMar>
          </w:tcPr>
          <w:p w14:paraId="7535E3F2"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0.13 (0.1 - 0.16)</w:t>
            </w:r>
          </w:p>
        </w:tc>
        <w:tc>
          <w:tcPr>
            <w:tcW w:w="992" w:type="dxa"/>
            <w:tcMar>
              <w:top w:w="100" w:type="dxa"/>
              <w:left w:w="100" w:type="dxa"/>
              <w:bottom w:w="100" w:type="dxa"/>
              <w:right w:w="100" w:type="dxa"/>
            </w:tcMar>
          </w:tcPr>
          <w:p w14:paraId="2F76B101"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-0.05 (-1.52 - 1.42)</w:t>
            </w:r>
          </w:p>
        </w:tc>
        <w:tc>
          <w:tcPr>
            <w:tcW w:w="1285" w:type="dxa"/>
            <w:tcMar>
              <w:top w:w="100" w:type="dxa"/>
              <w:left w:w="100" w:type="dxa"/>
              <w:bottom w:w="100" w:type="dxa"/>
              <w:right w:w="100" w:type="dxa"/>
            </w:tcMar>
          </w:tcPr>
          <w:p w14:paraId="77713107"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0.91 (0.62 - 1.2)</w:t>
            </w:r>
          </w:p>
        </w:tc>
      </w:tr>
      <w:tr w:rsidR="00AA57B0" w:rsidRPr="00B115F7" w14:paraId="06936274" w14:textId="77777777" w:rsidTr="00B115F7">
        <w:trPr>
          <w:trHeight w:val="740"/>
        </w:trPr>
        <w:tc>
          <w:tcPr>
            <w:tcW w:w="988" w:type="dxa"/>
            <w:tcBorders>
              <w:top w:val="nil"/>
              <w:left w:val="single" w:sz="4" w:space="0" w:color="000000"/>
              <w:bottom w:val="nil"/>
              <w:right w:val="single" w:sz="4" w:space="0" w:color="000000"/>
            </w:tcBorders>
            <w:tcMar>
              <w:top w:w="100" w:type="dxa"/>
              <w:left w:w="100" w:type="dxa"/>
              <w:bottom w:w="100" w:type="dxa"/>
              <w:right w:w="100" w:type="dxa"/>
            </w:tcMar>
          </w:tcPr>
          <w:p w14:paraId="6A2A07F6"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275" w:type="dxa"/>
            <w:tcBorders>
              <w:top w:val="nil"/>
              <w:bottom w:val="nil"/>
            </w:tcBorders>
            <w:tcMar>
              <w:top w:w="100" w:type="dxa"/>
              <w:left w:w="100" w:type="dxa"/>
              <w:bottom w:w="100" w:type="dxa"/>
              <w:right w:w="100" w:type="dxa"/>
            </w:tcMar>
          </w:tcPr>
          <w:p w14:paraId="6980511D"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bottom w:val="nil"/>
            </w:tcBorders>
            <w:tcMar>
              <w:top w:w="100" w:type="dxa"/>
              <w:left w:w="100" w:type="dxa"/>
              <w:bottom w:w="100" w:type="dxa"/>
              <w:right w:w="100" w:type="dxa"/>
            </w:tcMar>
          </w:tcPr>
          <w:p w14:paraId="7AB4C330"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3" w:type="dxa"/>
            <w:tcMar>
              <w:top w:w="100" w:type="dxa"/>
              <w:left w:w="100" w:type="dxa"/>
              <w:bottom w:w="100" w:type="dxa"/>
              <w:right w:w="100" w:type="dxa"/>
            </w:tcMar>
          </w:tcPr>
          <w:p w14:paraId="03B0F9BC" w14:textId="6A78FE6A"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selected scale</w:t>
            </w:r>
            <w:r w:rsidR="00B115F7">
              <w:rPr>
                <w:rFonts w:ascii="Times New Roman" w:eastAsia="Times New Roman" w:hAnsi="Times New Roman" w:cs="Times New Roman"/>
                <w:sz w:val="20"/>
                <w:szCs w:val="20"/>
              </w:rPr>
              <w:t>s</w:t>
            </w:r>
          </w:p>
        </w:tc>
        <w:tc>
          <w:tcPr>
            <w:tcW w:w="1417" w:type="dxa"/>
            <w:tcMar>
              <w:top w:w="100" w:type="dxa"/>
              <w:left w:w="100" w:type="dxa"/>
              <w:bottom w:w="100" w:type="dxa"/>
              <w:right w:w="100" w:type="dxa"/>
            </w:tcMar>
          </w:tcPr>
          <w:p w14:paraId="376946FD"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0.68 (0.38 - 0.98)</w:t>
            </w:r>
          </w:p>
        </w:tc>
        <w:tc>
          <w:tcPr>
            <w:tcW w:w="1276" w:type="dxa"/>
            <w:tcMar>
              <w:top w:w="100" w:type="dxa"/>
              <w:left w:w="100" w:type="dxa"/>
              <w:bottom w:w="100" w:type="dxa"/>
              <w:right w:w="100" w:type="dxa"/>
            </w:tcMar>
          </w:tcPr>
          <w:p w14:paraId="5CD51965"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0.15 (0.11 - 0.19)</w:t>
            </w:r>
          </w:p>
        </w:tc>
        <w:tc>
          <w:tcPr>
            <w:tcW w:w="992" w:type="dxa"/>
            <w:tcMar>
              <w:top w:w="100" w:type="dxa"/>
              <w:left w:w="100" w:type="dxa"/>
              <w:bottom w:w="100" w:type="dxa"/>
              <w:right w:w="100" w:type="dxa"/>
            </w:tcMar>
          </w:tcPr>
          <w:p w14:paraId="763C2E73"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-0.25 (-1.48 - 0.98)</w:t>
            </w:r>
          </w:p>
        </w:tc>
        <w:tc>
          <w:tcPr>
            <w:tcW w:w="1285" w:type="dxa"/>
            <w:tcMar>
              <w:top w:w="100" w:type="dxa"/>
              <w:left w:w="100" w:type="dxa"/>
              <w:bottom w:w="100" w:type="dxa"/>
              <w:right w:w="100" w:type="dxa"/>
            </w:tcMar>
          </w:tcPr>
          <w:p w14:paraId="7DCEEE28"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0.85 (0.65 - 1.05)</w:t>
            </w:r>
          </w:p>
        </w:tc>
      </w:tr>
      <w:tr w:rsidR="00AA57B0" w:rsidRPr="00B115F7" w14:paraId="495FF645" w14:textId="77777777" w:rsidTr="00B115F7">
        <w:trPr>
          <w:trHeight w:val="740"/>
        </w:trPr>
        <w:tc>
          <w:tcPr>
            <w:tcW w:w="988" w:type="dxa"/>
            <w:tcBorders>
              <w:top w:val="nil"/>
              <w:left w:val="single" w:sz="4" w:space="0" w:color="000000"/>
              <w:bottom w:val="nil"/>
              <w:right w:val="single" w:sz="4" w:space="0" w:color="000000"/>
            </w:tcBorders>
            <w:tcMar>
              <w:top w:w="100" w:type="dxa"/>
              <w:left w:w="100" w:type="dxa"/>
              <w:bottom w:w="100" w:type="dxa"/>
              <w:right w:w="100" w:type="dxa"/>
            </w:tcMar>
          </w:tcPr>
          <w:p w14:paraId="5F34C199"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275" w:type="dxa"/>
            <w:tcBorders>
              <w:top w:val="nil"/>
              <w:bottom w:val="nil"/>
            </w:tcBorders>
            <w:tcMar>
              <w:top w:w="100" w:type="dxa"/>
              <w:left w:w="100" w:type="dxa"/>
              <w:bottom w:w="100" w:type="dxa"/>
              <w:right w:w="100" w:type="dxa"/>
            </w:tcMar>
          </w:tcPr>
          <w:p w14:paraId="05F3F309"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bottom w:val="nil"/>
            </w:tcBorders>
            <w:tcMar>
              <w:top w:w="100" w:type="dxa"/>
              <w:left w:w="100" w:type="dxa"/>
              <w:bottom w:w="100" w:type="dxa"/>
              <w:right w:w="100" w:type="dxa"/>
            </w:tcMar>
          </w:tcPr>
          <w:p w14:paraId="7ABF5BAF"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3" w:type="dxa"/>
            <w:tcMar>
              <w:top w:w="100" w:type="dxa"/>
              <w:left w:w="100" w:type="dxa"/>
              <w:bottom w:w="100" w:type="dxa"/>
              <w:right w:w="100" w:type="dxa"/>
            </w:tcMar>
          </w:tcPr>
          <w:p w14:paraId="1A2D4A5A"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local</w:t>
            </w:r>
          </w:p>
        </w:tc>
        <w:tc>
          <w:tcPr>
            <w:tcW w:w="1417" w:type="dxa"/>
            <w:tcMar>
              <w:top w:w="100" w:type="dxa"/>
              <w:left w:w="100" w:type="dxa"/>
              <w:bottom w:w="100" w:type="dxa"/>
              <w:right w:w="100" w:type="dxa"/>
            </w:tcMar>
          </w:tcPr>
          <w:p w14:paraId="568A293F"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0.72 (0.49 - 0.95)</w:t>
            </w:r>
          </w:p>
        </w:tc>
        <w:tc>
          <w:tcPr>
            <w:tcW w:w="1276" w:type="dxa"/>
            <w:tcMar>
              <w:top w:w="100" w:type="dxa"/>
              <w:left w:w="100" w:type="dxa"/>
              <w:bottom w:w="100" w:type="dxa"/>
              <w:right w:w="100" w:type="dxa"/>
            </w:tcMar>
          </w:tcPr>
          <w:p w14:paraId="0D5D4BD4"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0.13 (0.09 - 0.16)</w:t>
            </w:r>
          </w:p>
        </w:tc>
        <w:tc>
          <w:tcPr>
            <w:tcW w:w="992" w:type="dxa"/>
            <w:tcMar>
              <w:top w:w="100" w:type="dxa"/>
              <w:left w:w="100" w:type="dxa"/>
              <w:bottom w:w="100" w:type="dxa"/>
              <w:right w:w="100" w:type="dxa"/>
            </w:tcMar>
          </w:tcPr>
          <w:p w14:paraId="4F32B3BF"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-0.38 (-1.36 - 0.61)</w:t>
            </w:r>
          </w:p>
        </w:tc>
        <w:tc>
          <w:tcPr>
            <w:tcW w:w="1285" w:type="dxa"/>
            <w:tcMar>
              <w:top w:w="100" w:type="dxa"/>
              <w:left w:w="100" w:type="dxa"/>
              <w:bottom w:w="100" w:type="dxa"/>
              <w:right w:w="100" w:type="dxa"/>
            </w:tcMar>
          </w:tcPr>
          <w:p w14:paraId="672674E9"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0.85 (0.65 - 1.05)</w:t>
            </w:r>
          </w:p>
        </w:tc>
      </w:tr>
      <w:tr w:rsidR="00AA57B0" w:rsidRPr="00B115F7" w14:paraId="75696D61" w14:textId="77777777" w:rsidTr="00B115F7">
        <w:trPr>
          <w:trHeight w:val="740"/>
        </w:trPr>
        <w:tc>
          <w:tcPr>
            <w:tcW w:w="988" w:type="dxa"/>
            <w:tcBorders>
              <w:top w:val="nil"/>
              <w:left w:val="single" w:sz="4" w:space="0" w:color="000000"/>
              <w:bottom w:val="nil"/>
              <w:right w:val="single" w:sz="4" w:space="0" w:color="000000"/>
            </w:tcBorders>
            <w:tcMar>
              <w:top w:w="100" w:type="dxa"/>
              <w:left w:w="100" w:type="dxa"/>
              <w:bottom w:w="100" w:type="dxa"/>
              <w:right w:w="100" w:type="dxa"/>
            </w:tcMar>
          </w:tcPr>
          <w:p w14:paraId="017796ED"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275" w:type="dxa"/>
            <w:tcBorders>
              <w:top w:val="nil"/>
              <w:bottom w:val="nil"/>
            </w:tcBorders>
            <w:tcMar>
              <w:top w:w="100" w:type="dxa"/>
              <w:left w:w="100" w:type="dxa"/>
              <w:bottom w:w="100" w:type="dxa"/>
              <w:right w:w="100" w:type="dxa"/>
            </w:tcMar>
          </w:tcPr>
          <w:p w14:paraId="63E5BE1D"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bottom w:val="nil"/>
            </w:tcBorders>
            <w:tcMar>
              <w:top w:w="100" w:type="dxa"/>
              <w:left w:w="100" w:type="dxa"/>
              <w:bottom w:w="100" w:type="dxa"/>
              <w:right w:w="100" w:type="dxa"/>
            </w:tcMar>
          </w:tcPr>
          <w:p w14:paraId="7FBB4B54"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3" w:type="dxa"/>
            <w:tcMar>
              <w:top w:w="100" w:type="dxa"/>
              <w:left w:w="100" w:type="dxa"/>
              <w:bottom w:w="100" w:type="dxa"/>
              <w:right w:w="100" w:type="dxa"/>
            </w:tcMar>
          </w:tcPr>
          <w:p w14:paraId="4F45D74A"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250 m</w:t>
            </w:r>
          </w:p>
        </w:tc>
        <w:tc>
          <w:tcPr>
            <w:tcW w:w="1417" w:type="dxa"/>
            <w:tcMar>
              <w:top w:w="100" w:type="dxa"/>
              <w:left w:w="100" w:type="dxa"/>
              <w:bottom w:w="100" w:type="dxa"/>
              <w:right w:w="100" w:type="dxa"/>
            </w:tcMar>
          </w:tcPr>
          <w:p w14:paraId="456122CD"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0.67 (0.26 - 1.07)</w:t>
            </w:r>
          </w:p>
        </w:tc>
        <w:tc>
          <w:tcPr>
            <w:tcW w:w="1276" w:type="dxa"/>
            <w:tcMar>
              <w:top w:w="100" w:type="dxa"/>
              <w:left w:w="100" w:type="dxa"/>
              <w:bottom w:w="100" w:type="dxa"/>
              <w:right w:w="100" w:type="dxa"/>
            </w:tcMar>
          </w:tcPr>
          <w:p w14:paraId="3A80E20C"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0.13 (0.08 - 0.17)</w:t>
            </w:r>
          </w:p>
        </w:tc>
        <w:tc>
          <w:tcPr>
            <w:tcW w:w="992" w:type="dxa"/>
            <w:tcMar>
              <w:top w:w="100" w:type="dxa"/>
              <w:left w:w="100" w:type="dxa"/>
              <w:bottom w:w="100" w:type="dxa"/>
              <w:right w:w="100" w:type="dxa"/>
            </w:tcMar>
          </w:tcPr>
          <w:p w14:paraId="7D6CBC73"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-0.25 (-1.23 - 0.73)</w:t>
            </w:r>
          </w:p>
        </w:tc>
        <w:tc>
          <w:tcPr>
            <w:tcW w:w="1285" w:type="dxa"/>
            <w:tcMar>
              <w:top w:w="100" w:type="dxa"/>
              <w:left w:w="100" w:type="dxa"/>
              <w:bottom w:w="100" w:type="dxa"/>
              <w:right w:w="100" w:type="dxa"/>
            </w:tcMar>
          </w:tcPr>
          <w:p w14:paraId="4F867CAA"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0.83 (0.63 - 1.02)</w:t>
            </w:r>
          </w:p>
        </w:tc>
      </w:tr>
      <w:tr w:rsidR="00B115F7" w:rsidRPr="00B115F7" w14:paraId="4EC22BB4" w14:textId="77777777" w:rsidTr="00B115F7">
        <w:trPr>
          <w:trHeight w:val="740"/>
        </w:trPr>
        <w:tc>
          <w:tcPr>
            <w:tcW w:w="988"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8962A75"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275" w:type="dxa"/>
            <w:tcBorders>
              <w:top w:val="nil"/>
              <w:bottom w:val="single" w:sz="4" w:space="0" w:color="000000"/>
            </w:tcBorders>
            <w:tcMar>
              <w:top w:w="100" w:type="dxa"/>
              <w:left w:w="100" w:type="dxa"/>
              <w:bottom w:w="100" w:type="dxa"/>
              <w:right w:w="100" w:type="dxa"/>
            </w:tcMar>
          </w:tcPr>
          <w:p w14:paraId="63E7AD08"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bottom w:val="single" w:sz="4" w:space="0" w:color="000000"/>
            </w:tcBorders>
            <w:tcMar>
              <w:top w:w="100" w:type="dxa"/>
              <w:left w:w="100" w:type="dxa"/>
              <w:bottom w:w="100" w:type="dxa"/>
              <w:right w:w="100" w:type="dxa"/>
            </w:tcMar>
          </w:tcPr>
          <w:p w14:paraId="49E606A3"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3" w:type="dxa"/>
            <w:tcMar>
              <w:top w:w="100" w:type="dxa"/>
              <w:left w:w="100" w:type="dxa"/>
              <w:bottom w:w="100" w:type="dxa"/>
              <w:right w:w="100" w:type="dxa"/>
            </w:tcMar>
          </w:tcPr>
          <w:p w14:paraId="1899894A"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750 m</w:t>
            </w:r>
          </w:p>
        </w:tc>
        <w:tc>
          <w:tcPr>
            <w:tcW w:w="1417" w:type="dxa"/>
            <w:tcMar>
              <w:top w:w="100" w:type="dxa"/>
              <w:left w:w="100" w:type="dxa"/>
              <w:bottom w:w="100" w:type="dxa"/>
              <w:right w:w="100" w:type="dxa"/>
            </w:tcMar>
          </w:tcPr>
          <w:p w14:paraId="553488D7"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0.66 (0.58 - 0.74)</w:t>
            </w:r>
          </w:p>
        </w:tc>
        <w:tc>
          <w:tcPr>
            <w:tcW w:w="1276" w:type="dxa"/>
            <w:tcMar>
              <w:top w:w="100" w:type="dxa"/>
              <w:left w:w="100" w:type="dxa"/>
              <w:bottom w:w="100" w:type="dxa"/>
              <w:right w:w="100" w:type="dxa"/>
            </w:tcMar>
          </w:tcPr>
          <w:p w14:paraId="5B727958"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0.13 (0.12 - 0.14)</w:t>
            </w:r>
          </w:p>
        </w:tc>
        <w:tc>
          <w:tcPr>
            <w:tcW w:w="992" w:type="dxa"/>
            <w:tcMar>
              <w:top w:w="100" w:type="dxa"/>
              <w:left w:w="100" w:type="dxa"/>
              <w:bottom w:w="100" w:type="dxa"/>
              <w:right w:w="100" w:type="dxa"/>
            </w:tcMar>
          </w:tcPr>
          <w:p w14:paraId="51A60B9F"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-0.5 (-0.99 - -0.01)</w:t>
            </w:r>
          </w:p>
        </w:tc>
        <w:tc>
          <w:tcPr>
            <w:tcW w:w="1285" w:type="dxa"/>
            <w:tcMar>
              <w:top w:w="100" w:type="dxa"/>
              <w:left w:w="100" w:type="dxa"/>
              <w:bottom w:w="100" w:type="dxa"/>
              <w:right w:w="100" w:type="dxa"/>
            </w:tcMar>
          </w:tcPr>
          <w:p w14:paraId="6A18A6C1"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0.85 (0.7 - 1)</w:t>
            </w:r>
          </w:p>
        </w:tc>
      </w:tr>
      <w:tr w:rsidR="00AA57B0" w:rsidRPr="00B115F7" w14:paraId="48EFF94D" w14:textId="77777777" w:rsidTr="00B115F7">
        <w:trPr>
          <w:trHeight w:val="1010"/>
        </w:trPr>
        <w:tc>
          <w:tcPr>
            <w:tcW w:w="988" w:type="dxa"/>
            <w:tcBorders>
              <w:top w:val="single" w:sz="4" w:space="0" w:color="000000"/>
              <w:left w:val="single" w:sz="4" w:space="0" w:color="000000"/>
              <w:bottom w:val="nil"/>
              <w:right w:val="single" w:sz="4" w:space="0" w:color="000000"/>
            </w:tcBorders>
            <w:tcMar>
              <w:top w:w="100" w:type="dxa"/>
              <w:left w:w="100" w:type="dxa"/>
              <w:bottom w:w="100" w:type="dxa"/>
              <w:right w:w="100" w:type="dxa"/>
            </w:tcMar>
          </w:tcPr>
          <w:p w14:paraId="0A138052"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Canada Warbler</w:t>
            </w:r>
          </w:p>
        </w:tc>
        <w:tc>
          <w:tcPr>
            <w:tcW w:w="1275" w:type="dxa"/>
            <w:tcBorders>
              <w:bottom w:val="nil"/>
            </w:tcBorders>
            <w:tcMar>
              <w:top w:w="100" w:type="dxa"/>
              <w:left w:w="100" w:type="dxa"/>
              <w:bottom w:w="100" w:type="dxa"/>
              <w:right w:w="100" w:type="dxa"/>
            </w:tcMar>
          </w:tcPr>
          <w:p w14:paraId="292E7ACB"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northern Nova Scotia</w:t>
            </w:r>
          </w:p>
        </w:tc>
        <w:tc>
          <w:tcPr>
            <w:tcW w:w="1134" w:type="dxa"/>
            <w:tcBorders>
              <w:bottom w:val="nil"/>
            </w:tcBorders>
            <w:tcMar>
              <w:top w:w="100" w:type="dxa"/>
              <w:left w:w="100" w:type="dxa"/>
              <w:bottom w:w="100" w:type="dxa"/>
              <w:right w:w="100" w:type="dxa"/>
            </w:tcMar>
          </w:tcPr>
          <w:p w14:paraId="77298FA4"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northern Nova Scotia</w:t>
            </w:r>
          </w:p>
        </w:tc>
        <w:tc>
          <w:tcPr>
            <w:tcW w:w="993" w:type="dxa"/>
            <w:tcMar>
              <w:top w:w="100" w:type="dxa"/>
              <w:left w:w="100" w:type="dxa"/>
              <w:bottom w:w="100" w:type="dxa"/>
              <w:right w:w="100" w:type="dxa"/>
            </w:tcMar>
          </w:tcPr>
          <w:p w14:paraId="107874E0"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full</w:t>
            </w:r>
          </w:p>
        </w:tc>
        <w:tc>
          <w:tcPr>
            <w:tcW w:w="1417" w:type="dxa"/>
            <w:tcMar>
              <w:top w:w="100" w:type="dxa"/>
              <w:left w:w="100" w:type="dxa"/>
              <w:bottom w:w="100" w:type="dxa"/>
              <w:right w:w="100" w:type="dxa"/>
            </w:tcMar>
          </w:tcPr>
          <w:p w14:paraId="7828773C"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1.88 (1.52 - 2.23)</w:t>
            </w:r>
          </w:p>
        </w:tc>
        <w:tc>
          <w:tcPr>
            <w:tcW w:w="1276" w:type="dxa"/>
            <w:tcMar>
              <w:top w:w="100" w:type="dxa"/>
              <w:left w:w="100" w:type="dxa"/>
              <w:bottom w:w="100" w:type="dxa"/>
              <w:right w:w="100" w:type="dxa"/>
            </w:tcMar>
          </w:tcPr>
          <w:p w14:paraId="43732C09"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0.03 (0.01 - 0.05)</w:t>
            </w:r>
          </w:p>
        </w:tc>
        <w:tc>
          <w:tcPr>
            <w:tcW w:w="992" w:type="dxa"/>
            <w:tcMar>
              <w:top w:w="100" w:type="dxa"/>
              <w:left w:w="100" w:type="dxa"/>
              <w:bottom w:w="100" w:type="dxa"/>
              <w:right w:w="100" w:type="dxa"/>
            </w:tcMar>
          </w:tcPr>
          <w:p w14:paraId="346D3D32"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1.5 (-1.05 - 4.05)</w:t>
            </w:r>
          </w:p>
        </w:tc>
        <w:tc>
          <w:tcPr>
            <w:tcW w:w="1285" w:type="dxa"/>
            <w:tcMar>
              <w:top w:w="100" w:type="dxa"/>
              <w:left w:w="100" w:type="dxa"/>
              <w:bottom w:w="100" w:type="dxa"/>
              <w:right w:w="100" w:type="dxa"/>
            </w:tcMar>
          </w:tcPr>
          <w:p w14:paraId="5DD17E87"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1.37 (0.64 - 2.11)</w:t>
            </w:r>
          </w:p>
        </w:tc>
      </w:tr>
      <w:tr w:rsidR="00AA57B0" w:rsidRPr="00B115F7" w14:paraId="7A712656" w14:textId="77777777" w:rsidTr="00B115F7">
        <w:trPr>
          <w:trHeight w:val="740"/>
        </w:trPr>
        <w:tc>
          <w:tcPr>
            <w:tcW w:w="988" w:type="dxa"/>
            <w:tcBorders>
              <w:top w:val="nil"/>
              <w:left w:val="single" w:sz="4" w:space="0" w:color="000000"/>
              <w:bottom w:val="nil"/>
              <w:right w:val="single" w:sz="4" w:space="0" w:color="000000"/>
            </w:tcBorders>
            <w:tcMar>
              <w:top w:w="100" w:type="dxa"/>
              <w:left w:w="100" w:type="dxa"/>
              <w:bottom w:w="100" w:type="dxa"/>
              <w:right w:w="100" w:type="dxa"/>
            </w:tcMar>
          </w:tcPr>
          <w:p w14:paraId="393BED45"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275" w:type="dxa"/>
            <w:tcBorders>
              <w:top w:val="nil"/>
              <w:bottom w:val="nil"/>
            </w:tcBorders>
            <w:tcMar>
              <w:top w:w="100" w:type="dxa"/>
              <w:left w:w="100" w:type="dxa"/>
              <w:bottom w:w="100" w:type="dxa"/>
              <w:right w:w="100" w:type="dxa"/>
            </w:tcMar>
          </w:tcPr>
          <w:p w14:paraId="4B0A31EE"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bottom w:val="nil"/>
            </w:tcBorders>
            <w:tcMar>
              <w:top w:w="100" w:type="dxa"/>
              <w:left w:w="100" w:type="dxa"/>
              <w:bottom w:w="100" w:type="dxa"/>
              <w:right w:w="100" w:type="dxa"/>
            </w:tcMar>
          </w:tcPr>
          <w:p w14:paraId="612A4456"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3" w:type="dxa"/>
            <w:tcMar>
              <w:top w:w="100" w:type="dxa"/>
              <w:left w:w="100" w:type="dxa"/>
              <w:bottom w:w="100" w:type="dxa"/>
              <w:right w:w="100" w:type="dxa"/>
            </w:tcMar>
          </w:tcPr>
          <w:p w14:paraId="2D8C7F05" w14:textId="0488C305"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selected scale</w:t>
            </w:r>
            <w:r w:rsidR="00B115F7">
              <w:rPr>
                <w:rFonts w:ascii="Times New Roman" w:eastAsia="Times New Roman" w:hAnsi="Times New Roman" w:cs="Times New Roman"/>
                <w:sz w:val="20"/>
                <w:szCs w:val="20"/>
              </w:rPr>
              <w:t>s</w:t>
            </w:r>
          </w:p>
        </w:tc>
        <w:tc>
          <w:tcPr>
            <w:tcW w:w="1417" w:type="dxa"/>
            <w:tcMar>
              <w:top w:w="100" w:type="dxa"/>
              <w:left w:w="100" w:type="dxa"/>
              <w:bottom w:w="100" w:type="dxa"/>
              <w:right w:w="100" w:type="dxa"/>
            </w:tcMar>
          </w:tcPr>
          <w:p w14:paraId="01F1AC40"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1.9 (1.6 - 2.19)</w:t>
            </w:r>
          </w:p>
        </w:tc>
        <w:tc>
          <w:tcPr>
            <w:tcW w:w="1276" w:type="dxa"/>
            <w:tcMar>
              <w:top w:w="100" w:type="dxa"/>
              <w:left w:w="100" w:type="dxa"/>
              <w:bottom w:w="100" w:type="dxa"/>
              <w:right w:w="100" w:type="dxa"/>
            </w:tcMar>
          </w:tcPr>
          <w:p w14:paraId="2F69C707"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0.04 (0.03 - 0.05)</w:t>
            </w:r>
          </w:p>
        </w:tc>
        <w:tc>
          <w:tcPr>
            <w:tcW w:w="992" w:type="dxa"/>
            <w:tcMar>
              <w:top w:w="100" w:type="dxa"/>
              <w:left w:w="100" w:type="dxa"/>
              <w:bottom w:w="100" w:type="dxa"/>
              <w:right w:w="100" w:type="dxa"/>
            </w:tcMar>
          </w:tcPr>
          <w:p w14:paraId="08051EBB"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2.2 (0.24 - 4.16)</w:t>
            </w:r>
          </w:p>
        </w:tc>
        <w:tc>
          <w:tcPr>
            <w:tcW w:w="1285" w:type="dxa"/>
            <w:tcMar>
              <w:top w:w="100" w:type="dxa"/>
              <w:left w:w="100" w:type="dxa"/>
              <w:bottom w:w="100" w:type="dxa"/>
              <w:right w:w="100" w:type="dxa"/>
            </w:tcMar>
          </w:tcPr>
          <w:p w14:paraId="4778A57A"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1.5 (1.01 - 1.99)</w:t>
            </w:r>
          </w:p>
        </w:tc>
      </w:tr>
      <w:tr w:rsidR="00AA57B0" w:rsidRPr="00B115F7" w14:paraId="5F23DB3F" w14:textId="77777777" w:rsidTr="00B115F7">
        <w:trPr>
          <w:trHeight w:val="485"/>
        </w:trPr>
        <w:tc>
          <w:tcPr>
            <w:tcW w:w="988" w:type="dxa"/>
            <w:tcBorders>
              <w:top w:val="nil"/>
              <w:left w:val="single" w:sz="4" w:space="0" w:color="000000"/>
              <w:bottom w:val="nil"/>
              <w:right w:val="single" w:sz="4" w:space="0" w:color="000000"/>
            </w:tcBorders>
            <w:tcMar>
              <w:top w:w="100" w:type="dxa"/>
              <w:left w:w="100" w:type="dxa"/>
              <w:bottom w:w="100" w:type="dxa"/>
              <w:right w:w="100" w:type="dxa"/>
            </w:tcMar>
          </w:tcPr>
          <w:p w14:paraId="61D8BC75"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275" w:type="dxa"/>
            <w:tcBorders>
              <w:top w:val="nil"/>
              <w:bottom w:val="nil"/>
            </w:tcBorders>
            <w:tcMar>
              <w:top w:w="100" w:type="dxa"/>
              <w:left w:w="100" w:type="dxa"/>
              <w:bottom w:w="100" w:type="dxa"/>
              <w:right w:w="100" w:type="dxa"/>
            </w:tcMar>
          </w:tcPr>
          <w:p w14:paraId="52C2C139"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bottom w:val="nil"/>
            </w:tcBorders>
            <w:tcMar>
              <w:top w:w="100" w:type="dxa"/>
              <w:left w:w="100" w:type="dxa"/>
              <w:bottom w:w="100" w:type="dxa"/>
              <w:right w:w="100" w:type="dxa"/>
            </w:tcMar>
          </w:tcPr>
          <w:p w14:paraId="147B970E"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3" w:type="dxa"/>
            <w:tcMar>
              <w:top w:w="100" w:type="dxa"/>
              <w:left w:w="100" w:type="dxa"/>
              <w:bottom w:w="100" w:type="dxa"/>
              <w:right w:w="100" w:type="dxa"/>
            </w:tcMar>
          </w:tcPr>
          <w:p w14:paraId="645EA46A"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local</w:t>
            </w:r>
          </w:p>
        </w:tc>
        <w:tc>
          <w:tcPr>
            <w:tcW w:w="1417" w:type="dxa"/>
            <w:tcMar>
              <w:top w:w="100" w:type="dxa"/>
              <w:left w:w="100" w:type="dxa"/>
              <w:bottom w:w="100" w:type="dxa"/>
              <w:right w:w="100" w:type="dxa"/>
            </w:tcMar>
          </w:tcPr>
          <w:p w14:paraId="1DD6566B"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w:t>
            </w:r>
          </w:p>
        </w:tc>
        <w:tc>
          <w:tcPr>
            <w:tcW w:w="1276" w:type="dxa"/>
            <w:tcMar>
              <w:top w:w="100" w:type="dxa"/>
              <w:left w:w="100" w:type="dxa"/>
              <w:bottom w:w="100" w:type="dxa"/>
              <w:right w:w="100" w:type="dxa"/>
            </w:tcMar>
          </w:tcPr>
          <w:p w14:paraId="42BE0D87"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w:t>
            </w:r>
          </w:p>
        </w:tc>
        <w:tc>
          <w:tcPr>
            <w:tcW w:w="992" w:type="dxa"/>
            <w:tcMar>
              <w:top w:w="100" w:type="dxa"/>
              <w:left w:w="100" w:type="dxa"/>
              <w:bottom w:w="100" w:type="dxa"/>
              <w:right w:w="100" w:type="dxa"/>
            </w:tcMar>
          </w:tcPr>
          <w:p w14:paraId="1019D8E6"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w:t>
            </w:r>
          </w:p>
        </w:tc>
        <w:tc>
          <w:tcPr>
            <w:tcW w:w="1285" w:type="dxa"/>
            <w:tcMar>
              <w:top w:w="100" w:type="dxa"/>
              <w:left w:w="100" w:type="dxa"/>
              <w:bottom w:w="100" w:type="dxa"/>
              <w:right w:w="100" w:type="dxa"/>
            </w:tcMar>
          </w:tcPr>
          <w:p w14:paraId="4AA2B5C3"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w:t>
            </w:r>
          </w:p>
        </w:tc>
      </w:tr>
      <w:tr w:rsidR="00AA57B0" w:rsidRPr="00B115F7" w14:paraId="20737D2B" w14:textId="77777777" w:rsidTr="00B115F7">
        <w:trPr>
          <w:trHeight w:val="740"/>
        </w:trPr>
        <w:tc>
          <w:tcPr>
            <w:tcW w:w="988" w:type="dxa"/>
            <w:tcBorders>
              <w:top w:val="nil"/>
              <w:left w:val="single" w:sz="4" w:space="0" w:color="000000"/>
              <w:bottom w:val="nil"/>
              <w:right w:val="single" w:sz="4" w:space="0" w:color="000000"/>
            </w:tcBorders>
            <w:tcMar>
              <w:top w:w="100" w:type="dxa"/>
              <w:left w:w="100" w:type="dxa"/>
              <w:bottom w:w="100" w:type="dxa"/>
              <w:right w:w="100" w:type="dxa"/>
            </w:tcMar>
          </w:tcPr>
          <w:p w14:paraId="7D9EDED1"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275" w:type="dxa"/>
            <w:tcBorders>
              <w:top w:val="nil"/>
              <w:bottom w:val="nil"/>
            </w:tcBorders>
            <w:tcMar>
              <w:top w:w="100" w:type="dxa"/>
              <w:left w:w="100" w:type="dxa"/>
              <w:bottom w:w="100" w:type="dxa"/>
              <w:right w:w="100" w:type="dxa"/>
            </w:tcMar>
          </w:tcPr>
          <w:p w14:paraId="52D6FD72"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bottom w:val="nil"/>
            </w:tcBorders>
            <w:tcMar>
              <w:top w:w="100" w:type="dxa"/>
              <w:left w:w="100" w:type="dxa"/>
              <w:bottom w:w="100" w:type="dxa"/>
              <w:right w:w="100" w:type="dxa"/>
            </w:tcMar>
          </w:tcPr>
          <w:p w14:paraId="1CC5F2A1"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3" w:type="dxa"/>
            <w:tcMar>
              <w:top w:w="100" w:type="dxa"/>
              <w:left w:w="100" w:type="dxa"/>
              <w:bottom w:w="100" w:type="dxa"/>
              <w:right w:w="100" w:type="dxa"/>
            </w:tcMar>
          </w:tcPr>
          <w:p w14:paraId="70F9D9C2"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250 m</w:t>
            </w:r>
          </w:p>
        </w:tc>
        <w:tc>
          <w:tcPr>
            <w:tcW w:w="1417" w:type="dxa"/>
            <w:tcMar>
              <w:top w:w="100" w:type="dxa"/>
              <w:left w:w="100" w:type="dxa"/>
              <w:bottom w:w="100" w:type="dxa"/>
              <w:right w:w="100" w:type="dxa"/>
            </w:tcMar>
          </w:tcPr>
          <w:p w14:paraId="3C23EE6C"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1.88 (1.49 - 2.27)</w:t>
            </w:r>
          </w:p>
        </w:tc>
        <w:tc>
          <w:tcPr>
            <w:tcW w:w="1276" w:type="dxa"/>
            <w:tcMar>
              <w:top w:w="100" w:type="dxa"/>
              <w:left w:w="100" w:type="dxa"/>
              <w:bottom w:w="100" w:type="dxa"/>
              <w:right w:w="100" w:type="dxa"/>
            </w:tcMar>
          </w:tcPr>
          <w:p w14:paraId="497E8451"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0.05 (0.03 - 0.08)</w:t>
            </w:r>
          </w:p>
        </w:tc>
        <w:tc>
          <w:tcPr>
            <w:tcW w:w="992" w:type="dxa"/>
            <w:tcMar>
              <w:top w:w="100" w:type="dxa"/>
              <w:left w:w="100" w:type="dxa"/>
              <w:bottom w:w="100" w:type="dxa"/>
              <w:right w:w="100" w:type="dxa"/>
            </w:tcMar>
          </w:tcPr>
          <w:p w14:paraId="15A70486"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2.7 (-0.24 - 5.64)</w:t>
            </w:r>
          </w:p>
        </w:tc>
        <w:tc>
          <w:tcPr>
            <w:tcW w:w="1285" w:type="dxa"/>
            <w:tcMar>
              <w:top w:w="100" w:type="dxa"/>
              <w:left w:w="100" w:type="dxa"/>
              <w:bottom w:w="100" w:type="dxa"/>
              <w:right w:w="100" w:type="dxa"/>
            </w:tcMar>
          </w:tcPr>
          <w:p w14:paraId="43654E23"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1.67 (0.94 - 2.41)</w:t>
            </w:r>
          </w:p>
        </w:tc>
      </w:tr>
      <w:tr w:rsidR="00B115F7" w:rsidRPr="00B115F7" w14:paraId="366AEF54" w14:textId="77777777" w:rsidTr="00B115F7">
        <w:trPr>
          <w:trHeight w:val="485"/>
        </w:trPr>
        <w:tc>
          <w:tcPr>
            <w:tcW w:w="988"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995960B"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275" w:type="dxa"/>
            <w:tcBorders>
              <w:top w:val="nil"/>
              <w:bottom w:val="single" w:sz="4" w:space="0" w:color="000000"/>
            </w:tcBorders>
            <w:tcMar>
              <w:top w:w="100" w:type="dxa"/>
              <w:left w:w="100" w:type="dxa"/>
              <w:bottom w:w="100" w:type="dxa"/>
              <w:right w:w="100" w:type="dxa"/>
            </w:tcMar>
          </w:tcPr>
          <w:p w14:paraId="4AA9D90C"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bottom w:val="single" w:sz="4" w:space="0" w:color="000000"/>
            </w:tcBorders>
            <w:tcMar>
              <w:top w:w="100" w:type="dxa"/>
              <w:left w:w="100" w:type="dxa"/>
              <w:bottom w:w="100" w:type="dxa"/>
              <w:right w:w="100" w:type="dxa"/>
            </w:tcMar>
          </w:tcPr>
          <w:p w14:paraId="70F86BE9"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3" w:type="dxa"/>
            <w:tcMar>
              <w:top w:w="100" w:type="dxa"/>
              <w:left w:w="100" w:type="dxa"/>
              <w:bottom w:w="100" w:type="dxa"/>
              <w:right w:w="100" w:type="dxa"/>
            </w:tcMar>
          </w:tcPr>
          <w:p w14:paraId="0550BF96"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750 m</w:t>
            </w:r>
          </w:p>
        </w:tc>
        <w:tc>
          <w:tcPr>
            <w:tcW w:w="1417" w:type="dxa"/>
            <w:tcMar>
              <w:top w:w="100" w:type="dxa"/>
              <w:left w:w="100" w:type="dxa"/>
              <w:bottom w:w="100" w:type="dxa"/>
              <w:right w:w="100" w:type="dxa"/>
            </w:tcMar>
          </w:tcPr>
          <w:p w14:paraId="05D28D60"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1.79 (1.46 - 2.13)</w:t>
            </w:r>
          </w:p>
        </w:tc>
        <w:tc>
          <w:tcPr>
            <w:tcW w:w="1276" w:type="dxa"/>
            <w:tcMar>
              <w:top w:w="100" w:type="dxa"/>
              <w:left w:w="100" w:type="dxa"/>
              <w:bottom w:w="100" w:type="dxa"/>
              <w:right w:w="100" w:type="dxa"/>
            </w:tcMar>
          </w:tcPr>
          <w:p w14:paraId="798651F8"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0.09 (0.07 - 0.11)</w:t>
            </w:r>
          </w:p>
        </w:tc>
        <w:tc>
          <w:tcPr>
            <w:tcW w:w="992" w:type="dxa"/>
            <w:tcMar>
              <w:top w:w="100" w:type="dxa"/>
              <w:left w:w="100" w:type="dxa"/>
              <w:bottom w:w="100" w:type="dxa"/>
              <w:right w:w="100" w:type="dxa"/>
            </w:tcMar>
          </w:tcPr>
          <w:p w14:paraId="31039CD8"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0.8 (0.21 - 1.39)</w:t>
            </w:r>
          </w:p>
        </w:tc>
        <w:tc>
          <w:tcPr>
            <w:tcW w:w="1285" w:type="dxa"/>
            <w:tcMar>
              <w:top w:w="100" w:type="dxa"/>
              <w:left w:w="100" w:type="dxa"/>
              <w:bottom w:w="100" w:type="dxa"/>
              <w:right w:w="100" w:type="dxa"/>
            </w:tcMar>
          </w:tcPr>
          <w:p w14:paraId="72A4C6C9"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1.13 (1 - 1.25)</w:t>
            </w:r>
          </w:p>
        </w:tc>
      </w:tr>
      <w:tr w:rsidR="00AA57B0" w:rsidRPr="00B115F7" w14:paraId="766CA378" w14:textId="77777777" w:rsidTr="00B115F7">
        <w:trPr>
          <w:trHeight w:val="740"/>
        </w:trPr>
        <w:tc>
          <w:tcPr>
            <w:tcW w:w="988" w:type="dxa"/>
            <w:tcBorders>
              <w:top w:val="single" w:sz="4" w:space="0" w:color="000000"/>
              <w:left w:val="single" w:sz="4" w:space="0" w:color="000000"/>
              <w:bottom w:val="nil"/>
              <w:right w:val="single" w:sz="4" w:space="0" w:color="000000"/>
            </w:tcBorders>
            <w:tcMar>
              <w:top w:w="100" w:type="dxa"/>
              <w:left w:w="100" w:type="dxa"/>
              <w:bottom w:w="100" w:type="dxa"/>
              <w:right w:w="100" w:type="dxa"/>
            </w:tcMar>
          </w:tcPr>
          <w:p w14:paraId="3F6C28FB"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Wood Thrush</w:t>
            </w:r>
          </w:p>
        </w:tc>
        <w:tc>
          <w:tcPr>
            <w:tcW w:w="1275" w:type="dxa"/>
            <w:tcBorders>
              <w:bottom w:val="nil"/>
            </w:tcBorders>
            <w:tcMar>
              <w:top w:w="100" w:type="dxa"/>
              <w:left w:w="100" w:type="dxa"/>
              <w:bottom w:w="100" w:type="dxa"/>
              <w:right w:w="100" w:type="dxa"/>
            </w:tcMar>
          </w:tcPr>
          <w:p w14:paraId="336CF941"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eastern Canada</w:t>
            </w:r>
          </w:p>
        </w:tc>
        <w:tc>
          <w:tcPr>
            <w:tcW w:w="1134" w:type="dxa"/>
            <w:tcBorders>
              <w:bottom w:val="nil"/>
            </w:tcBorders>
            <w:tcMar>
              <w:top w:w="100" w:type="dxa"/>
              <w:left w:w="100" w:type="dxa"/>
              <w:bottom w:w="100" w:type="dxa"/>
              <w:right w:w="100" w:type="dxa"/>
            </w:tcMar>
          </w:tcPr>
          <w:p w14:paraId="76A304CE"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outside Ontario</w:t>
            </w:r>
          </w:p>
        </w:tc>
        <w:tc>
          <w:tcPr>
            <w:tcW w:w="993" w:type="dxa"/>
            <w:tcMar>
              <w:top w:w="100" w:type="dxa"/>
              <w:left w:w="100" w:type="dxa"/>
              <w:bottom w:w="100" w:type="dxa"/>
              <w:right w:w="100" w:type="dxa"/>
            </w:tcMar>
          </w:tcPr>
          <w:p w14:paraId="66FC5D00"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full</w:t>
            </w:r>
          </w:p>
        </w:tc>
        <w:tc>
          <w:tcPr>
            <w:tcW w:w="1417" w:type="dxa"/>
            <w:tcMar>
              <w:top w:w="100" w:type="dxa"/>
              <w:left w:w="100" w:type="dxa"/>
              <w:bottom w:w="100" w:type="dxa"/>
              <w:right w:w="100" w:type="dxa"/>
            </w:tcMar>
          </w:tcPr>
          <w:p w14:paraId="7A88C71A"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4.45 (1.25 - 7.65)</w:t>
            </w:r>
          </w:p>
        </w:tc>
        <w:tc>
          <w:tcPr>
            <w:tcW w:w="1276" w:type="dxa"/>
            <w:tcMar>
              <w:top w:w="100" w:type="dxa"/>
              <w:left w:w="100" w:type="dxa"/>
              <w:bottom w:w="100" w:type="dxa"/>
              <w:right w:w="100" w:type="dxa"/>
            </w:tcMar>
          </w:tcPr>
          <w:p w14:paraId="6C4B252E"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0.24 (0.12 - 0.35)</w:t>
            </w:r>
          </w:p>
        </w:tc>
        <w:tc>
          <w:tcPr>
            <w:tcW w:w="992" w:type="dxa"/>
            <w:tcMar>
              <w:top w:w="100" w:type="dxa"/>
              <w:left w:w="100" w:type="dxa"/>
              <w:bottom w:w="100" w:type="dxa"/>
              <w:right w:w="100" w:type="dxa"/>
            </w:tcMar>
          </w:tcPr>
          <w:p w14:paraId="19DE55EA"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-0.1 (-0.49 - 0.29)</w:t>
            </w:r>
          </w:p>
        </w:tc>
        <w:tc>
          <w:tcPr>
            <w:tcW w:w="1285" w:type="dxa"/>
            <w:tcMar>
              <w:top w:w="100" w:type="dxa"/>
              <w:left w:w="100" w:type="dxa"/>
              <w:bottom w:w="100" w:type="dxa"/>
              <w:right w:w="100" w:type="dxa"/>
            </w:tcMar>
          </w:tcPr>
          <w:p w14:paraId="0192C3C2"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0.95 (0.75 - 1.15)</w:t>
            </w:r>
          </w:p>
        </w:tc>
      </w:tr>
      <w:tr w:rsidR="00AA57B0" w:rsidRPr="00B115F7" w14:paraId="623799B8" w14:textId="77777777" w:rsidTr="00B115F7">
        <w:trPr>
          <w:trHeight w:val="740"/>
        </w:trPr>
        <w:tc>
          <w:tcPr>
            <w:tcW w:w="988" w:type="dxa"/>
            <w:tcBorders>
              <w:top w:val="nil"/>
              <w:left w:val="single" w:sz="4" w:space="0" w:color="000000"/>
              <w:bottom w:val="nil"/>
              <w:right w:val="single" w:sz="4" w:space="0" w:color="000000"/>
            </w:tcBorders>
            <w:tcMar>
              <w:top w:w="100" w:type="dxa"/>
              <w:left w:w="100" w:type="dxa"/>
              <w:bottom w:w="100" w:type="dxa"/>
              <w:right w:w="100" w:type="dxa"/>
            </w:tcMar>
          </w:tcPr>
          <w:p w14:paraId="40C82310"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275" w:type="dxa"/>
            <w:tcBorders>
              <w:top w:val="nil"/>
              <w:bottom w:val="nil"/>
            </w:tcBorders>
            <w:tcMar>
              <w:top w:w="100" w:type="dxa"/>
              <w:left w:w="100" w:type="dxa"/>
              <w:bottom w:w="100" w:type="dxa"/>
              <w:right w:w="100" w:type="dxa"/>
            </w:tcMar>
          </w:tcPr>
          <w:p w14:paraId="58F5F48D"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bottom w:val="nil"/>
            </w:tcBorders>
            <w:tcMar>
              <w:top w:w="100" w:type="dxa"/>
              <w:left w:w="100" w:type="dxa"/>
              <w:bottom w:w="100" w:type="dxa"/>
              <w:right w:w="100" w:type="dxa"/>
            </w:tcMar>
          </w:tcPr>
          <w:p w14:paraId="6EB3B9F5"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w:t>
            </w:r>
          </w:p>
        </w:tc>
        <w:tc>
          <w:tcPr>
            <w:tcW w:w="993" w:type="dxa"/>
            <w:tcMar>
              <w:top w:w="100" w:type="dxa"/>
              <w:left w:w="100" w:type="dxa"/>
              <w:bottom w:w="100" w:type="dxa"/>
              <w:right w:w="100" w:type="dxa"/>
            </w:tcMar>
          </w:tcPr>
          <w:p w14:paraId="7FF1EC0E"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 xml:space="preserve">selected scales </w:t>
            </w:r>
          </w:p>
        </w:tc>
        <w:tc>
          <w:tcPr>
            <w:tcW w:w="1417" w:type="dxa"/>
            <w:tcMar>
              <w:top w:w="100" w:type="dxa"/>
              <w:left w:w="100" w:type="dxa"/>
              <w:bottom w:w="100" w:type="dxa"/>
              <w:right w:w="100" w:type="dxa"/>
            </w:tcMar>
          </w:tcPr>
          <w:p w14:paraId="7EF9BF41"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5.03 (1.45 - 8.61)</w:t>
            </w:r>
          </w:p>
        </w:tc>
        <w:tc>
          <w:tcPr>
            <w:tcW w:w="1276" w:type="dxa"/>
            <w:tcMar>
              <w:top w:w="100" w:type="dxa"/>
              <w:left w:w="100" w:type="dxa"/>
              <w:bottom w:w="100" w:type="dxa"/>
              <w:right w:w="100" w:type="dxa"/>
            </w:tcMar>
          </w:tcPr>
          <w:p w14:paraId="4E2B2FA7"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0.23 (0.17 - 0.3)</w:t>
            </w:r>
          </w:p>
        </w:tc>
        <w:tc>
          <w:tcPr>
            <w:tcW w:w="992" w:type="dxa"/>
            <w:tcMar>
              <w:top w:w="100" w:type="dxa"/>
              <w:left w:w="100" w:type="dxa"/>
              <w:bottom w:w="100" w:type="dxa"/>
              <w:right w:w="100" w:type="dxa"/>
            </w:tcMar>
          </w:tcPr>
          <w:p w14:paraId="69CFEA10"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-0.15 (-0.74 - 0.44)</w:t>
            </w:r>
          </w:p>
        </w:tc>
        <w:tc>
          <w:tcPr>
            <w:tcW w:w="1285" w:type="dxa"/>
            <w:tcMar>
              <w:top w:w="100" w:type="dxa"/>
              <w:left w:w="100" w:type="dxa"/>
              <w:bottom w:w="100" w:type="dxa"/>
              <w:right w:w="100" w:type="dxa"/>
            </w:tcMar>
          </w:tcPr>
          <w:p w14:paraId="68536431"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0.85 (0.56 - 1.14)</w:t>
            </w:r>
          </w:p>
        </w:tc>
      </w:tr>
      <w:tr w:rsidR="00AA57B0" w:rsidRPr="00B115F7" w14:paraId="2BA72CBD" w14:textId="77777777" w:rsidTr="00B115F7">
        <w:trPr>
          <w:trHeight w:val="740"/>
        </w:trPr>
        <w:tc>
          <w:tcPr>
            <w:tcW w:w="988" w:type="dxa"/>
            <w:tcBorders>
              <w:top w:val="nil"/>
              <w:left w:val="single" w:sz="4" w:space="0" w:color="000000"/>
              <w:bottom w:val="nil"/>
              <w:right w:val="single" w:sz="4" w:space="0" w:color="000000"/>
            </w:tcBorders>
            <w:tcMar>
              <w:top w:w="100" w:type="dxa"/>
              <w:left w:w="100" w:type="dxa"/>
              <w:bottom w:w="100" w:type="dxa"/>
              <w:right w:w="100" w:type="dxa"/>
            </w:tcMar>
          </w:tcPr>
          <w:p w14:paraId="0A111398"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275" w:type="dxa"/>
            <w:tcBorders>
              <w:top w:val="nil"/>
              <w:bottom w:val="nil"/>
            </w:tcBorders>
            <w:tcMar>
              <w:top w:w="100" w:type="dxa"/>
              <w:left w:w="100" w:type="dxa"/>
              <w:bottom w:w="100" w:type="dxa"/>
              <w:right w:w="100" w:type="dxa"/>
            </w:tcMar>
          </w:tcPr>
          <w:p w14:paraId="4C296956"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bottom w:val="nil"/>
            </w:tcBorders>
            <w:tcMar>
              <w:top w:w="100" w:type="dxa"/>
              <w:left w:w="100" w:type="dxa"/>
              <w:bottom w:w="100" w:type="dxa"/>
              <w:right w:w="100" w:type="dxa"/>
            </w:tcMar>
          </w:tcPr>
          <w:p w14:paraId="6BBAEE24"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3" w:type="dxa"/>
            <w:tcMar>
              <w:top w:w="100" w:type="dxa"/>
              <w:left w:w="100" w:type="dxa"/>
              <w:bottom w:w="100" w:type="dxa"/>
              <w:right w:w="100" w:type="dxa"/>
            </w:tcMar>
          </w:tcPr>
          <w:p w14:paraId="7D4EDC7A"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local</w:t>
            </w:r>
          </w:p>
        </w:tc>
        <w:tc>
          <w:tcPr>
            <w:tcW w:w="1417" w:type="dxa"/>
            <w:tcMar>
              <w:top w:w="100" w:type="dxa"/>
              <w:left w:w="100" w:type="dxa"/>
              <w:bottom w:w="100" w:type="dxa"/>
              <w:right w:w="100" w:type="dxa"/>
            </w:tcMar>
          </w:tcPr>
          <w:p w14:paraId="556D28D5"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3.97 (1.67 - 6.26)</w:t>
            </w:r>
          </w:p>
        </w:tc>
        <w:tc>
          <w:tcPr>
            <w:tcW w:w="1276" w:type="dxa"/>
            <w:tcMar>
              <w:top w:w="100" w:type="dxa"/>
              <w:left w:w="100" w:type="dxa"/>
              <w:bottom w:w="100" w:type="dxa"/>
              <w:right w:w="100" w:type="dxa"/>
            </w:tcMar>
          </w:tcPr>
          <w:p w14:paraId="57C45E9A"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0.18 (0.08 - 0.28)</w:t>
            </w:r>
          </w:p>
        </w:tc>
        <w:tc>
          <w:tcPr>
            <w:tcW w:w="992" w:type="dxa"/>
            <w:tcMar>
              <w:top w:w="100" w:type="dxa"/>
              <w:left w:w="100" w:type="dxa"/>
              <w:bottom w:w="100" w:type="dxa"/>
              <w:right w:w="100" w:type="dxa"/>
            </w:tcMar>
          </w:tcPr>
          <w:p w14:paraId="236E1104"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-0.5 (-1.09 - 0.09)</w:t>
            </w:r>
          </w:p>
        </w:tc>
        <w:tc>
          <w:tcPr>
            <w:tcW w:w="1285" w:type="dxa"/>
            <w:tcMar>
              <w:top w:w="100" w:type="dxa"/>
              <w:left w:w="100" w:type="dxa"/>
              <w:bottom w:w="100" w:type="dxa"/>
              <w:right w:w="100" w:type="dxa"/>
            </w:tcMar>
          </w:tcPr>
          <w:p w14:paraId="508F7C7A"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0.88 (0.68 - 1.08)</w:t>
            </w:r>
          </w:p>
        </w:tc>
      </w:tr>
      <w:tr w:rsidR="00AA57B0" w:rsidRPr="00B115F7" w14:paraId="30E7DD72" w14:textId="77777777" w:rsidTr="00B115F7">
        <w:trPr>
          <w:trHeight w:val="740"/>
        </w:trPr>
        <w:tc>
          <w:tcPr>
            <w:tcW w:w="988" w:type="dxa"/>
            <w:tcBorders>
              <w:top w:val="nil"/>
              <w:left w:val="single" w:sz="4" w:space="0" w:color="000000"/>
              <w:bottom w:val="nil"/>
              <w:right w:val="single" w:sz="4" w:space="0" w:color="000000"/>
            </w:tcBorders>
            <w:tcMar>
              <w:top w:w="100" w:type="dxa"/>
              <w:left w:w="100" w:type="dxa"/>
              <w:bottom w:w="100" w:type="dxa"/>
              <w:right w:w="100" w:type="dxa"/>
            </w:tcMar>
          </w:tcPr>
          <w:p w14:paraId="476C0F06"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275" w:type="dxa"/>
            <w:tcBorders>
              <w:top w:val="nil"/>
              <w:bottom w:val="nil"/>
            </w:tcBorders>
            <w:tcMar>
              <w:top w:w="100" w:type="dxa"/>
              <w:left w:w="100" w:type="dxa"/>
              <w:bottom w:w="100" w:type="dxa"/>
              <w:right w:w="100" w:type="dxa"/>
            </w:tcMar>
          </w:tcPr>
          <w:p w14:paraId="17893425"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bottom w:val="nil"/>
            </w:tcBorders>
            <w:tcMar>
              <w:top w:w="100" w:type="dxa"/>
              <w:left w:w="100" w:type="dxa"/>
              <w:bottom w:w="100" w:type="dxa"/>
              <w:right w:w="100" w:type="dxa"/>
            </w:tcMar>
          </w:tcPr>
          <w:p w14:paraId="05A2368D"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3" w:type="dxa"/>
            <w:tcMar>
              <w:top w:w="100" w:type="dxa"/>
              <w:left w:w="100" w:type="dxa"/>
              <w:bottom w:w="100" w:type="dxa"/>
              <w:right w:w="100" w:type="dxa"/>
            </w:tcMar>
          </w:tcPr>
          <w:p w14:paraId="3B138129"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250 m</w:t>
            </w:r>
          </w:p>
        </w:tc>
        <w:tc>
          <w:tcPr>
            <w:tcW w:w="1417" w:type="dxa"/>
            <w:tcMar>
              <w:top w:w="100" w:type="dxa"/>
              <w:left w:w="100" w:type="dxa"/>
              <w:bottom w:w="100" w:type="dxa"/>
              <w:right w:w="100" w:type="dxa"/>
            </w:tcMar>
          </w:tcPr>
          <w:p w14:paraId="764ED5BC"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4.09 (1.29 - 6.89)</w:t>
            </w:r>
          </w:p>
        </w:tc>
        <w:tc>
          <w:tcPr>
            <w:tcW w:w="1276" w:type="dxa"/>
            <w:tcMar>
              <w:top w:w="100" w:type="dxa"/>
              <w:left w:w="100" w:type="dxa"/>
              <w:bottom w:w="100" w:type="dxa"/>
              <w:right w:w="100" w:type="dxa"/>
            </w:tcMar>
          </w:tcPr>
          <w:p w14:paraId="496A9751"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0.19 (0.09 - 0.29)</w:t>
            </w:r>
          </w:p>
        </w:tc>
        <w:tc>
          <w:tcPr>
            <w:tcW w:w="992" w:type="dxa"/>
            <w:tcMar>
              <w:top w:w="100" w:type="dxa"/>
              <w:left w:w="100" w:type="dxa"/>
              <w:bottom w:w="100" w:type="dxa"/>
              <w:right w:w="100" w:type="dxa"/>
            </w:tcMar>
          </w:tcPr>
          <w:p w14:paraId="193BC862"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-0.4 (-0.79 - -0.01)</w:t>
            </w:r>
          </w:p>
        </w:tc>
        <w:tc>
          <w:tcPr>
            <w:tcW w:w="1285" w:type="dxa"/>
            <w:tcMar>
              <w:top w:w="100" w:type="dxa"/>
              <w:left w:w="100" w:type="dxa"/>
              <w:bottom w:w="100" w:type="dxa"/>
              <w:right w:w="100" w:type="dxa"/>
            </w:tcMar>
          </w:tcPr>
          <w:p w14:paraId="258315CB"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0.93 (0.73 - 1.13)</w:t>
            </w:r>
          </w:p>
        </w:tc>
      </w:tr>
      <w:tr w:rsidR="00AA57B0" w:rsidRPr="00B115F7" w14:paraId="6F166149" w14:textId="77777777" w:rsidTr="00B115F7">
        <w:trPr>
          <w:trHeight w:val="740"/>
        </w:trPr>
        <w:tc>
          <w:tcPr>
            <w:tcW w:w="988" w:type="dxa"/>
            <w:tcBorders>
              <w:top w:val="nil"/>
              <w:left w:val="single" w:sz="4" w:space="0" w:color="000000"/>
              <w:bottom w:val="nil"/>
              <w:right w:val="single" w:sz="4" w:space="0" w:color="000000"/>
            </w:tcBorders>
            <w:tcMar>
              <w:top w:w="100" w:type="dxa"/>
              <w:left w:w="100" w:type="dxa"/>
              <w:bottom w:w="100" w:type="dxa"/>
              <w:right w:w="100" w:type="dxa"/>
            </w:tcMar>
          </w:tcPr>
          <w:p w14:paraId="4A2729F1"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275" w:type="dxa"/>
            <w:tcBorders>
              <w:top w:val="nil"/>
              <w:bottom w:val="nil"/>
            </w:tcBorders>
            <w:tcMar>
              <w:top w:w="100" w:type="dxa"/>
              <w:left w:w="100" w:type="dxa"/>
              <w:bottom w:w="100" w:type="dxa"/>
              <w:right w:w="100" w:type="dxa"/>
            </w:tcMar>
          </w:tcPr>
          <w:p w14:paraId="5B80DFFC"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bottom w:val="nil"/>
            </w:tcBorders>
            <w:tcMar>
              <w:top w:w="100" w:type="dxa"/>
              <w:left w:w="100" w:type="dxa"/>
              <w:bottom w:w="100" w:type="dxa"/>
              <w:right w:w="100" w:type="dxa"/>
            </w:tcMar>
          </w:tcPr>
          <w:p w14:paraId="7A1DB3CA"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3" w:type="dxa"/>
            <w:tcMar>
              <w:top w:w="100" w:type="dxa"/>
              <w:left w:w="100" w:type="dxa"/>
              <w:bottom w:w="100" w:type="dxa"/>
              <w:right w:w="100" w:type="dxa"/>
            </w:tcMar>
          </w:tcPr>
          <w:p w14:paraId="60874624"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2000 m</w:t>
            </w:r>
          </w:p>
        </w:tc>
        <w:tc>
          <w:tcPr>
            <w:tcW w:w="1417" w:type="dxa"/>
            <w:tcMar>
              <w:top w:w="100" w:type="dxa"/>
              <w:left w:w="100" w:type="dxa"/>
              <w:bottom w:w="100" w:type="dxa"/>
              <w:right w:w="100" w:type="dxa"/>
            </w:tcMar>
          </w:tcPr>
          <w:p w14:paraId="409AB35C"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5.04 (1.67 - 8.41)</w:t>
            </w:r>
          </w:p>
        </w:tc>
        <w:tc>
          <w:tcPr>
            <w:tcW w:w="1276" w:type="dxa"/>
            <w:tcMar>
              <w:top w:w="100" w:type="dxa"/>
              <w:left w:w="100" w:type="dxa"/>
              <w:bottom w:w="100" w:type="dxa"/>
              <w:right w:w="100" w:type="dxa"/>
            </w:tcMar>
          </w:tcPr>
          <w:p w14:paraId="09DFB9ED"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0.23 (0.17 - 0.3)</w:t>
            </w:r>
          </w:p>
        </w:tc>
        <w:tc>
          <w:tcPr>
            <w:tcW w:w="992" w:type="dxa"/>
            <w:tcMar>
              <w:top w:w="100" w:type="dxa"/>
              <w:left w:w="100" w:type="dxa"/>
              <w:bottom w:w="100" w:type="dxa"/>
              <w:right w:w="100" w:type="dxa"/>
            </w:tcMar>
          </w:tcPr>
          <w:p w14:paraId="66EC62FB"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-0.05 (-0.74 - 0.64)</w:t>
            </w:r>
          </w:p>
        </w:tc>
        <w:tc>
          <w:tcPr>
            <w:tcW w:w="1285" w:type="dxa"/>
            <w:tcMar>
              <w:top w:w="100" w:type="dxa"/>
              <w:left w:w="100" w:type="dxa"/>
              <w:bottom w:w="100" w:type="dxa"/>
              <w:right w:w="100" w:type="dxa"/>
            </w:tcMar>
          </w:tcPr>
          <w:p w14:paraId="159E25A1"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0.88 (0.48 - 1.27)</w:t>
            </w:r>
          </w:p>
        </w:tc>
      </w:tr>
      <w:tr w:rsidR="00AA57B0" w:rsidRPr="00B115F7" w14:paraId="4659ABFD" w14:textId="77777777" w:rsidTr="00B115F7">
        <w:trPr>
          <w:trHeight w:val="740"/>
        </w:trPr>
        <w:tc>
          <w:tcPr>
            <w:tcW w:w="988"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89F1884"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275" w:type="dxa"/>
            <w:tcBorders>
              <w:top w:val="nil"/>
            </w:tcBorders>
            <w:tcMar>
              <w:top w:w="100" w:type="dxa"/>
              <w:left w:w="100" w:type="dxa"/>
              <w:bottom w:w="100" w:type="dxa"/>
              <w:right w:w="100" w:type="dxa"/>
            </w:tcMar>
          </w:tcPr>
          <w:p w14:paraId="1A7C687B"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tcBorders>
            <w:tcMar>
              <w:top w:w="100" w:type="dxa"/>
              <w:left w:w="100" w:type="dxa"/>
              <w:bottom w:w="100" w:type="dxa"/>
              <w:right w:w="100" w:type="dxa"/>
            </w:tcMar>
          </w:tcPr>
          <w:p w14:paraId="31C0F912" w14:textId="77777777" w:rsidR="00AA57B0" w:rsidRPr="00B115F7" w:rsidRDefault="00AA57B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3" w:type="dxa"/>
            <w:tcMar>
              <w:top w:w="100" w:type="dxa"/>
              <w:left w:w="100" w:type="dxa"/>
              <w:bottom w:w="100" w:type="dxa"/>
              <w:right w:w="100" w:type="dxa"/>
            </w:tcMar>
          </w:tcPr>
          <w:p w14:paraId="531FFED4"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1000 m</w:t>
            </w:r>
          </w:p>
        </w:tc>
        <w:tc>
          <w:tcPr>
            <w:tcW w:w="1417" w:type="dxa"/>
            <w:tcMar>
              <w:top w:w="100" w:type="dxa"/>
              <w:left w:w="100" w:type="dxa"/>
              <w:bottom w:w="100" w:type="dxa"/>
              <w:right w:w="100" w:type="dxa"/>
            </w:tcMar>
          </w:tcPr>
          <w:p w14:paraId="0D7FFC50"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4.21 (1.68 - 6.75)</w:t>
            </w:r>
          </w:p>
        </w:tc>
        <w:tc>
          <w:tcPr>
            <w:tcW w:w="1276" w:type="dxa"/>
            <w:tcMar>
              <w:top w:w="100" w:type="dxa"/>
              <w:left w:w="100" w:type="dxa"/>
              <w:bottom w:w="100" w:type="dxa"/>
              <w:right w:w="100" w:type="dxa"/>
            </w:tcMar>
          </w:tcPr>
          <w:p w14:paraId="01FF2EC1"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0.16 (0.07 - 0.24)</w:t>
            </w:r>
          </w:p>
        </w:tc>
        <w:tc>
          <w:tcPr>
            <w:tcW w:w="992" w:type="dxa"/>
            <w:tcMar>
              <w:top w:w="100" w:type="dxa"/>
              <w:left w:w="100" w:type="dxa"/>
              <w:bottom w:w="100" w:type="dxa"/>
              <w:right w:w="100" w:type="dxa"/>
            </w:tcMar>
          </w:tcPr>
          <w:p w14:paraId="35B1639A"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-0.6 (-1.29 - 0.09)</w:t>
            </w:r>
          </w:p>
        </w:tc>
        <w:tc>
          <w:tcPr>
            <w:tcW w:w="1285" w:type="dxa"/>
            <w:tcMar>
              <w:top w:w="100" w:type="dxa"/>
              <w:left w:w="100" w:type="dxa"/>
              <w:bottom w:w="100" w:type="dxa"/>
              <w:right w:w="100" w:type="dxa"/>
            </w:tcMar>
          </w:tcPr>
          <w:p w14:paraId="7146DB58"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0.78 (0.58 - 0.98)</w:t>
            </w:r>
          </w:p>
        </w:tc>
      </w:tr>
      <w:tr w:rsidR="00AA57B0" w:rsidRPr="00B115F7" w14:paraId="6810B9B6" w14:textId="77777777" w:rsidTr="00B115F7">
        <w:trPr>
          <w:trHeight w:val="740"/>
        </w:trPr>
        <w:tc>
          <w:tcPr>
            <w:tcW w:w="9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27EDD6"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Wood Thrush</w:t>
            </w:r>
          </w:p>
        </w:tc>
        <w:tc>
          <w:tcPr>
            <w:tcW w:w="1275" w:type="dxa"/>
            <w:tcMar>
              <w:top w:w="100" w:type="dxa"/>
              <w:left w:w="100" w:type="dxa"/>
              <w:bottom w:w="100" w:type="dxa"/>
              <w:right w:w="100" w:type="dxa"/>
            </w:tcMar>
          </w:tcPr>
          <w:p w14:paraId="0BDC1E49"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eastern Canada</w:t>
            </w:r>
          </w:p>
        </w:tc>
        <w:tc>
          <w:tcPr>
            <w:tcW w:w="1134" w:type="dxa"/>
            <w:tcMar>
              <w:top w:w="100" w:type="dxa"/>
              <w:left w:w="100" w:type="dxa"/>
              <w:bottom w:w="100" w:type="dxa"/>
              <w:right w:w="100" w:type="dxa"/>
            </w:tcMar>
          </w:tcPr>
          <w:p w14:paraId="16828D98"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Ontario</w:t>
            </w:r>
          </w:p>
        </w:tc>
        <w:tc>
          <w:tcPr>
            <w:tcW w:w="993" w:type="dxa"/>
            <w:tcMar>
              <w:top w:w="100" w:type="dxa"/>
              <w:left w:w="100" w:type="dxa"/>
              <w:bottom w:w="100" w:type="dxa"/>
              <w:right w:w="100" w:type="dxa"/>
            </w:tcMar>
          </w:tcPr>
          <w:p w14:paraId="297EC71A"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ALCES Online</w:t>
            </w:r>
          </w:p>
        </w:tc>
        <w:tc>
          <w:tcPr>
            <w:tcW w:w="1417" w:type="dxa"/>
            <w:tcMar>
              <w:top w:w="100" w:type="dxa"/>
              <w:left w:w="100" w:type="dxa"/>
              <w:bottom w:w="100" w:type="dxa"/>
              <w:right w:w="100" w:type="dxa"/>
            </w:tcMar>
          </w:tcPr>
          <w:p w14:paraId="7FA903D6"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5.1 (1.4 - 8.8)</w:t>
            </w:r>
          </w:p>
        </w:tc>
        <w:tc>
          <w:tcPr>
            <w:tcW w:w="1276" w:type="dxa"/>
            <w:tcMar>
              <w:top w:w="100" w:type="dxa"/>
              <w:left w:w="100" w:type="dxa"/>
              <w:bottom w:w="100" w:type="dxa"/>
              <w:right w:w="100" w:type="dxa"/>
            </w:tcMar>
          </w:tcPr>
          <w:p w14:paraId="12052F51"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0.22 (0.15 - 0.3)</w:t>
            </w:r>
          </w:p>
        </w:tc>
        <w:tc>
          <w:tcPr>
            <w:tcW w:w="992" w:type="dxa"/>
            <w:tcMar>
              <w:top w:w="100" w:type="dxa"/>
              <w:left w:w="100" w:type="dxa"/>
              <w:bottom w:w="100" w:type="dxa"/>
              <w:right w:w="100" w:type="dxa"/>
            </w:tcMar>
          </w:tcPr>
          <w:p w14:paraId="6BF4F297"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-0.15 (-0.54 - 0.24)</w:t>
            </w:r>
          </w:p>
        </w:tc>
        <w:tc>
          <w:tcPr>
            <w:tcW w:w="1285" w:type="dxa"/>
            <w:tcMar>
              <w:top w:w="100" w:type="dxa"/>
              <w:left w:w="100" w:type="dxa"/>
              <w:bottom w:w="100" w:type="dxa"/>
              <w:right w:w="100" w:type="dxa"/>
            </w:tcMar>
          </w:tcPr>
          <w:p w14:paraId="2F0B8597" w14:textId="77777777" w:rsidR="00AA57B0" w:rsidRPr="00B115F7"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B115F7">
              <w:rPr>
                <w:rFonts w:ascii="Times New Roman" w:eastAsia="Times New Roman" w:hAnsi="Times New Roman" w:cs="Times New Roman"/>
                <w:sz w:val="20"/>
                <w:szCs w:val="20"/>
              </w:rPr>
              <w:t>0.85 (0.65 - 1.05)</w:t>
            </w:r>
          </w:p>
        </w:tc>
      </w:tr>
    </w:tbl>
    <w:p w14:paraId="64B15C5F" w14:textId="77777777" w:rsidR="00AA57B0" w:rsidRDefault="00AA57B0">
      <w:pPr>
        <w:rPr>
          <w:rFonts w:ascii="Times New Roman" w:eastAsia="Times New Roman" w:hAnsi="Times New Roman" w:cs="Times New Roman"/>
          <w:sz w:val="24"/>
          <w:szCs w:val="24"/>
        </w:rPr>
      </w:pPr>
    </w:p>
    <w:p w14:paraId="03319FE0" w14:textId="77777777" w:rsidR="00AA57B0" w:rsidRDefault="00AA57B0">
      <w:pPr>
        <w:rPr>
          <w:rFonts w:ascii="Times New Roman" w:eastAsia="Times New Roman" w:hAnsi="Times New Roman" w:cs="Times New Roman"/>
          <w:sz w:val="24"/>
          <w:szCs w:val="24"/>
        </w:rPr>
      </w:pPr>
    </w:p>
    <w:p w14:paraId="21CF156A" w14:textId="77777777" w:rsidR="00AA57B0" w:rsidRDefault="00AA57B0">
      <w:pPr>
        <w:ind w:firstLine="720"/>
        <w:rPr>
          <w:rFonts w:ascii="Times New Roman" w:eastAsia="Times New Roman" w:hAnsi="Times New Roman" w:cs="Times New Roman"/>
          <w:sz w:val="24"/>
          <w:szCs w:val="24"/>
        </w:rPr>
      </w:pPr>
    </w:p>
    <w:p w14:paraId="20755077" w14:textId="77777777" w:rsidR="00AA57B0" w:rsidRDefault="00AA57B0">
      <w:pPr>
        <w:rPr>
          <w:rFonts w:ascii="Times New Roman" w:eastAsia="Times New Roman" w:hAnsi="Times New Roman" w:cs="Times New Roman"/>
          <w:sz w:val="24"/>
          <w:szCs w:val="24"/>
        </w:rPr>
      </w:pPr>
      <w:bookmarkStart w:id="7" w:name="_heading=h.3o7alnk" w:colFirst="0" w:colLast="0"/>
      <w:bookmarkEnd w:id="7"/>
    </w:p>
    <w:p w14:paraId="4F9C9E40" w14:textId="77777777" w:rsidR="00AA57B0" w:rsidRDefault="00AA57B0">
      <w:pPr>
        <w:ind w:firstLine="720"/>
        <w:rPr>
          <w:rFonts w:ascii="Times New Roman" w:eastAsia="Times New Roman" w:hAnsi="Times New Roman" w:cs="Times New Roman"/>
          <w:sz w:val="24"/>
          <w:szCs w:val="24"/>
        </w:rPr>
      </w:pPr>
    </w:p>
    <w:p w14:paraId="466FDFDB" w14:textId="77777777" w:rsidR="00AA57B0" w:rsidRDefault="00AA57B0">
      <w:pPr>
        <w:ind w:firstLine="720"/>
        <w:rPr>
          <w:rFonts w:ascii="Times New Roman" w:eastAsia="Times New Roman" w:hAnsi="Times New Roman" w:cs="Times New Roman"/>
          <w:sz w:val="24"/>
          <w:szCs w:val="24"/>
        </w:rPr>
      </w:pPr>
    </w:p>
    <w:p w14:paraId="4CEBAFE5" w14:textId="77777777" w:rsidR="00AA57B0" w:rsidRDefault="00AA57B0">
      <w:pPr>
        <w:ind w:firstLine="720"/>
        <w:rPr>
          <w:rFonts w:ascii="Times New Roman" w:eastAsia="Times New Roman" w:hAnsi="Times New Roman" w:cs="Times New Roman"/>
          <w:sz w:val="24"/>
          <w:szCs w:val="24"/>
        </w:rPr>
      </w:pPr>
    </w:p>
    <w:p w14:paraId="08C7CE25" w14:textId="77777777" w:rsidR="00AA57B0" w:rsidRDefault="00AA57B0">
      <w:pPr>
        <w:rPr>
          <w:rFonts w:ascii="Times New Roman" w:eastAsia="Times New Roman" w:hAnsi="Times New Roman" w:cs="Times New Roman"/>
          <w:sz w:val="24"/>
          <w:szCs w:val="24"/>
        </w:rPr>
      </w:pPr>
      <w:bookmarkStart w:id="8" w:name="_heading=h.23ckvvd" w:colFirst="0" w:colLast="0"/>
      <w:bookmarkEnd w:id="8"/>
    </w:p>
    <w:p w14:paraId="743C0EC5" w14:textId="77777777" w:rsidR="00AA57B0" w:rsidRDefault="00000000">
      <w:pPr>
        <w:rPr>
          <w:rFonts w:ascii="Times New Roman" w:eastAsia="Times New Roman" w:hAnsi="Times New Roman" w:cs="Times New Roman"/>
          <w:sz w:val="24"/>
          <w:szCs w:val="24"/>
        </w:rPr>
      </w:pPr>
      <w:bookmarkStart w:id="9" w:name="_heading=h.7eh0ofial6rh" w:colFirst="0" w:colLast="0"/>
      <w:bookmarkEnd w:id="9"/>
      <w:r>
        <w:rPr>
          <w:rFonts w:ascii="Times New Roman" w:eastAsia="Times New Roman" w:hAnsi="Times New Roman" w:cs="Times New Roman"/>
          <w:noProof/>
          <w:sz w:val="24"/>
          <w:szCs w:val="24"/>
        </w:rPr>
        <w:lastRenderedPageBreak/>
        <w:drawing>
          <wp:inline distT="114300" distB="114300" distL="114300" distR="114300" wp14:anchorId="4D46432B" wp14:editId="1B8BB917">
            <wp:extent cx="5943600" cy="5915025"/>
            <wp:effectExtent l="0" t="0" r="0" b="0"/>
            <wp:docPr id="1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b="23896"/>
                    <a:stretch>
                      <a:fillRect/>
                    </a:stretch>
                  </pic:blipFill>
                  <pic:spPr>
                    <a:xfrm>
                      <a:off x="0" y="0"/>
                      <a:ext cx="5943600" cy="5915025"/>
                    </a:xfrm>
                    <a:prstGeom prst="rect">
                      <a:avLst/>
                    </a:prstGeom>
                    <a:ln/>
                  </pic:spPr>
                </pic:pic>
              </a:graphicData>
            </a:graphic>
          </wp:inline>
        </w:drawing>
      </w:r>
    </w:p>
    <w:p w14:paraId="3F0F97A6" w14:textId="77777777" w:rsidR="00AA57B0" w:rsidRDefault="00000000">
      <w:pPr>
        <w:rPr>
          <w:rFonts w:ascii="Times New Roman" w:eastAsia="Times New Roman" w:hAnsi="Times New Roman" w:cs="Times New Roman"/>
          <w:sz w:val="24"/>
          <w:szCs w:val="24"/>
        </w:rPr>
        <w:sectPr w:rsidR="00AA57B0">
          <w:pgSz w:w="12240" w:h="15840"/>
          <w:pgMar w:top="1440" w:right="1440" w:bottom="1440" w:left="1440" w:header="708" w:footer="708" w:gutter="0"/>
          <w:pgNumType w:start="1"/>
          <w:cols w:space="720"/>
        </w:sectPr>
      </w:pPr>
      <w:bookmarkStart w:id="10" w:name="_heading=h.oa1hi6yhgol2" w:colFirst="0" w:colLast="0"/>
      <w:bookmarkEnd w:id="10"/>
      <w:r>
        <w:rPr>
          <w:rFonts w:ascii="Times New Roman" w:eastAsia="Times New Roman" w:hAnsi="Times New Roman" w:cs="Times New Roman"/>
          <w:sz w:val="24"/>
          <w:szCs w:val="24"/>
        </w:rPr>
        <w:t xml:space="preserve">Figure S2.1. Partial dependence plots showing the relationship between </w:t>
      </w:r>
      <w:proofErr w:type="gramStart"/>
      <w:r>
        <w:rPr>
          <w:rFonts w:ascii="Times New Roman" w:eastAsia="Times New Roman" w:hAnsi="Times New Roman" w:cs="Times New Roman"/>
          <w:sz w:val="24"/>
          <w:szCs w:val="24"/>
        </w:rPr>
        <w:t>y(</w:t>
      </w:r>
      <w:proofErr w:type="gramEnd"/>
      <w:r>
        <w:rPr>
          <w:rFonts w:ascii="Times New Roman" w:eastAsia="Times New Roman" w:hAnsi="Times New Roman" w:cs="Times New Roman"/>
          <w:sz w:val="24"/>
          <w:szCs w:val="24"/>
        </w:rPr>
        <w:t>predicted log[Canada Warbler density]) and each of the 9 most important variables from boosted regression trees predicting this species’ density in northern Nova Scotia. Relative influence of predictors is ordered from higher to lower, top to bottom and left to right.</w:t>
      </w:r>
    </w:p>
    <w:p w14:paraId="54398D5A" w14:textId="77777777" w:rsidR="00AA57B0"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A48737B" wp14:editId="28832481">
            <wp:extent cx="5943600" cy="5876925"/>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b="24387"/>
                    <a:stretch>
                      <a:fillRect/>
                    </a:stretch>
                  </pic:blipFill>
                  <pic:spPr>
                    <a:xfrm>
                      <a:off x="0" y="0"/>
                      <a:ext cx="5943600" cy="5876925"/>
                    </a:xfrm>
                    <a:prstGeom prst="rect">
                      <a:avLst/>
                    </a:prstGeom>
                    <a:ln/>
                  </pic:spPr>
                </pic:pic>
              </a:graphicData>
            </a:graphic>
          </wp:inline>
        </w:drawing>
      </w:r>
    </w:p>
    <w:p w14:paraId="3EF08B90" w14:textId="77777777" w:rsidR="00AA57B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S2.2. Partial dependence plots showing the relationship between </w:t>
      </w:r>
      <w:proofErr w:type="gramStart"/>
      <w:r>
        <w:rPr>
          <w:rFonts w:ascii="Times New Roman" w:eastAsia="Times New Roman" w:hAnsi="Times New Roman" w:cs="Times New Roman"/>
          <w:sz w:val="24"/>
          <w:szCs w:val="24"/>
        </w:rPr>
        <w:t>y(</w:t>
      </w:r>
      <w:proofErr w:type="gramEnd"/>
      <w:r>
        <w:rPr>
          <w:rFonts w:ascii="Times New Roman" w:eastAsia="Times New Roman" w:hAnsi="Times New Roman" w:cs="Times New Roman"/>
          <w:sz w:val="24"/>
          <w:szCs w:val="24"/>
        </w:rPr>
        <w:t>predicted log[Canada Warbler density]) and each of the 9 most important variables from boosted regression trees predicting this species’ density in Alberta. Relative influence of predictors is ordered from higher to lower, top to bottom and left to right.</w:t>
      </w:r>
    </w:p>
    <w:p w14:paraId="2D26F34C" w14:textId="77777777" w:rsidR="00AA57B0" w:rsidRDefault="00AA57B0">
      <w:pPr>
        <w:rPr>
          <w:rFonts w:ascii="Times New Roman" w:eastAsia="Times New Roman" w:hAnsi="Times New Roman" w:cs="Times New Roman"/>
          <w:sz w:val="24"/>
          <w:szCs w:val="24"/>
        </w:rPr>
      </w:pPr>
    </w:p>
    <w:p w14:paraId="4A50783C" w14:textId="77777777" w:rsidR="00AA57B0" w:rsidRDefault="00AA57B0">
      <w:pPr>
        <w:rPr>
          <w:rFonts w:ascii="Times New Roman" w:eastAsia="Times New Roman" w:hAnsi="Times New Roman" w:cs="Times New Roman"/>
          <w:sz w:val="24"/>
          <w:szCs w:val="24"/>
        </w:rPr>
      </w:pPr>
    </w:p>
    <w:p w14:paraId="0C217688" w14:textId="77777777" w:rsidR="00AA57B0" w:rsidRDefault="00AA57B0">
      <w:pPr>
        <w:ind w:firstLine="720"/>
        <w:rPr>
          <w:rFonts w:ascii="Times New Roman" w:eastAsia="Times New Roman" w:hAnsi="Times New Roman" w:cs="Times New Roman"/>
          <w:sz w:val="24"/>
          <w:szCs w:val="24"/>
        </w:rPr>
      </w:pPr>
    </w:p>
    <w:p w14:paraId="7ACD05FC" w14:textId="77777777" w:rsidR="00AA57B0" w:rsidRPr="005F2586" w:rsidRDefault="00000000">
      <w:pPr>
        <w:pStyle w:val="Heading2"/>
        <w:rPr>
          <w:rFonts w:ascii="Times New Roman" w:eastAsia="Times New Roman" w:hAnsi="Times New Roman" w:cs="Times New Roman"/>
          <w:bCs/>
          <w:sz w:val="24"/>
          <w:szCs w:val="24"/>
        </w:rPr>
      </w:pPr>
      <w:r w:rsidRPr="005F2586">
        <w:rPr>
          <w:rFonts w:ascii="Times New Roman" w:eastAsia="Times New Roman" w:hAnsi="Times New Roman" w:cs="Times New Roman"/>
          <w:bCs/>
          <w:sz w:val="24"/>
          <w:szCs w:val="24"/>
        </w:rPr>
        <w:lastRenderedPageBreak/>
        <w:t>Wood Thrush</w:t>
      </w:r>
    </w:p>
    <w:p w14:paraId="266B98CC" w14:textId="77777777" w:rsidR="00AA57B0" w:rsidRDefault="00000000" w:rsidP="005F2586">
      <w:pPr>
        <w:rPr>
          <w:rFonts w:ascii="Times New Roman" w:eastAsia="Times New Roman" w:hAnsi="Times New Roman" w:cs="Times New Roman"/>
          <w:sz w:val="24"/>
          <w:szCs w:val="24"/>
        </w:rPr>
      </w:pPr>
      <w:bookmarkStart w:id="11" w:name="_heading=h.z337ya" w:colFirst="0" w:colLast="0"/>
      <w:bookmarkEnd w:id="11"/>
      <w:r>
        <w:rPr>
          <w:rFonts w:ascii="Times New Roman" w:eastAsia="Times New Roman" w:hAnsi="Times New Roman" w:cs="Times New Roman"/>
          <w:sz w:val="24"/>
          <w:szCs w:val="24"/>
        </w:rPr>
        <w:t>We chose the selected-scales BRT as the final BRT to use for modeling present and future Wood Thrush densities due to the combination of higher cross-validation correlation, calibration intercept closer to 0, and slope closer to 1 (Table S2.3). Predictors with greatest relative influence in this BRT were proportions of (land within 150 - 2000 m consisting of) deciduous forest, swamp, shrubland, cultivated lands, and coniferous forest; whether a point count was within 150 m of any road and separately within 150 m of a major traffic road; mean point-level forest age and biomass within 2000 m; and elevation. Wood Thrush were on average most abundant when up to 80 % of land within 150 m consisted of swamps, when shrublands or coniferous forests comprised no more than 20 % of land within 2000 m, and with increasing deciduous forest cover within 150 m. Cultivated land and grassland were less important, but Wood Thrush increased with % cultivated lands within 1000 m, suggesting that they will use agricultural landscapes. Wood Thrush were less abundant at point counts within 150 m of roads in general, but the decrease was smaller within 150 m of major traffic roads: after accounting for roads, urban land within 2000 m had negligible influence on Wood Thrush. Wood Thrush were most abundant between 100 and 500 m above sea level. Wood Thrush declined when mean forest age within 2000 m was 20 – 60 years old, increased in forests &lt; 20 years old, but generally increased with mean stand age and live aboveground biomass within 2000 m (Figure S2.3, Table 1).</w:t>
      </w:r>
    </w:p>
    <w:p w14:paraId="08D19484" w14:textId="77777777" w:rsidR="00AA57B0" w:rsidRDefault="00AA57B0">
      <w:pPr>
        <w:rPr>
          <w:rFonts w:ascii="Times New Roman" w:eastAsia="Times New Roman" w:hAnsi="Times New Roman" w:cs="Times New Roman"/>
          <w:sz w:val="24"/>
          <w:szCs w:val="24"/>
        </w:rPr>
      </w:pPr>
      <w:bookmarkStart w:id="12" w:name="_heading=h.3j2qqm3" w:colFirst="0" w:colLast="0"/>
      <w:bookmarkEnd w:id="12"/>
    </w:p>
    <w:p w14:paraId="6B3B4D97" w14:textId="132CB2F2" w:rsidR="00AA57B0"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final BRT was modified for predicting future Wood Thrush densities in Ontario, Wood Thrush were on average most abundant when deciduous forests comprised about 60 % of land within 150 m of point counts, up to 70 % of land within 150 m consisted of swamps, and when shrublands comprised no more than 20 % of land within 2000 m. Wood Thrush were more abundant within 150 m of major traffic roads, but after accounting for this influence were less abundant at point counts within 150 m of roads in general. Wood Thrush increased with elevation to 200 m above sea level, then declined with further increases in elevation. Wood Thrush were most abundant in forests that were at least 50 years old and increased with mean stand age within 2000 m but were slightly more abundant in shrublands (mean stand age 2000 m &lt; 20 years old) than in forests 20 – 60 years old (mean stand age 2000 m = 20 – 60 years old) (Figure S2.4, Table 1). Higher current densities of Wood Thrush are predicted by BRTs in southwestern Ontario and southern Quebec than in New Brunswick or Nova Scotia (Figure S2.5). We estimated that there was habitat to support a current potential Wood Thrush population of 135</w:t>
      </w:r>
      <w:r w:rsidR="00C70356">
        <w:rPr>
          <w:rFonts w:ascii="Times New Roman" w:eastAsia="Times New Roman" w:hAnsi="Times New Roman" w:cs="Times New Roman"/>
          <w:sz w:val="24"/>
          <w:szCs w:val="24"/>
        </w:rPr>
        <w:t>,</w:t>
      </w:r>
      <w:r>
        <w:rPr>
          <w:rFonts w:ascii="Times New Roman" w:eastAsia="Times New Roman" w:hAnsi="Times New Roman" w:cs="Times New Roman"/>
          <w:sz w:val="24"/>
          <w:szCs w:val="24"/>
        </w:rPr>
        <w:t>887 (78</w:t>
      </w:r>
      <w:r w:rsidR="00C70356">
        <w:rPr>
          <w:rFonts w:ascii="Times New Roman" w:eastAsia="Times New Roman" w:hAnsi="Times New Roman" w:cs="Times New Roman"/>
          <w:sz w:val="24"/>
          <w:szCs w:val="24"/>
        </w:rPr>
        <w:t>,</w:t>
      </w:r>
      <w:r>
        <w:rPr>
          <w:rFonts w:ascii="Times New Roman" w:eastAsia="Times New Roman" w:hAnsi="Times New Roman" w:cs="Times New Roman"/>
          <w:sz w:val="24"/>
          <w:szCs w:val="24"/>
        </w:rPr>
        <w:t>570 ‒ 195</w:t>
      </w:r>
      <w:r w:rsidR="00C70356">
        <w:rPr>
          <w:rFonts w:ascii="Times New Roman" w:eastAsia="Times New Roman" w:hAnsi="Times New Roman" w:cs="Times New Roman"/>
          <w:sz w:val="24"/>
          <w:szCs w:val="24"/>
        </w:rPr>
        <w:t>,</w:t>
      </w:r>
      <w:r>
        <w:rPr>
          <w:rFonts w:ascii="Times New Roman" w:eastAsia="Times New Roman" w:hAnsi="Times New Roman" w:cs="Times New Roman"/>
          <w:sz w:val="24"/>
          <w:szCs w:val="24"/>
        </w:rPr>
        <w:t>204) in Ontario, 612</w:t>
      </w:r>
      <w:r w:rsidR="00C70356">
        <w:rPr>
          <w:rFonts w:ascii="Times New Roman" w:eastAsia="Times New Roman" w:hAnsi="Times New Roman" w:cs="Times New Roman"/>
          <w:sz w:val="24"/>
          <w:szCs w:val="24"/>
        </w:rPr>
        <w:t>,</w:t>
      </w:r>
      <w:r>
        <w:rPr>
          <w:rFonts w:ascii="Times New Roman" w:eastAsia="Times New Roman" w:hAnsi="Times New Roman" w:cs="Times New Roman"/>
          <w:sz w:val="24"/>
          <w:szCs w:val="24"/>
        </w:rPr>
        <w:t>380 (577</w:t>
      </w:r>
      <w:r w:rsidR="00C70356">
        <w:rPr>
          <w:rFonts w:ascii="Times New Roman" w:eastAsia="Times New Roman" w:hAnsi="Times New Roman" w:cs="Times New Roman"/>
          <w:sz w:val="24"/>
          <w:szCs w:val="24"/>
        </w:rPr>
        <w:t>,</w:t>
      </w:r>
      <w:r>
        <w:rPr>
          <w:rFonts w:ascii="Times New Roman" w:eastAsia="Times New Roman" w:hAnsi="Times New Roman" w:cs="Times New Roman"/>
          <w:sz w:val="24"/>
          <w:szCs w:val="24"/>
        </w:rPr>
        <w:t>207 ‒ 647</w:t>
      </w:r>
      <w:r w:rsidR="00C70356">
        <w:rPr>
          <w:rFonts w:ascii="Times New Roman" w:eastAsia="Times New Roman" w:hAnsi="Times New Roman" w:cs="Times New Roman"/>
          <w:sz w:val="24"/>
          <w:szCs w:val="24"/>
        </w:rPr>
        <w:t>,</w:t>
      </w:r>
      <w:r>
        <w:rPr>
          <w:rFonts w:ascii="Times New Roman" w:eastAsia="Times New Roman" w:hAnsi="Times New Roman" w:cs="Times New Roman"/>
          <w:sz w:val="24"/>
          <w:szCs w:val="24"/>
        </w:rPr>
        <w:t>552) in Quebec, 169</w:t>
      </w:r>
      <w:r w:rsidR="00C70356">
        <w:rPr>
          <w:rFonts w:ascii="Times New Roman" w:eastAsia="Times New Roman" w:hAnsi="Times New Roman" w:cs="Times New Roman"/>
          <w:sz w:val="24"/>
          <w:szCs w:val="24"/>
        </w:rPr>
        <w:t>,</w:t>
      </w:r>
      <w:r>
        <w:rPr>
          <w:rFonts w:ascii="Times New Roman" w:eastAsia="Times New Roman" w:hAnsi="Times New Roman" w:cs="Times New Roman"/>
          <w:sz w:val="24"/>
          <w:szCs w:val="24"/>
        </w:rPr>
        <w:t>926 (159</w:t>
      </w:r>
      <w:r w:rsidR="00C70356">
        <w:rPr>
          <w:rFonts w:ascii="Times New Roman" w:eastAsia="Times New Roman" w:hAnsi="Times New Roman" w:cs="Times New Roman"/>
          <w:sz w:val="24"/>
          <w:szCs w:val="24"/>
        </w:rPr>
        <w:t>,</w:t>
      </w:r>
      <w:r>
        <w:rPr>
          <w:rFonts w:ascii="Times New Roman" w:eastAsia="Times New Roman" w:hAnsi="Times New Roman" w:cs="Times New Roman"/>
          <w:sz w:val="24"/>
          <w:szCs w:val="24"/>
        </w:rPr>
        <w:t>611 ‒ 180</w:t>
      </w:r>
      <w:r w:rsidR="00C70356">
        <w:rPr>
          <w:rFonts w:ascii="Times New Roman" w:eastAsia="Times New Roman" w:hAnsi="Times New Roman" w:cs="Times New Roman"/>
          <w:sz w:val="24"/>
          <w:szCs w:val="24"/>
        </w:rPr>
        <w:t>,</w:t>
      </w:r>
      <w:r>
        <w:rPr>
          <w:rFonts w:ascii="Times New Roman" w:eastAsia="Times New Roman" w:hAnsi="Times New Roman" w:cs="Times New Roman"/>
          <w:sz w:val="24"/>
          <w:szCs w:val="24"/>
        </w:rPr>
        <w:t>242) in New Brunswick, and 84</w:t>
      </w:r>
      <w:r w:rsidR="00C70356">
        <w:rPr>
          <w:rFonts w:ascii="Times New Roman" w:eastAsia="Times New Roman" w:hAnsi="Times New Roman" w:cs="Times New Roman"/>
          <w:sz w:val="24"/>
          <w:szCs w:val="24"/>
        </w:rPr>
        <w:t>,</w:t>
      </w:r>
      <w:r>
        <w:rPr>
          <w:rFonts w:ascii="Times New Roman" w:eastAsia="Times New Roman" w:hAnsi="Times New Roman" w:cs="Times New Roman"/>
          <w:sz w:val="24"/>
          <w:szCs w:val="24"/>
        </w:rPr>
        <w:t>885 (78</w:t>
      </w:r>
      <w:r w:rsidR="00C70356">
        <w:rPr>
          <w:rFonts w:ascii="Times New Roman" w:eastAsia="Times New Roman" w:hAnsi="Times New Roman" w:cs="Times New Roman"/>
          <w:sz w:val="24"/>
          <w:szCs w:val="24"/>
        </w:rPr>
        <w:t>,</w:t>
      </w:r>
      <w:r>
        <w:rPr>
          <w:rFonts w:ascii="Times New Roman" w:eastAsia="Times New Roman" w:hAnsi="Times New Roman" w:cs="Times New Roman"/>
          <w:sz w:val="24"/>
          <w:szCs w:val="24"/>
        </w:rPr>
        <w:t>570 ‒ 91</w:t>
      </w:r>
      <w:r w:rsidR="00C70356">
        <w:rPr>
          <w:rFonts w:ascii="Times New Roman" w:eastAsia="Times New Roman" w:hAnsi="Times New Roman" w:cs="Times New Roman"/>
          <w:sz w:val="24"/>
          <w:szCs w:val="24"/>
        </w:rPr>
        <w:t>,</w:t>
      </w:r>
      <w:r>
        <w:rPr>
          <w:rFonts w:ascii="Times New Roman" w:eastAsia="Times New Roman" w:hAnsi="Times New Roman" w:cs="Times New Roman"/>
          <w:sz w:val="24"/>
          <w:szCs w:val="24"/>
        </w:rPr>
        <w:t>510) in Nova Scotia.</w:t>
      </w:r>
    </w:p>
    <w:p w14:paraId="5D1C7830" w14:textId="77777777" w:rsidR="00AA57B0" w:rsidRDefault="00AA57B0">
      <w:pPr>
        <w:rPr>
          <w:rFonts w:ascii="Times New Roman" w:eastAsia="Times New Roman" w:hAnsi="Times New Roman" w:cs="Times New Roman"/>
          <w:sz w:val="24"/>
          <w:szCs w:val="24"/>
        </w:rPr>
      </w:pPr>
    </w:p>
    <w:p w14:paraId="283BBDA7" w14:textId="77777777" w:rsidR="00AA57B0" w:rsidRDefault="00AA57B0">
      <w:pPr>
        <w:rPr>
          <w:rFonts w:ascii="Times New Roman" w:eastAsia="Times New Roman" w:hAnsi="Times New Roman" w:cs="Times New Roman"/>
          <w:sz w:val="24"/>
          <w:szCs w:val="24"/>
        </w:rPr>
      </w:pPr>
      <w:bookmarkStart w:id="13" w:name="_heading=h.ihv636" w:colFirst="0" w:colLast="0"/>
      <w:bookmarkEnd w:id="13"/>
    </w:p>
    <w:p w14:paraId="16E77EF2" w14:textId="77777777" w:rsidR="00AA57B0" w:rsidRDefault="00AA57B0">
      <w:pPr>
        <w:ind w:firstLine="720"/>
        <w:rPr>
          <w:rFonts w:ascii="Times New Roman" w:eastAsia="Times New Roman" w:hAnsi="Times New Roman" w:cs="Times New Roman"/>
          <w:sz w:val="24"/>
          <w:szCs w:val="24"/>
        </w:rPr>
      </w:pPr>
      <w:bookmarkStart w:id="14" w:name="_heading=h.1y810tw" w:colFirst="0" w:colLast="0"/>
      <w:bookmarkEnd w:id="14"/>
    </w:p>
    <w:p w14:paraId="49FDC422" w14:textId="77777777" w:rsidR="00AA57B0" w:rsidRDefault="00AA57B0">
      <w:pPr>
        <w:ind w:firstLine="720"/>
        <w:rPr>
          <w:rFonts w:ascii="Times New Roman" w:eastAsia="Times New Roman" w:hAnsi="Times New Roman" w:cs="Times New Roman"/>
          <w:sz w:val="24"/>
          <w:szCs w:val="24"/>
        </w:rPr>
      </w:pPr>
    </w:p>
    <w:p w14:paraId="275A2B5D" w14:textId="77777777" w:rsidR="00AA57B0" w:rsidRDefault="00000000">
      <w:pPr>
        <w:rPr>
          <w:rFonts w:ascii="Times New Roman" w:eastAsia="Times New Roman" w:hAnsi="Times New Roman" w:cs="Times New Roman"/>
          <w:sz w:val="24"/>
          <w:szCs w:val="24"/>
        </w:rPr>
      </w:pPr>
      <w:r>
        <w:rPr>
          <w:noProof/>
        </w:rPr>
        <w:lastRenderedPageBreak/>
        <w:drawing>
          <wp:inline distT="0" distB="0" distL="0" distR="0" wp14:anchorId="4A1C3524" wp14:editId="372F7C79">
            <wp:extent cx="5643563" cy="5023530"/>
            <wp:effectExtent l="0" t="0" r="0" b="0"/>
            <wp:docPr id="18" name="image2.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Chart, scatter chart&#10;&#10;Description automatically generated"/>
                    <pic:cNvPicPr preferRelativeResize="0"/>
                  </pic:nvPicPr>
                  <pic:blipFill>
                    <a:blip r:embed="rId9"/>
                    <a:srcRect r="50160"/>
                    <a:stretch>
                      <a:fillRect/>
                    </a:stretch>
                  </pic:blipFill>
                  <pic:spPr>
                    <a:xfrm>
                      <a:off x="0" y="0"/>
                      <a:ext cx="5643563" cy="5023530"/>
                    </a:xfrm>
                    <a:prstGeom prst="rect">
                      <a:avLst/>
                    </a:prstGeom>
                    <a:ln/>
                  </pic:spPr>
                </pic:pic>
              </a:graphicData>
            </a:graphic>
          </wp:inline>
        </w:drawing>
      </w:r>
    </w:p>
    <w:p w14:paraId="493E4E8D" w14:textId="77777777" w:rsidR="00AA57B0" w:rsidRDefault="00000000">
      <w:pPr>
        <w:rPr>
          <w:rFonts w:ascii="Times New Roman" w:eastAsia="Times New Roman" w:hAnsi="Times New Roman" w:cs="Times New Roman"/>
          <w:sz w:val="24"/>
          <w:szCs w:val="24"/>
        </w:rPr>
      </w:pPr>
      <w:bookmarkStart w:id="15" w:name="_heading=h.4i7ojhp" w:colFirst="0" w:colLast="0"/>
      <w:bookmarkEnd w:id="15"/>
      <w:r>
        <w:rPr>
          <w:rFonts w:ascii="Times New Roman" w:eastAsia="Times New Roman" w:hAnsi="Times New Roman" w:cs="Times New Roman"/>
          <w:sz w:val="24"/>
          <w:szCs w:val="24"/>
        </w:rPr>
        <w:t xml:space="preserve">Figure S2.3. Partial dependence plots showing the relationship between y (predicted </w:t>
      </w:r>
      <w:proofErr w:type="gramStart"/>
      <w:r>
        <w:rPr>
          <w:rFonts w:ascii="Times New Roman" w:eastAsia="Times New Roman" w:hAnsi="Times New Roman" w:cs="Times New Roman"/>
          <w:sz w:val="24"/>
          <w:szCs w:val="24"/>
        </w:rPr>
        <w:t>log[</w:t>
      </w:r>
      <w:proofErr w:type="gramEnd"/>
      <w:r>
        <w:rPr>
          <w:rFonts w:ascii="Times New Roman" w:eastAsia="Times New Roman" w:hAnsi="Times New Roman" w:cs="Times New Roman"/>
          <w:sz w:val="24"/>
          <w:szCs w:val="24"/>
        </w:rPr>
        <w:t>Wood Thrush density]) and each of the most important variables from the final boosted regression tree (BRT) model predicting current Wood Thrush density in Quebec, New Brunswick, and Nova Scotia , along with future density and distribution in Landis-II land use and climate change scenarios. Relative influence of predictors is ordered from higher to lower, top to bottom and left to right.</w:t>
      </w:r>
    </w:p>
    <w:p w14:paraId="765840CD" w14:textId="77777777" w:rsidR="00AA57B0" w:rsidRDefault="00000000">
      <w:pPr>
        <w:rPr>
          <w:rFonts w:ascii="Times New Roman" w:eastAsia="Times New Roman" w:hAnsi="Times New Roman" w:cs="Times New Roman"/>
          <w:sz w:val="24"/>
          <w:szCs w:val="24"/>
        </w:rPr>
      </w:pPr>
      <w:r>
        <w:rPr>
          <w:noProof/>
        </w:rPr>
        <w:lastRenderedPageBreak/>
        <w:drawing>
          <wp:inline distT="0" distB="0" distL="0" distR="0" wp14:anchorId="33C6F1FE" wp14:editId="723E746A">
            <wp:extent cx="5348288" cy="4673425"/>
            <wp:effectExtent l="0" t="0" r="0" b="0"/>
            <wp:docPr id="20" name="image2.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Chart, scatter chart&#10;&#10;Description automatically generated"/>
                    <pic:cNvPicPr preferRelativeResize="0"/>
                  </pic:nvPicPr>
                  <pic:blipFill>
                    <a:blip r:embed="rId9"/>
                    <a:srcRect l="49198"/>
                    <a:stretch>
                      <a:fillRect/>
                    </a:stretch>
                  </pic:blipFill>
                  <pic:spPr>
                    <a:xfrm>
                      <a:off x="0" y="0"/>
                      <a:ext cx="5348288" cy="4673425"/>
                    </a:xfrm>
                    <a:prstGeom prst="rect">
                      <a:avLst/>
                    </a:prstGeom>
                    <a:ln/>
                  </pic:spPr>
                </pic:pic>
              </a:graphicData>
            </a:graphic>
          </wp:inline>
        </w:drawing>
      </w:r>
    </w:p>
    <w:p w14:paraId="32BAE08D" w14:textId="77777777" w:rsidR="00AA57B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S2.4. Partial dependence plots showing the relationship between y (predicted </w:t>
      </w:r>
      <w:proofErr w:type="gramStart"/>
      <w:r>
        <w:rPr>
          <w:rFonts w:ascii="Times New Roman" w:eastAsia="Times New Roman" w:hAnsi="Times New Roman" w:cs="Times New Roman"/>
          <w:sz w:val="24"/>
          <w:szCs w:val="24"/>
        </w:rPr>
        <w:t>log[</w:t>
      </w:r>
      <w:proofErr w:type="gramEnd"/>
      <w:r>
        <w:rPr>
          <w:rFonts w:ascii="Times New Roman" w:eastAsia="Times New Roman" w:hAnsi="Times New Roman" w:cs="Times New Roman"/>
          <w:sz w:val="24"/>
          <w:szCs w:val="24"/>
        </w:rPr>
        <w:t>Wood Thrush density]) and each of the most important variables from the final boosted regression tree (BRT) model predicting current Wood Thrush density in Ontario along with future density and distribution in an ALCES Online land use scenario (AO = "ALCES Online model”). Relative influence of predictors is ordered from higher to lower, top to bottom and left to right.</w:t>
      </w:r>
    </w:p>
    <w:p w14:paraId="4645403D" w14:textId="77777777" w:rsidR="00AA57B0" w:rsidRDefault="00AA57B0">
      <w:pPr>
        <w:rPr>
          <w:rFonts w:ascii="Times New Roman" w:eastAsia="Times New Roman" w:hAnsi="Times New Roman" w:cs="Times New Roman"/>
          <w:sz w:val="24"/>
          <w:szCs w:val="24"/>
        </w:rPr>
      </w:pPr>
    </w:p>
    <w:p w14:paraId="69BE34C8" w14:textId="77777777" w:rsidR="00AA57B0" w:rsidRDefault="00AA57B0">
      <w:pPr>
        <w:rPr>
          <w:rFonts w:ascii="Times New Roman" w:eastAsia="Times New Roman" w:hAnsi="Times New Roman" w:cs="Times New Roman"/>
          <w:sz w:val="24"/>
          <w:szCs w:val="24"/>
        </w:rPr>
      </w:pPr>
    </w:p>
    <w:p w14:paraId="40FBC794" w14:textId="77777777" w:rsidR="00AA57B0" w:rsidRDefault="00000000">
      <w:pPr>
        <w:rPr>
          <w:rFonts w:ascii="Times New Roman" w:eastAsia="Times New Roman" w:hAnsi="Times New Roman" w:cs="Times New Roman"/>
          <w:sz w:val="24"/>
          <w:szCs w:val="24"/>
        </w:rPr>
      </w:pPr>
      <w:r>
        <w:rPr>
          <w:noProof/>
        </w:rPr>
        <w:lastRenderedPageBreak/>
        <w:drawing>
          <wp:inline distT="114300" distB="114300" distL="114300" distR="114300" wp14:anchorId="6104E9DC" wp14:editId="148C97BB">
            <wp:extent cx="4547922" cy="5881688"/>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547922" cy="5881688"/>
                    </a:xfrm>
                    <a:prstGeom prst="rect">
                      <a:avLst/>
                    </a:prstGeom>
                    <a:ln/>
                  </pic:spPr>
                </pic:pic>
              </a:graphicData>
            </a:graphic>
          </wp:inline>
        </w:drawing>
      </w:r>
    </w:p>
    <w:p w14:paraId="16245A53" w14:textId="2FAFEE8F" w:rsidR="00AA57B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S2.5. Mean predicted densities for Canada Warbler (# males per ha) in northern Nova Scotia (0 - 0.28) (A) and Alberta (0 - 0.52 males per ha) (B) and for Wood Thrush across eastern Canada (0 - 1.00 males per ha) (C). Predicted densities shown are mean density predictions from 250 boosted regression tree (BRT) model runs for each species in each study area, with separate prediction </w:t>
      </w:r>
      <w:proofErr w:type="spellStart"/>
      <w:r>
        <w:rPr>
          <w:rFonts w:ascii="Times New Roman" w:eastAsia="Times New Roman" w:hAnsi="Times New Roman" w:cs="Times New Roman"/>
          <w:sz w:val="24"/>
          <w:szCs w:val="24"/>
        </w:rPr>
        <w:t>rasters</w:t>
      </w:r>
      <w:proofErr w:type="spellEnd"/>
      <w:r>
        <w:rPr>
          <w:rFonts w:ascii="Times New Roman" w:eastAsia="Times New Roman" w:hAnsi="Times New Roman" w:cs="Times New Roman"/>
          <w:sz w:val="24"/>
          <w:szCs w:val="24"/>
        </w:rPr>
        <w:t xml:space="preserve"> generated from each BRT run. </w:t>
      </w:r>
    </w:p>
    <w:p w14:paraId="0BA9E8AA" w14:textId="77777777" w:rsidR="00AA57B0" w:rsidRDefault="00AA57B0">
      <w:pPr>
        <w:rPr>
          <w:rFonts w:ascii="Times New Roman" w:eastAsia="Times New Roman" w:hAnsi="Times New Roman" w:cs="Times New Roman"/>
          <w:sz w:val="24"/>
          <w:szCs w:val="24"/>
        </w:rPr>
      </w:pPr>
    </w:p>
    <w:p w14:paraId="104F7251" w14:textId="77777777" w:rsidR="00AA57B0" w:rsidRDefault="00AA57B0">
      <w:pPr>
        <w:rPr>
          <w:rFonts w:ascii="Times New Roman" w:eastAsia="Times New Roman" w:hAnsi="Times New Roman" w:cs="Times New Roman"/>
          <w:sz w:val="24"/>
          <w:szCs w:val="24"/>
        </w:rPr>
      </w:pPr>
      <w:bookmarkStart w:id="16" w:name="_heading=h.147n2zr" w:colFirst="0" w:colLast="0"/>
      <w:bookmarkEnd w:id="16"/>
    </w:p>
    <w:p w14:paraId="52E13583" w14:textId="3177409C" w:rsidR="00AA57B0" w:rsidRDefault="00B115F7">
      <w:pPr>
        <w:pStyle w:val="Heading1"/>
        <w:rPr>
          <w:rFonts w:ascii="Times New Roman" w:eastAsia="Times New Roman" w:hAnsi="Times New Roman" w:cs="Times New Roman"/>
          <w:b w:val="0"/>
          <w:sz w:val="24"/>
          <w:szCs w:val="24"/>
        </w:rPr>
      </w:pPr>
      <w:r w:rsidRPr="00B115F7">
        <w:rPr>
          <w:rFonts w:ascii="Times New Roman" w:eastAsia="Times New Roman" w:hAnsi="Times New Roman" w:cs="Times New Roman"/>
          <w:bCs/>
          <w:sz w:val="24"/>
          <w:szCs w:val="24"/>
        </w:rPr>
        <w:lastRenderedPageBreak/>
        <w:t>References</w:t>
      </w:r>
    </w:p>
    <w:p w14:paraId="32A9C757" w14:textId="77777777" w:rsidR="00103071" w:rsidRDefault="00103071" w:rsidP="00103071">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[AAFC] Agriculture and Agri-Food Canada. 2021. Annual Crop Inventory. </w:t>
      </w:r>
      <w:hyperlink r:id="rId11">
        <w:r>
          <w:rPr>
            <w:rFonts w:ascii="Times New Roman" w:eastAsia="Times New Roman" w:hAnsi="Times New Roman" w:cs="Times New Roman"/>
            <w:color w:val="0563C1"/>
            <w:sz w:val="24"/>
            <w:szCs w:val="24"/>
            <w:u w:val="single"/>
          </w:rPr>
          <w:t>https://open.canada.ca/data/en/dataset/ba2645d5-4458-414d-b196-6303ac06c1c9</w:t>
        </w:r>
      </w:hyperlink>
      <w:r>
        <w:rPr>
          <w:rFonts w:ascii="Times New Roman" w:eastAsia="Times New Roman" w:hAnsi="Times New Roman" w:cs="Times New Roman"/>
          <w:sz w:val="24"/>
          <w:szCs w:val="24"/>
        </w:rPr>
        <w:t>. Accessed January 1, 2021.</w:t>
      </w:r>
    </w:p>
    <w:p w14:paraId="3651338A" w14:textId="77777777" w:rsidR="00103071" w:rsidRDefault="00103071" w:rsidP="00103071">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[ABMI] Alberta Biodiversity Monitoring Institute. 2019.</w:t>
      </w:r>
      <w:r>
        <w:t xml:space="preserve"> </w:t>
      </w:r>
      <w:r>
        <w:rPr>
          <w:rFonts w:ascii="Times New Roman" w:eastAsia="Times New Roman" w:hAnsi="Times New Roman" w:cs="Times New Roman"/>
          <w:sz w:val="24"/>
          <w:szCs w:val="24"/>
        </w:rPr>
        <w:t xml:space="preserve">Alberta Biodiversity Monitoring Institute. 2019. Wall-to-Wall Human Footprint Inventory. </w:t>
      </w:r>
      <w:hyperlink r:id="rId12">
        <w:r>
          <w:rPr>
            <w:rFonts w:ascii="Times New Roman" w:eastAsia="Times New Roman" w:hAnsi="Times New Roman" w:cs="Times New Roman"/>
            <w:color w:val="1155CC"/>
            <w:sz w:val="24"/>
            <w:szCs w:val="24"/>
            <w:u w:val="single"/>
          </w:rPr>
          <w:t>https://abmi.ca/home/data-analytics/da-top/da-product-overview/Human-Footprint-Products/HF-inventory.html</w:t>
        </w:r>
      </w:hyperlink>
      <w:r>
        <w:rPr>
          <w:rFonts w:ascii="Times New Roman" w:eastAsia="Times New Roman" w:hAnsi="Times New Roman" w:cs="Times New Roman"/>
          <w:sz w:val="24"/>
          <w:szCs w:val="24"/>
        </w:rPr>
        <w:t>. Accessed September 1, 2019.</w:t>
      </w:r>
    </w:p>
    <w:p w14:paraId="028BD781" w14:textId="01491BA5" w:rsidR="00777D0C" w:rsidRPr="00103071" w:rsidRDefault="00103071" w:rsidP="00103071">
      <w:pPr>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Amatulli</w:t>
      </w:r>
      <w:proofErr w:type="spellEnd"/>
      <w:r>
        <w:rPr>
          <w:rFonts w:ascii="Times New Roman" w:eastAsia="Times New Roman" w:hAnsi="Times New Roman" w:cs="Times New Roman"/>
          <w:sz w:val="24"/>
          <w:szCs w:val="24"/>
        </w:rPr>
        <w:t xml:space="preserve"> G, </w:t>
      </w:r>
      <w:proofErr w:type="spellStart"/>
      <w:r>
        <w:rPr>
          <w:rFonts w:ascii="Times New Roman" w:eastAsia="Times New Roman" w:hAnsi="Times New Roman" w:cs="Times New Roman"/>
          <w:sz w:val="24"/>
          <w:szCs w:val="24"/>
        </w:rPr>
        <w:t>Domisch</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Tuanmu</w:t>
      </w:r>
      <w:proofErr w:type="spellEnd"/>
      <w:r>
        <w:rPr>
          <w:rFonts w:ascii="Times New Roman" w:eastAsia="Times New Roman" w:hAnsi="Times New Roman" w:cs="Times New Roman"/>
          <w:sz w:val="24"/>
          <w:szCs w:val="24"/>
        </w:rPr>
        <w:t xml:space="preserve"> MN, </w:t>
      </w:r>
      <w:proofErr w:type="spellStart"/>
      <w:r>
        <w:rPr>
          <w:rFonts w:ascii="Times New Roman" w:eastAsia="Times New Roman" w:hAnsi="Times New Roman" w:cs="Times New Roman"/>
          <w:sz w:val="24"/>
          <w:szCs w:val="24"/>
        </w:rPr>
        <w:t>Parmentier</w:t>
      </w:r>
      <w:proofErr w:type="spellEnd"/>
      <w:r>
        <w:rPr>
          <w:rFonts w:ascii="Times New Roman" w:eastAsia="Times New Roman" w:hAnsi="Times New Roman" w:cs="Times New Roman"/>
          <w:sz w:val="24"/>
          <w:szCs w:val="24"/>
        </w:rPr>
        <w:t xml:space="preserve"> B, </w:t>
      </w:r>
      <w:proofErr w:type="spellStart"/>
      <w:r>
        <w:rPr>
          <w:rFonts w:ascii="Times New Roman" w:eastAsia="Times New Roman" w:hAnsi="Times New Roman" w:cs="Times New Roman"/>
          <w:sz w:val="24"/>
          <w:szCs w:val="24"/>
        </w:rPr>
        <w:t>Ranipeta</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Malczyk</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Jetz</w:t>
      </w:r>
      <w:proofErr w:type="spellEnd"/>
      <w:r>
        <w:rPr>
          <w:rFonts w:ascii="Times New Roman" w:eastAsia="Times New Roman" w:hAnsi="Times New Roman" w:cs="Times New Roman"/>
          <w:sz w:val="24"/>
          <w:szCs w:val="24"/>
        </w:rPr>
        <w:t xml:space="preserve"> W (2018) A suite of global, cross-scale topographic variables for environmental and biodiversity modeling. Sci. Data, 5, 180040. </w:t>
      </w:r>
      <w:hyperlink r:id="rId13">
        <w:r>
          <w:rPr>
            <w:rFonts w:ascii="Times New Roman" w:eastAsia="Times New Roman" w:hAnsi="Times New Roman" w:cs="Times New Roman"/>
            <w:color w:val="1155CC"/>
            <w:sz w:val="24"/>
            <w:szCs w:val="24"/>
            <w:u w:val="single"/>
          </w:rPr>
          <w:t>https://doi.org/10.1038/sdata.2018.40</w:t>
        </w:r>
      </w:hyperlink>
      <w:r>
        <w:rPr>
          <w:rFonts w:ascii="Times New Roman" w:eastAsia="Times New Roman" w:hAnsi="Times New Roman" w:cs="Times New Roman"/>
          <w:sz w:val="24"/>
          <w:szCs w:val="24"/>
        </w:rPr>
        <w:t xml:space="preserve">. </w:t>
      </w:r>
    </w:p>
    <w:p w14:paraId="4AEF02F0" w14:textId="77777777" w:rsidR="00777D0C" w:rsidRPr="00103071"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fldChar w:fldCharType="begin"/>
      </w:r>
      <w:r w:rsidRPr="00103071">
        <w:rPr>
          <w:rFonts w:ascii="Times New Roman" w:hAnsi="Times New Roman" w:cs="Times New Roman"/>
          <w:sz w:val="24"/>
          <w:szCs w:val="24"/>
        </w:rPr>
        <w:instrText xml:space="preserve"> ADDIN ZOTERO_BIBL {"uncited":[],"omitted":[],"custom":[]} CSL_BIBLIOGRAPHY </w:instrText>
      </w:r>
      <w:r w:rsidRPr="00103071">
        <w:rPr>
          <w:rFonts w:ascii="Times New Roman" w:hAnsi="Times New Roman" w:cs="Times New Roman"/>
          <w:sz w:val="24"/>
          <w:szCs w:val="24"/>
        </w:rPr>
        <w:fldChar w:fldCharType="separate"/>
      </w:r>
      <w:r w:rsidRPr="00103071">
        <w:rPr>
          <w:rFonts w:ascii="Times New Roman" w:hAnsi="Times New Roman" w:cs="Times New Roman"/>
          <w:sz w:val="24"/>
          <w:szCs w:val="24"/>
        </w:rPr>
        <w:t>Austen MJW, Francis CM, Burke DM, Bradstreet MSW (2001) Landscape Context and Fragmentation Effects on Forest Birds in Southern Ontario. The Condor 103:701–714. https://doi.org/10.1093/condor/103.4.701</w:t>
      </w:r>
    </w:p>
    <w:p w14:paraId="4E509E22" w14:textId="77777777" w:rsidR="00777D0C" w:rsidRPr="00103071"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t>Ball J, Sólymos P, Schmiegelow F, et al (2016) Regional habitat needs of a nationally listed species, Canada Warbler (&lt;em&gt;Cardellina canadensis&lt;/em&gt;), in Alberta, Canada. Avian Conserv Ecol 11:. https://doi.org/10.5751/ACE-00916-110210</w:t>
      </w:r>
    </w:p>
    <w:p w14:paraId="05CF5C3E" w14:textId="77777777" w:rsidR="00777D0C" w:rsidRPr="00103071"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t>Beaudoin A, Bernier PY, Guindon L, et al (2014) Mapping attributes of Canada’s forests at moderate resolution through kNN and MODIS imagery. Can J For Res 44:521–532. https://doi.org/10.1139/cjfr-2013-0401</w:t>
      </w:r>
    </w:p>
    <w:p w14:paraId="7F125A7C" w14:textId="77777777" w:rsidR="00777D0C" w:rsidRPr="00103071"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t>Bonnot TW, Thompson FR, Millspaugh JJ, Jones-Farrand DT (2013) Landscape-based population viability models demonstrate importance of strategic conservation planning for birds. Biol Conserv 165:104–114. https://doi.org/10.1016/j.biocon.2013.05.010</w:t>
      </w:r>
    </w:p>
    <w:p w14:paraId="7E264E70" w14:textId="77777777" w:rsidR="00777D0C" w:rsidRPr="00103071"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t>Bühlmann P, Yu B (2003) Boosting With the L2 Loss. J Am Stat Assoc 98:324–339. https://doi.org/10.1198/016214503000125</w:t>
      </w:r>
    </w:p>
    <w:p w14:paraId="1E9C2795" w14:textId="73009AE6" w:rsidR="00777D0C"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t>Burke DM, Nol E (2000) Landscape and Fragment Size Effects on Reproductive Success of Forest-Breeding Birds in Ontario. Ecol Appl 10:1749–1761. https://doi.org/10.1890/1051-0761(2000)010[1749:LAFSEO]2.0.CO;2</w:t>
      </w:r>
      <w:r w:rsidR="00103071">
        <w:rPr>
          <w:rFonts w:ascii="Times New Roman" w:hAnsi="Times New Roman" w:cs="Times New Roman"/>
          <w:sz w:val="24"/>
          <w:szCs w:val="24"/>
        </w:rPr>
        <w:t xml:space="preserve"> </w:t>
      </w:r>
    </w:p>
    <w:p w14:paraId="22D8CCEA" w14:textId="4F694BAF" w:rsidR="00103071" w:rsidRDefault="00103071" w:rsidP="00103071">
      <w:pPr>
        <w:widowControl w:val="0"/>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CanVec (2021) Transport Networks in Canada – CanVec Series – Transport Features. </w:t>
      </w:r>
      <w:hyperlink r:id="rId14">
        <w:r>
          <w:rPr>
            <w:rFonts w:ascii="Times New Roman" w:eastAsia="Times New Roman" w:hAnsi="Times New Roman" w:cs="Times New Roman"/>
            <w:color w:val="0563C1"/>
            <w:sz w:val="24"/>
            <w:szCs w:val="24"/>
            <w:u w:val="single"/>
          </w:rPr>
          <w:t>https://open.canada.ca/data/en/dataset/2dac78ba-8543-48a6-8f07-faeef56f9895</w:t>
        </w:r>
      </w:hyperlink>
      <w:r>
        <w:rPr>
          <w:rFonts w:ascii="Times New Roman" w:eastAsia="Times New Roman" w:hAnsi="Times New Roman" w:cs="Times New Roman"/>
          <w:sz w:val="24"/>
          <w:szCs w:val="24"/>
        </w:rPr>
        <w:t>. Accessed January 1, 2021.</w:t>
      </w:r>
    </w:p>
    <w:p w14:paraId="79436778" w14:textId="77777777" w:rsidR="00103071" w:rsidRPr="00103071" w:rsidRDefault="00103071" w:rsidP="00103071"/>
    <w:p w14:paraId="67A75392" w14:textId="77777777" w:rsidR="00777D0C" w:rsidRPr="00103071"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t>Carlson M, Browne D, Callaghan C (2019) Application of land-use simulation to protected area selection for efficient avoidance of biodiversity loss in Canada’s western boreal region. Land Use Policy 82:821–831. https://doi.org/10.1016/j.landusepol.2019.01.015</w:t>
      </w:r>
    </w:p>
    <w:p w14:paraId="193DFD14" w14:textId="676B6D54" w:rsidR="00777D0C"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lastRenderedPageBreak/>
        <w:t>Carlson M, Stelfox JB (2014) Alberta Oil Sands Development and Risk Management of Canadian Boreal Ecosystems. In: Gates JE, Trauger DL, Czech B (eds) Peak Oil, Economic Growth, and Wildlife Conservation. Springer, New York, NY, pp 219–244</w:t>
      </w:r>
    </w:p>
    <w:p w14:paraId="508367BE" w14:textId="2E7F79DD" w:rsidR="00103071" w:rsidRDefault="00103071" w:rsidP="00103071">
      <w:pPr>
        <w:widowControl w:val="0"/>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Carlson M, Stelfox B, Purves-Smith N, Straker J, Berryman S, Barker T, Wilson B (2014) “ALCES Online: Web-delivered scenario analysis to inform sustainable land-use decisions,” in Proceedings of the 7th International Congress on Environmental Modelling and Software. Eds. D.P. Ames, N.W.T. Quinn and A.E. Rizzoli (San Diego, CA: International Environmental Modelling and Software Society), 1-8. </w:t>
      </w:r>
      <w:hyperlink r:id="rId15">
        <w:r>
          <w:rPr>
            <w:rFonts w:ascii="Times New Roman" w:eastAsia="Times New Roman" w:hAnsi="Times New Roman" w:cs="Times New Roman"/>
            <w:color w:val="1155CC"/>
            <w:sz w:val="24"/>
            <w:szCs w:val="24"/>
            <w:u w:val="single"/>
          </w:rPr>
          <w:t>https://www.alces.ca/publications/download/406/Carlson%20et%20al%202014.pdf</w:t>
        </w:r>
      </w:hyperlink>
      <w:r>
        <w:rPr>
          <w:rFonts w:ascii="Times New Roman" w:eastAsia="Times New Roman" w:hAnsi="Times New Roman" w:cs="Times New Roman"/>
          <w:sz w:val="24"/>
          <w:szCs w:val="24"/>
        </w:rPr>
        <w:t>. Accessed January 1, 2020.</w:t>
      </w:r>
    </w:p>
    <w:p w14:paraId="6B72E328" w14:textId="31816780" w:rsidR="00103071" w:rsidRDefault="00103071" w:rsidP="00103071">
      <w:pPr>
        <w:widowControl w:val="0"/>
        <w:spacing w:after="0"/>
        <w:ind w:left="720" w:hanging="720"/>
        <w:rPr>
          <w:rFonts w:ascii="Times New Roman" w:eastAsia="Times New Roman" w:hAnsi="Times New Roman" w:cs="Times New Roman"/>
          <w:sz w:val="24"/>
          <w:szCs w:val="24"/>
        </w:rPr>
      </w:pPr>
    </w:p>
    <w:p w14:paraId="6ED08959" w14:textId="448E5804" w:rsidR="00103071" w:rsidRDefault="00103071" w:rsidP="00103071">
      <w:pPr>
        <w:widowControl w:val="0"/>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[CEC] Commission for Environmental Cooperation (CEC) (2005) Land Cover of North America at 250 meters. Edition: 3.0. </w:t>
      </w:r>
      <w:hyperlink r:id="rId16">
        <w:r>
          <w:rPr>
            <w:rFonts w:ascii="Times New Roman" w:eastAsia="Times New Roman" w:hAnsi="Times New Roman" w:cs="Times New Roman"/>
            <w:color w:val="1155CC"/>
            <w:sz w:val="24"/>
            <w:szCs w:val="24"/>
            <w:u w:val="single"/>
          </w:rPr>
          <w:t>http://www.cec.org/north-american-environmental-atlas/land-cover-2005-modis-250m</w:t>
        </w:r>
      </w:hyperlink>
      <w:r>
        <w:rPr>
          <w:rFonts w:ascii="Times New Roman" w:eastAsia="Times New Roman" w:hAnsi="Times New Roman" w:cs="Times New Roman"/>
          <w:sz w:val="24"/>
          <w:szCs w:val="24"/>
        </w:rPr>
        <w:t xml:space="preserve">. Accessed October 1, 2018.  </w:t>
      </w:r>
    </w:p>
    <w:p w14:paraId="1F4E28E7" w14:textId="77777777" w:rsidR="00103071" w:rsidRPr="00103071" w:rsidRDefault="00103071" w:rsidP="00103071"/>
    <w:p w14:paraId="7A22B776" w14:textId="77777777" w:rsidR="00777D0C" w:rsidRPr="00103071"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t>Chandler R, Hepinstall-Cymerman J (2016) Estimating the spatial scales of landscape effects on abundance. Landsc Ecol 31:1383–1394. https://doi.org/10.1007/s10980-016-0380-z</w:t>
      </w:r>
    </w:p>
    <w:p w14:paraId="20E529D9" w14:textId="23772CE0" w:rsidR="00777D0C"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t>Driscoll MJL, Donovan T, Mickey R, et al (2005) Determinants of Wood Thrush Nest Success: A Multi-Scale, Model Selection Approach. J Wildl Manag 69:699–709. https://doi.org/10.2193/0022-541X(2005)069[0699:DOWTNS]2.0.CO;2</w:t>
      </w:r>
      <w:r w:rsidR="00103071">
        <w:rPr>
          <w:rFonts w:ascii="Times New Roman" w:hAnsi="Times New Roman" w:cs="Times New Roman"/>
          <w:sz w:val="24"/>
          <w:szCs w:val="24"/>
        </w:rPr>
        <w:t xml:space="preserve"> </w:t>
      </w:r>
    </w:p>
    <w:p w14:paraId="28DE1478" w14:textId="462FD7F3" w:rsidR="00103071" w:rsidRDefault="00103071" w:rsidP="00103071">
      <w:pPr>
        <w:spacing w:before="240"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Ducks Unlimited (2015)</w:t>
      </w:r>
      <w:hyperlink r:id="rId17">
        <w:r>
          <w:rPr>
            <w:rFonts w:ascii="Times New Roman" w:eastAsia="Times New Roman" w:hAnsi="Times New Roman" w:cs="Times New Roman"/>
            <w:sz w:val="24"/>
            <w:szCs w:val="24"/>
          </w:rPr>
          <w:t xml:space="preserve"> </w:t>
        </w:r>
      </w:hyperlink>
      <w:hyperlink r:id="rId18">
        <w:r>
          <w:rPr>
            <w:rFonts w:ascii="Times New Roman" w:eastAsia="Times New Roman" w:hAnsi="Times New Roman" w:cs="Times New Roman"/>
            <w:color w:val="1155CC"/>
            <w:sz w:val="24"/>
            <w:szCs w:val="24"/>
            <w:u w:val="single"/>
          </w:rPr>
          <w:t>https://www.concordia.ca/library/guides/geospatial-data/geodata.html</w:t>
        </w:r>
      </w:hyperlink>
      <w:r>
        <w:rPr>
          <w:rFonts w:ascii="Times New Roman" w:eastAsia="Times New Roman" w:hAnsi="Times New Roman" w:cs="Times New Roman"/>
          <w:sz w:val="24"/>
          <w:szCs w:val="24"/>
        </w:rPr>
        <w:t xml:space="preserve">. Accessed January 1, 2021.    </w:t>
      </w:r>
    </w:p>
    <w:p w14:paraId="6AC41576" w14:textId="77777777" w:rsidR="00103071" w:rsidRDefault="00103071" w:rsidP="00103071">
      <w:pPr>
        <w:widowControl w:val="0"/>
        <w:spacing w:after="0"/>
        <w:ind w:left="720" w:hanging="720"/>
        <w:rPr>
          <w:rFonts w:ascii="Times New Roman" w:eastAsia="Times New Roman" w:hAnsi="Times New Roman" w:cs="Times New Roman"/>
          <w:sz w:val="24"/>
          <w:szCs w:val="24"/>
        </w:rPr>
      </w:pPr>
    </w:p>
    <w:p w14:paraId="2E014E30" w14:textId="5C621889" w:rsidR="00103071" w:rsidRPr="00103071" w:rsidRDefault="00103071" w:rsidP="00103071">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Duong T (2021) ks: Kernel Smoothing. R package version 1.12.0. </w:t>
      </w:r>
      <w:hyperlink r:id="rId19">
        <w:r>
          <w:rPr>
            <w:rFonts w:ascii="Times New Roman" w:eastAsia="Times New Roman" w:hAnsi="Times New Roman" w:cs="Times New Roman"/>
            <w:color w:val="0563C1"/>
            <w:sz w:val="24"/>
            <w:szCs w:val="24"/>
            <w:u w:val="single"/>
          </w:rPr>
          <w:t>https://CRAN.R-project.org/package=ks</w:t>
        </w:r>
      </w:hyperlink>
      <w:r>
        <w:rPr>
          <w:rFonts w:ascii="Times New Roman" w:eastAsia="Times New Roman" w:hAnsi="Times New Roman" w:cs="Times New Roman"/>
          <w:sz w:val="24"/>
          <w:szCs w:val="24"/>
        </w:rPr>
        <w:t xml:space="preserve">. Accessed January 1, 2021. </w:t>
      </w:r>
    </w:p>
    <w:p w14:paraId="1283269A" w14:textId="47B4E3DA" w:rsidR="00777D0C"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t>Elith J, Leathwick JR (2009) Species Distribution Models: Ecological Explanation and Prediction Across Space and Time. Annu Rev Ecol Evol Syst 40:677–697. https://doi.org/10.1146/annurev.ecolsys.110308.120159</w:t>
      </w:r>
      <w:r w:rsidR="00103071">
        <w:rPr>
          <w:rFonts w:ascii="Times New Roman" w:hAnsi="Times New Roman" w:cs="Times New Roman"/>
          <w:sz w:val="24"/>
          <w:szCs w:val="24"/>
        </w:rPr>
        <w:t xml:space="preserve"> </w:t>
      </w:r>
    </w:p>
    <w:p w14:paraId="21C05B4A" w14:textId="77777777" w:rsidR="00103071" w:rsidRDefault="00103071" w:rsidP="00103071">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Global Land Cover Facility. 2014. GLSDEM (Global Land Survey Digital Elevation Model) </w:t>
      </w:r>
      <w:hyperlink r:id="rId20">
        <w:r>
          <w:rPr>
            <w:rFonts w:ascii="Times New Roman" w:eastAsia="Times New Roman" w:hAnsi="Times New Roman" w:cs="Times New Roman"/>
            <w:color w:val="0563C1"/>
            <w:sz w:val="24"/>
            <w:szCs w:val="24"/>
            <w:u w:val="single"/>
          </w:rPr>
          <w:t>https://rivix.com/DEM_Info/GLSDEM.php</w:t>
        </w:r>
      </w:hyperlink>
    </w:p>
    <w:p w14:paraId="0195FF69" w14:textId="108C98A7" w:rsidR="00103071" w:rsidRPr="005C5BB6" w:rsidRDefault="00103071" w:rsidP="005C5BB6">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Greenwell B, Boehmke B, Cunningham J</w:t>
      </w:r>
      <w:r w:rsidR="005C5B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2020</w:t>
      </w:r>
      <w:r w:rsidR="005C5BB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gbm: Generalized Boosted Regression Models. R package version 2.1.8. </w:t>
      </w:r>
      <w:hyperlink r:id="rId21">
        <w:r>
          <w:rPr>
            <w:rFonts w:ascii="Times New Roman" w:eastAsia="Times New Roman" w:hAnsi="Times New Roman" w:cs="Times New Roman"/>
            <w:color w:val="1155CC"/>
            <w:sz w:val="24"/>
            <w:szCs w:val="24"/>
            <w:u w:val="single"/>
          </w:rPr>
          <w:t>https://CRAN.R-project.org/package=gbm</w:t>
        </w:r>
      </w:hyperlink>
      <w:r>
        <w:rPr>
          <w:rFonts w:ascii="Times New Roman" w:eastAsia="Times New Roman" w:hAnsi="Times New Roman" w:cs="Times New Roman"/>
          <w:sz w:val="24"/>
          <w:szCs w:val="24"/>
        </w:rPr>
        <w:t>. Accessed October 1, 2018.</w:t>
      </w:r>
    </w:p>
    <w:p w14:paraId="4C6CA156" w14:textId="6E3C2C2A" w:rsidR="00777D0C"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t>Hastie T, Tibshirani R, Friedman J (2009) Boosting and Additive Trees. In: The Elements of Statistical Learning. Springer New York, New York, NY, pp 337–387</w:t>
      </w:r>
      <w:r w:rsidR="005C5BB6">
        <w:rPr>
          <w:rFonts w:ascii="Times New Roman" w:hAnsi="Times New Roman" w:cs="Times New Roman"/>
          <w:sz w:val="24"/>
          <w:szCs w:val="24"/>
        </w:rPr>
        <w:t xml:space="preserve"> </w:t>
      </w:r>
    </w:p>
    <w:p w14:paraId="190D7190" w14:textId="0F0E9196" w:rsidR="005C5BB6" w:rsidRDefault="005C5BB6" w:rsidP="005C5BB6">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Hijmans RJ, Phillips S, Leathwick J, Elith J (2020) dismo: Species Distribution Modeling. R package version 1.3-3. </w:t>
      </w:r>
      <w:hyperlink r:id="rId22">
        <w:r>
          <w:rPr>
            <w:rFonts w:ascii="Times New Roman" w:eastAsia="Times New Roman" w:hAnsi="Times New Roman" w:cs="Times New Roman"/>
            <w:color w:val="1155CC"/>
            <w:sz w:val="24"/>
            <w:szCs w:val="24"/>
            <w:u w:val="single"/>
          </w:rPr>
          <w:t>https://CRAN.R-project.org/package=dismo</w:t>
        </w:r>
      </w:hyperlink>
      <w:r>
        <w:rPr>
          <w:rFonts w:ascii="Times New Roman" w:eastAsia="Times New Roman" w:hAnsi="Times New Roman" w:cs="Times New Roman"/>
          <w:sz w:val="24"/>
          <w:szCs w:val="24"/>
        </w:rPr>
        <w:t>. Accessed October 1, 2018.</w:t>
      </w:r>
    </w:p>
    <w:p w14:paraId="15773362" w14:textId="57C08A75" w:rsidR="005C5BB6" w:rsidRPr="005C5BB6" w:rsidRDefault="005C5BB6" w:rsidP="005C5BB6">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Hijmans RJ, Van Etten J, Cheng J, Mattiuzzi M, Sumner M, Greenberg JA, Lamigueiro OP, et al. (2015) "Package ‘raster’." R package 734. </w:t>
      </w:r>
      <w:hyperlink r:id="rId23">
        <w:r>
          <w:rPr>
            <w:rFonts w:ascii="Times New Roman" w:eastAsia="Times New Roman" w:hAnsi="Times New Roman" w:cs="Times New Roman"/>
            <w:color w:val="1155CC"/>
            <w:sz w:val="24"/>
            <w:szCs w:val="24"/>
            <w:u w:val="single"/>
          </w:rPr>
          <w:t>https://cran.r-project.org/web/packages/raster/index.html</w:t>
        </w:r>
      </w:hyperlink>
      <w:r>
        <w:rPr>
          <w:rFonts w:ascii="Times New Roman" w:eastAsia="Times New Roman" w:hAnsi="Times New Roman" w:cs="Times New Roman"/>
          <w:sz w:val="24"/>
          <w:szCs w:val="24"/>
        </w:rPr>
        <w:t>. Accessed October 1, 2018.</w:t>
      </w:r>
    </w:p>
    <w:p w14:paraId="7E762D57" w14:textId="77777777" w:rsidR="00777D0C" w:rsidRPr="00103071"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t>Leathwick JR, Elith J, Francis MP, et al (2006) Variation in demersal fish species richness in the oceans surrounding New Zealand: an analysis using boosted regression trees. Mar Ecol Prog Ser 321:267–281. https://doi.org/10.3354/meps321267</w:t>
      </w:r>
    </w:p>
    <w:p w14:paraId="16B65F4A" w14:textId="77777777" w:rsidR="00777D0C" w:rsidRPr="00103071"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t>Lee M, Fahrig L, Freemark K, Currie DJ (2002) Importance of patch scale vs landscape scale on selected forest birds. Oikos 96:110–118. https://doi.org/10.1034/j.1600-0706.2002.960112.x</w:t>
      </w:r>
    </w:p>
    <w:p w14:paraId="6D7256F2" w14:textId="440F8656" w:rsidR="00777D0C"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t>Leston L, Bayne E, Dzus E, et al (2020) Quantifying Long-Term Bird Population Responses to Simulated Harvest Plans and Cumulative Effects of Disturbance. Front Ecol Evol 8:</w:t>
      </w:r>
    </w:p>
    <w:p w14:paraId="22A17845" w14:textId="33EA6103" w:rsidR="005C5BB6" w:rsidRPr="005C5BB6" w:rsidRDefault="005C5BB6" w:rsidP="005C5BB6">
      <w:pPr>
        <w:ind w:left="720" w:hanging="720"/>
        <w:rPr>
          <w:rFonts w:ascii="Times New Roman" w:hAnsi="Times New Roman" w:cs="Times New Roman"/>
          <w:sz w:val="24"/>
          <w:szCs w:val="24"/>
        </w:rPr>
      </w:pPr>
      <w:r w:rsidRPr="005C5BB6">
        <w:rPr>
          <w:rFonts w:ascii="Times New Roman" w:hAnsi="Times New Roman" w:cs="Times New Roman"/>
          <w:sz w:val="24"/>
          <w:szCs w:val="24"/>
        </w:rPr>
        <w:t>Leston</w:t>
      </w:r>
      <w:r>
        <w:rPr>
          <w:rFonts w:ascii="Times New Roman" w:hAnsi="Times New Roman" w:cs="Times New Roman"/>
          <w:sz w:val="24"/>
          <w:szCs w:val="24"/>
        </w:rPr>
        <w:t xml:space="preserve"> L</w:t>
      </w:r>
      <w:r w:rsidRPr="005C5BB6">
        <w:rPr>
          <w:rFonts w:ascii="Times New Roman" w:hAnsi="Times New Roman" w:cs="Times New Roman"/>
          <w:sz w:val="24"/>
          <w:szCs w:val="24"/>
        </w:rPr>
        <w:t xml:space="preserve"> </w:t>
      </w:r>
      <w:r>
        <w:rPr>
          <w:rFonts w:ascii="Times New Roman" w:hAnsi="Times New Roman" w:cs="Times New Roman"/>
          <w:sz w:val="24"/>
          <w:szCs w:val="24"/>
        </w:rPr>
        <w:t>(</w:t>
      </w:r>
      <w:r w:rsidRPr="005C5BB6">
        <w:rPr>
          <w:rFonts w:ascii="Times New Roman" w:hAnsi="Times New Roman" w:cs="Times New Roman"/>
          <w:sz w:val="24"/>
          <w:szCs w:val="24"/>
        </w:rPr>
        <w:t>2022</w:t>
      </w:r>
      <w:r>
        <w:rPr>
          <w:rFonts w:ascii="Times New Roman" w:hAnsi="Times New Roman" w:cs="Times New Roman"/>
          <w:sz w:val="24"/>
          <w:szCs w:val="24"/>
        </w:rPr>
        <w:t>)</w:t>
      </w:r>
      <w:r w:rsidRPr="005C5BB6">
        <w:rPr>
          <w:rFonts w:ascii="Times New Roman" w:hAnsi="Times New Roman" w:cs="Times New Roman"/>
          <w:sz w:val="24"/>
          <w:szCs w:val="24"/>
        </w:rPr>
        <w:t xml:space="preserve"> Modeling framework to support critical habitat identification for the Wood Thrush in Canada. Zenodo. https://doi.org/10.5281/zenodo.7153499. Canadian Wildlife Service Contract #EC3000713776.</w:t>
      </w:r>
    </w:p>
    <w:p w14:paraId="567E838A" w14:textId="651B68E0" w:rsidR="00777D0C"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t>Lichti NI, Swihart RK (2011) Estimating utilization distributions with kernel versus local convex hull methods. J Wildl Manag 75:413–422. https://doi.org/10.1002/jwmg.48</w:t>
      </w:r>
      <w:r w:rsidR="005C5BB6">
        <w:rPr>
          <w:rFonts w:ascii="Times New Roman" w:hAnsi="Times New Roman" w:cs="Times New Roman"/>
          <w:sz w:val="24"/>
          <w:szCs w:val="24"/>
        </w:rPr>
        <w:t xml:space="preserve"> </w:t>
      </w:r>
    </w:p>
    <w:p w14:paraId="63A67C3C" w14:textId="34E00455" w:rsidR="005C5BB6" w:rsidRDefault="005C5BB6" w:rsidP="005C5BB6">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 Brunswick Department of Environment and Local Government (2021) Data catalogue. Wetlands. </w:t>
      </w:r>
      <w:hyperlink r:id="rId24">
        <w:r>
          <w:rPr>
            <w:rFonts w:ascii="Times New Roman" w:eastAsia="Times New Roman" w:hAnsi="Times New Roman" w:cs="Times New Roman"/>
            <w:color w:val="0563C1"/>
            <w:sz w:val="24"/>
            <w:szCs w:val="24"/>
            <w:u w:val="single"/>
          </w:rPr>
          <w:t>http://www.snb.ca/geonb1/e/DC/catalogue-E.asp</w:t>
        </w:r>
      </w:hyperlink>
      <w:r>
        <w:rPr>
          <w:rFonts w:ascii="Times New Roman" w:eastAsia="Times New Roman" w:hAnsi="Times New Roman" w:cs="Times New Roman"/>
          <w:sz w:val="24"/>
          <w:szCs w:val="24"/>
        </w:rPr>
        <w:t xml:space="preserve">. </w:t>
      </w:r>
    </w:p>
    <w:p w14:paraId="04F8EB48" w14:textId="6D5550BB" w:rsidR="005C5BB6" w:rsidRDefault="005C5BB6" w:rsidP="005C5BB6">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Nova Scotia Department of Lands and Forestry (2021) Wetlands Inventory. </w:t>
      </w:r>
      <w:hyperlink r:id="rId25">
        <w:r>
          <w:rPr>
            <w:rFonts w:ascii="Times New Roman" w:eastAsia="Times New Roman" w:hAnsi="Times New Roman" w:cs="Times New Roman"/>
            <w:color w:val="0563C1"/>
            <w:sz w:val="24"/>
            <w:szCs w:val="24"/>
            <w:u w:val="single"/>
          </w:rPr>
          <w:t>https://novascotia.ca/natr/wildlife/habitats/wetlands.asp</w:t>
        </w:r>
      </w:hyperlink>
      <w:r>
        <w:rPr>
          <w:rFonts w:ascii="Times New Roman" w:eastAsia="Times New Roman" w:hAnsi="Times New Roman" w:cs="Times New Roman"/>
          <w:sz w:val="24"/>
          <w:szCs w:val="24"/>
        </w:rPr>
        <w:t xml:space="preserve">. </w:t>
      </w:r>
    </w:p>
    <w:p w14:paraId="67934BCA" w14:textId="06E67924" w:rsidR="005C5BB6" w:rsidRPr="005C5BB6" w:rsidRDefault="005C5BB6" w:rsidP="005C5BB6">
      <w:pPr>
        <w:ind w:left="720" w:hanging="720"/>
      </w:pPr>
      <w:r>
        <w:rPr>
          <w:rFonts w:ascii="Times New Roman" w:eastAsia="Times New Roman" w:hAnsi="Times New Roman" w:cs="Times New Roman"/>
          <w:sz w:val="24"/>
          <w:szCs w:val="24"/>
        </w:rPr>
        <w:t xml:space="preserve">Ontario Land Cover Compilation v.2.0 (2016) Ontario Data Catalogue. </w:t>
      </w:r>
      <w:hyperlink r:id="rId26">
        <w:r>
          <w:rPr>
            <w:rFonts w:ascii="Times New Roman" w:eastAsia="Times New Roman" w:hAnsi="Times New Roman" w:cs="Times New Roman"/>
            <w:color w:val="0563C1"/>
            <w:sz w:val="24"/>
            <w:szCs w:val="24"/>
            <w:u w:val="single"/>
          </w:rPr>
          <w:t>https://www.arcgis.com/home/item.html?id=1cd492c45f1145daa49b19cc541d0a0c</w:t>
        </w:r>
      </w:hyperlink>
    </w:p>
    <w:p w14:paraId="4E892843" w14:textId="01F476BF" w:rsidR="00777D0C"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t>Richmond S, Nol E, Burke D (2012) Local- versus landscape-scale effects on the demography of three forest-breeding songbirds in Ontario, Canada. Can J Zool 90:815–828. https://doi.org/10.1139/z2012-051</w:t>
      </w:r>
      <w:r w:rsidR="005C5BB6">
        <w:rPr>
          <w:rFonts w:ascii="Times New Roman" w:hAnsi="Times New Roman" w:cs="Times New Roman"/>
          <w:sz w:val="24"/>
          <w:szCs w:val="24"/>
        </w:rPr>
        <w:t xml:space="preserve">  </w:t>
      </w:r>
    </w:p>
    <w:p w14:paraId="607E0F7C" w14:textId="788B40AA" w:rsidR="005C5BB6" w:rsidRDefault="005C5BB6" w:rsidP="00CD6814">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Sólymos</w:t>
      </w:r>
      <w:r w:rsidR="00CD6814">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 Matsuoka</w:t>
      </w:r>
      <w:r w:rsidR="00CD6814">
        <w:rPr>
          <w:rFonts w:ascii="Times New Roman" w:eastAsia="Times New Roman" w:hAnsi="Times New Roman" w:cs="Times New Roman"/>
          <w:sz w:val="24"/>
          <w:szCs w:val="24"/>
        </w:rPr>
        <w:t xml:space="preserve"> SM</w:t>
      </w:r>
      <w:r>
        <w:rPr>
          <w:rFonts w:ascii="Times New Roman" w:eastAsia="Times New Roman" w:hAnsi="Times New Roman" w:cs="Times New Roman"/>
          <w:sz w:val="24"/>
          <w:szCs w:val="24"/>
        </w:rPr>
        <w:t>, Bayne</w:t>
      </w:r>
      <w:r w:rsidR="00CD6814">
        <w:rPr>
          <w:rFonts w:ascii="Times New Roman" w:eastAsia="Times New Roman" w:hAnsi="Times New Roman" w:cs="Times New Roman"/>
          <w:sz w:val="24"/>
          <w:szCs w:val="24"/>
        </w:rPr>
        <w:t xml:space="preserve"> EM</w:t>
      </w:r>
      <w:r>
        <w:rPr>
          <w:rFonts w:ascii="Times New Roman" w:eastAsia="Times New Roman" w:hAnsi="Times New Roman" w:cs="Times New Roman"/>
          <w:sz w:val="24"/>
          <w:szCs w:val="24"/>
        </w:rPr>
        <w:t>, Lele</w:t>
      </w:r>
      <w:r w:rsidR="00CD6814">
        <w:rPr>
          <w:rFonts w:ascii="Times New Roman" w:eastAsia="Times New Roman" w:hAnsi="Times New Roman" w:cs="Times New Roman"/>
          <w:sz w:val="24"/>
          <w:szCs w:val="24"/>
        </w:rPr>
        <w:t xml:space="preserve"> SR</w:t>
      </w:r>
      <w:r>
        <w:rPr>
          <w:rFonts w:ascii="Times New Roman" w:eastAsia="Times New Roman" w:hAnsi="Times New Roman" w:cs="Times New Roman"/>
          <w:sz w:val="24"/>
          <w:szCs w:val="24"/>
        </w:rPr>
        <w:t>, Fontaine</w:t>
      </w:r>
      <w:r w:rsidR="00CD6814">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 Cumming</w:t>
      </w:r>
      <w:r w:rsidR="00CD6814">
        <w:rPr>
          <w:rFonts w:ascii="Times New Roman" w:eastAsia="Times New Roman" w:hAnsi="Times New Roman" w:cs="Times New Roman"/>
          <w:sz w:val="24"/>
          <w:szCs w:val="24"/>
        </w:rPr>
        <w:t xml:space="preserve"> SG</w:t>
      </w:r>
      <w:r>
        <w:rPr>
          <w:rFonts w:ascii="Times New Roman" w:eastAsia="Times New Roman" w:hAnsi="Times New Roman" w:cs="Times New Roman"/>
          <w:sz w:val="24"/>
          <w:szCs w:val="24"/>
        </w:rPr>
        <w:t>, Stralberg</w:t>
      </w:r>
      <w:r w:rsidR="00CD6814">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 Schmiegelow</w:t>
      </w:r>
      <w:r w:rsidR="00CD6814">
        <w:rPr>
          <w:rFonts w:ascii="Times New Roman" w:eastAsia="Times New Roman" w:hAnsi="Times New Roman" w:cs="Times New Roman"/>
          <w:sz w:val="24"/>
          <w:szCs w:val="24"/>
        </w:rPr>
        <w:t xml:space="preserve"> FKA</w:t>
      </w:r>
      <w:r>
        <w:rPr>
          <w:rFonts w:ascii="Times New Roman" w:eastAsia="Times New Roman" w:hAnsi="Times New Roman" w:cs="Times New Roman"/>
          <w:sz w:val="24"/>
          <w:szCs w:val="24"/>
        </w:rPr>
        <w:t>, Song</w:t>
      </w:r>
      <w:r w:rsidR="00CD6814">
        <w:rPr>
          <w:rFonts w:ascii="Times New Roman" w:eastAsia="Times New Roman" w:hAnsi="Times New Roman" w:cs="Times New Roman"/>
          <w:sz w:val="24"/>
          <w:szCs w:val="24"/>
        </w:rPr>
        <w:t xml:space="preserve"> SJ</w:t>
      </w:r>
      <w:r>
        <w:rPr>
          <w:rFonts w:ascii="Times New Roman" w:eastAsia="Times New Roman" w:hAnsi="Times New Roman" w:cs="Times New Roman"/>
          <w:sz w:val="24"/>
          <w:szCs w:val="24"/>
        </w:rPr>
        <w:t xml:space="preserve"> </w:t>
      </w:r>
      <w:r w:rsidR="00CD6814">
        <w:rPr>
          <w:rFonts w:ascii="Times New Roman" w:eastAsia="Times New Roman" w:hAnsi="Times New Roman" w:cs="Times New Roman"/>
          <w:sz w:val="24"/>
          <w:szCs w:val="24"/>
        </w:rPr>
        <w:t>(</w:t>
      </w:r>
      <w:r>
        <w:rPr>
          <w:rFonts w:ascii="Times New Roman" w:eastAsia="Times New Roman" w:hAnsi="Times New Roman" w:cs="Times New Roman"/>
          <w:sz w:val="24"/>
          <w:szCs w:val="24"/>
        </w:rPr>
        <w:t>2013</w:t>
      </w:r>
      <w:r w:rsidR="00CD681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Calibrating indices of avian density from non-standardized survey data: making the most of a messy situation. Meth. Ecol. Evol. 4, 1047-1058. </w:t>
      </w:r>
      <w:hyperlink r:id="rId27">
        <w:r>
          <w:rPr>
            <w:rFonts w:ascii="Times New Roman" w:eastAsia="Times New Roman" w:hAnsi="Times New Roman" w:cs="Times New Roman"/>
            <w:color w:val="1155CC"/>
            <w:sz w:val="24"/>
            <w:szCs w:val="24"/>
            <w:u w:val="single"/>
          </w:rPr>
          <w:t>https://doi.org/10.1111/2041-210X.12106</w:t>
        </w:r>
      </w:hyperlink>
      <w:r>
        <w:rPr>
          <w:rFonts w:ascii="Times New Roman" w:eastAsia="Times New Roman" w:hAnsi="Times New Roman" w:cs="Times New Roman"/>
          <w:sz w:val="24"/>
          <w:szCs w:val="24"/>
        </w:rPr>
        <w:t xml:space="preserve">. </w:t>
      </w:r>
    </w:p>
    <w:p w14:paraId="5F24F9C9" w14:textId="343EE2B0" w:rsidR="005C5BB6" w:rsidRDefault="005C5BB6" w:rsidP="00CD6814">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Sólymos</w:t>
      </w:r>
      <w:r w:rsidR="00CD6814">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 Toms</w:t>
      </w:r>
      <w:r w:rsidR="00CD6814">
        <w:rPr>
          <w:rFonts w:ascii="Times New Roman" w:eastAsia="Times New Roman" w:hAnsi="Times New Roman" w:cs="Times New Roman"/>
          <w:sz w:val="24"/>
          <w:szCs w:val="24"/>
        </w:rPr>
        <w:t xml:space="preserve"> JD</w:t>
      </w:r>
      <w:r>
        <w:rPr>
          <w:rFonts w:ascii="Times New Roman" w:eastAsia="Times New Roman" w:hAnsi="Times New Roman" w:cs="Times New Roman"/>
          <w:sz w:val="24"/>
          <w:szCs w:val="24"/>
        </w:rPr>
        <w:t>, Matsuoka</w:t>
      </w:r>
      <w:r w:rsidR="00CD6814">
        <w:rPr>
          <w:rFonts w:ascii="Times New Roman" w:eastAsia="Times New Roman" w:hAnsi="Times New Roman" w:cs="Times New Roman"/>
          <w:sz w:val="24"/>
          <w:szCs w:val="24"/>
        </w:rPr>
        <w:t xml:space="preserve"> SM</w:t>
      </w:r>
      <w:r>
        <w:rPr>
          <w:rFonts w:ascii="Times New Roman" w:eastAsia="Times New Roman" w:hAnsi="Times New Roman" w:cs="Times New Roman"/>
          <w:sz w:val="24"/>
          <w:szCs w:val="24"/>
        </w:rPr>
        <w:t>, Cumming</w:t>
      </w:r>
      <w:r w:rsidR="00CD6814">
        <w:rPr>
          <w:rFonts w:ascii="Times New Roman" w:eastAsia="Times New Roman" w:hAnsi="Times New Roman" w:cs="Times New Roman"/>
          <w:sz w:val="24"/>
          <w:szCs w:val="24"/>
        </w:rPr>
        <w:t xml:space="preserve"> SG</w:t>
      </w:r>
      <w:r>
        <w:rPr>
          <w:rFonts w:ascii="Times New Roman" w:eastAsia="Times New Roman" w:hAnsi="Times New Roman" w:cs="Times New Roman"/>
          <w:sz w:val="24"/>
          <w:szCs w:val="24"/>
        </w:rPr>
        <w:t>, Barker</w:t>
      </w:r>
      <w:r w:rsidR="00CD6814">
        <w:rPr>
          <w:rFonts w:ascii="Times New Roman" w:eastAsia="Times New Roman" w:hAnsi="Times New Roman" w:cs="Times New Roman"/>
          <w:sz w:val="24"/>
          <w:szCs w:val="24"/>
        </w:rPr>
        <w:t xml:space="preserve"> NKS</w:t>
      </w:r>
      <w:r>
        <w:rPr>
          <w:rFonts w:ascii="Times New Roman" w:eastAsia="Times New Roman" w:hAnsi="Times New Roman" w:cs="Times New Roman"/>
          <w:sz w:val="24"/>
          <w:szCs w:val="24"/>
        </w:rPr>
        <w:t>, Thogmartin</w:t>
      </w:r>
      <w:r w:rsidR="00CD6814">
        <w:rPr>
          <w:rFonts w:ascii="Times New Roman" w:eastAsia="Times New Roman" w:hAnsi="Times New Roman" w:cs="Times New Roman"/>
          <w:sz w:val="24"/>
          <w:szCs w:val="24"/>
        </w:rPr>
        <w:t xml:space="preserve"> WE</w:t>
      </w:r>
      <w:r>
        <w:rPr>
          <w:rFonts w:ascii="Times New Roman" w:eastAsia="Times New Roman" w:hAnsi="Times New Roman" w:cs="Times New Roman"/>
          <w:sz w:val="24"/>
          <w:szCs w:val="24"/>
        </w:rPr>
        <w:t>, Stralberg</w:t>
      </w:r>
      <w:r w:rsidR="00CD6814">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 Crosby</w:t>
      </w:r>
      <w:r w:rsidR="00CD6814">
        <w:rPr>
          <w:rFonts w:ascii="Times New Roman" w:eastAsia="Times New Roman" w:hAnsi="Times New Roman" w:cs="Times New Roman"/>
          <w:sz w:val="24"/>
          <w:szCs w:val="24"/>
        </w:rPr>
        <w:t xml:space="preserve"> AD</w:t>
      </w:r>
      <w:r>
        <w:rPr>
          <w:rFonts w:ascii="Times New Roman" w:eastAsia="Times New Roman" w:hAnsi="Times New Roman" w:cs="Times New Roman"/>
          <w:sz w:val="24"/>
          <w:szCs w:val="24"/>
        </w:rPr>
        <w:t>, Dénes</w:t>
      </w:r>
      <w:r w:rsidR="00CD6814">
        <w:rPr>
          <w:rFonts w:ascii="Times New Roman" w:eastAsia="Times New Roman" w:hAnsi="Times New Roman" w:cs="Times New Roman"/>
          <w:sz w:val="24"/>
          <w:szCs w:val="24"/>
        </w:rPr>
        <w:t xml:space="preserve"> FV</w:t>
      </w:r>
      <w:r>
        <w:rPr>
          <w:rFonts w:ascii="Times New Roman" w:eastAsia="Times New Roman" w:hAnsi="Times New Roman" w:cs="Times New Roman"/>
          <w:sz w:val="24"/>
          <w:szCs w:val="24"/>
        </w:rPr>
        <w:t>, Haché</w:t>
      </w:r>
      <w:r w:rsidR="00CD6814">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 Mahon</w:t>
      </w:r>
      <w:r w:rsidR="00CD6814">
        <w:rPr>
          <w:rFonts w:ascii="Times New Roman" w:eastAsia="Times New Roman" w:hAnsi="Times New Roman" w:cs="Times New Roman"/>
          <w:sz w:val="24"/>
          <w:szCs w:val="24"/>
        </w:rPr>
        <w:t xml:space="preserve"> CL</w:t>
      </w:r>
      <w:r>
        <w:rPr>
          <w:rFonts w:ascii="Times New Roman" w:eastAsia="Times New Roman" w:hAnsi="Times New Roman" w:cs="Times New Roman"/>
          <w:sz w:val="24"/>
          <w:szCs w:val="24"/>
        </w:rPr>
        <w:t>, Schmiegelow</w:t>
      </w:r>
      <w:r w:rsidR="00CD6814">
        <w:rPr>
          <w:rFonts w:ascii="Times New Roman" w:eastAsia="Times New Roman" w:hAnsi="Times New Roman" w:cs="Times New Roman"/>
          <w:sz w:val="24"/>
          <w:szCs w:val="24"/>
        </w:rPr>
        <w:t xml:space="preserve"> FKA</w:t>
      </w:r>
      <w:r>
        <w:rPr>
          <w:rFonts w:ascii="Times New Roman" w:eastAsia="Times New Roman" w:hAnsi="Times New Roman" w:cs="Times New Roman"/>
          <w:sz w:val="24"/>
          <w:szCs w:val="24"/>
        </w:rPr>
        <w:t>, Bayne</w:t>
      </w:r>
      <w:r w:rsidR="00CD6814">
        <w:rPr>
          <w:rFonts w:ascii="Times New Roman" w:eastAsia="Times New Roman" w:hAnsi="Times New Roman" w:cs="Times New Roman"/>
          <w:sz w:val="24"/>
          <w:szCs w:val="24"/>
        </w:rPr>
        <w:t xml:space="preserve"> EM</w:t>
      </w:r>
      <w:r>
        <w:rPr>
          <w:rFonts w:ascii="Times New Roman" w:eastAsia="Times New Roman" w:hAnsi="Times New Roman" w:cs="Times New Roman"/>
          <w:sz w:val="24"/>
          <w:szCs w:val="24"/>
        </w:rPr>
        <w:t xml:space="preserve"> </w:t>
      </w:r>
      <w:r w:rsidR="00CD6814">
        <w:rPr>
          <w:rFonts w:ascii="Times New Roman" w:eastAsia="Times New Roman" w:hAnsi="Times New Roman" w:cs="Times New Roman"/>
          <w:sz w:val="24"/>
          <w:szCs w:val="24"/>
        </w:rPr>
        <w:t>(</w:t>
      </w:r>
      <w:r>
        <w:rPr>
          <w:rFonts w:ascii="Times New Roman" w:eastAsia="Times New Roman" w:hAnsi="Times New Roman" w:cs="Times New Roman"/>
          <w:sz w:val="24"/>
          <w:szCs w:val="24"/>
        </w:rPr>
        <w:t>2020</w:t>
      </w:r>
      <w:r w:rsidR="00CD681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Lessons learned from comparing spatially explicit models and the Partners in Flight approach to estimate population sizes of boreal birds in Alberta, Canada. Condor 122, 1–22. </w:t>
      </w:r>
      <w:hyperlink r:id="rId28">
        <w:r>
          <w:rPr>
            <w:rFonts w:ascii="Times New Roman" w:eastAsia="Times New Roman" w:hAnsi="Times New Roman" w:cs="Times New Roman"/>
            <w:color w:val="1155CC"/>
            <w:sz w:val="24"/>
            <w:szCs w:val="24"/>
            <w:u w:val="single"/>
          </w:rPr>
          <w:t>https://doi.org/10.1093/condor/duaa007</w:t>
        </w:r>
      </w:hyperlink>
      <w:r>
        <w:rPr>
          <w:rFonts w:ascii="Times New Roman" w:eastAsia="Times New Roman" w:hAnsi="Times New Roman" w:cs="Times New Roman"/>
          <w:sz w:val="24"/>
          <w:szCs w:val="24"/>
        </w:rPr>
        <w:t xml:space="preserve">. </w:t>
      </w:r>
    </w:p>
    <w:p w14:paraId="1A7C1C56" w14:textId="77777777" w:rsidR="005C5BB6" w:rsidRPr="005C5BB6" w:rsidRDefault="005C5BB6" w:rsidP="005C5BB6">
      <w:pPr>
        <w:ind w:left="720" w:hanging="720"/>
      </w:pPr>
    </w:p>
    <w:p w14:paraId="50014CD8" w14:textId="7A4F4E80" w:rsidR="005C5BB6" w:rsidRPr="005C5BB6" w:rsidRDefault="005C5BB6" w:rsidP="005C5BB6">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Therneau T, Atkinson B, Ripley B (2015) Package ‘rpart’. </w:t>
      </w:r>
      <w:hyperlink r:id="rId29">
        <w:r>
          <w:rPr>
            <w:rFonts w:ascii="Times New Roman" w:eastAsia="Times New Roman" w:hAnsi="Times New Roman" w:cs="Times New Roman"/>
            <w:color w:val="1155CC"/>
            <w:sz w:val="24"/>
            <w:szCs w:val="24"/>
            <w:u w:val="single"/>
          </w:rPr>
          <w:t>http://cran.ma.ic.ac.uk/web/packages/rpart/rpart.pdf</w:t>
        </w:r>
      </w:hyperlink>
      <w:r>
        <w:rPr>
          <w:rFonts w:ascii="Times New Roman" w:eastAsia="Times New Roman" w:hAnsi="Times New Roman" w:cs="Times New Roman"/>
          <w:sz w:val="24"/>
          <w:szCs w:val="24"/>
        </w:rPr>
        <w:t>. Accessed October 1, 2020.</w:t>
      </w:r>
    </w:p>
    <w:p w14:paraId="7EDA7817" w14:textId="714E2FEC" w:rsidR="00777D0C" w:rsidRDefault="00777D0C" w:rsidP="00777D0C">
      <w:pPr>
        <w:pStyle w:val="Bibliography"/>
        <w:rPr>
          <w:rFonts w:ascii="Times New Roman" w:hAnsi="Times New Roman" w:cs="Times New Roman"/>
          <w:sz w:val="24"/>
          <w:szCs w:val="24"/>
        </w:rPr>
      </w:pPr>
      <w:r w:rsidRPr="00103071">
        <w:rPr>
          <w:rFonts w:ascii="Times New Roman" w:hAnsi="Times New Roman" w:cs="Times New Roman"/>
          <w:sz w:val="24"/>
          <w:szCs w:val="24"/>
        </w:rPr>
        <w:t>Valavi R, Elith J, Lahoz-Monfort JJ, Guillera-Arroita G (2018) blockCV: an R package for generating spatially or environmentally separated folds for k-fold cross-validation of species distribution models. 357798</w:t>
      </w:r>
      <w:r w:rsidR="005C5BB6">
        <w:rPr>
          <w:rFonts w:ascii="Times New Roman" w:hAnsi="Times New Roman" w:cs="Times New Roman"/>
          <w:sz w:val="24"/>
          <w:szCs w:val="24"/>
        </w:rPr>
        <w:t xml:space="preserve"> </w:t>
      </w:r>
    </w:p>
    <w:p w14:paraId="5F916819" w14:textId="0BECE93D" w:rsidR="005C5BB6" w:rsidRDefault="005C5BB6" w:rsidP="005C5BB6">
      <w:pPr>
        <w:ind w:left="720" w:hanging="720"/>
        <w:rPr>
          <w:rFonts w:ascii="Times New Roman" w:hAnsi="Times New Roman" w:cs="Times New Roman"/>
          <w:sz w:val="24"/>
          <w:szCs w:val="24"/>
        </w:rPr>
      </w:pPr>
      <w:r w:rsidRPr="005C5BB6">
        <w:rPr>
          <w:rFonts w:ascii="Times New Roman" w:hAnsi="Times New Roman" w:cs="Times New Roman"/>
          <w:sz w:val="24"/>
          <w:szCs w:val="24"/>
        </w:rPr>
        <w:t xml:space="preserve">Van Wilgenburg S, Beck E, Obermayer B, Joyce T, Weddle B </w:t>
      </w:r>
      <w:r>
        <w:rPr>
          <w:rFonts w:ascii="Times New Roman" w:hAnsi="Times New Roman" w:cs="Times New Roman"/>
          <w:sz w:val="24"/>
          <w:szCs w:val="24"/>
        </w:rPr>
        <w:t>(</w:t>
      </w:r>
      <w:r w:rsidRPr="005C5BB6">
        <w:rPr>
          <w:rFonts w:ascii="Times New Roman" w:hAnsi="Times New Roman" w:cs="Times New Roman"/>
          <w:sz w:val="24"/>
          <w:szCs w:val="24"/>
        </w:rPr>
        <w:t>2015</w:t>
      </w:r>
      <w:r>
        <w:rPr>
          <w:rFonts w:ascii="Times New Roman" w:hAnsi="Times New Roman" w:cs="Times New Roman"/>
          <w:sz w:val="24"/>
          <w:szCs w:val="24"/>
        </w:rPr>
        <w:t>)</w:t>
      </w:r>
      <w:r w:rsidRPr="005C5BB6">
        <w:rPr>
          <w:rFonts w:ascii="Times New Roman" w:hAnsi="Times New Roman" w:cs="Times New Roman"/>
          <w:sz w:val="24"/>
          <w:szCs w:val="24"/>
        </w:rPr>
        <w:t xml:space="preserve"> Biased representation of disturbance rates in the roadside sampling frame in boreal forests: Implications for monitoring design. Avian Cons. Ecol. 10(2). http://dx.doi.org/10.5751/ACE-00777-100205.</w:t>
      </w:r>
      <w:r w:rsidR="00CD6814">
        <w:rPr>
          <w:rFonts w:ascii="Times New Roman" w:hAnsi="Times New Roman" w:cs="Times New Roman"/>
          <w:sz w:val="24"/>
          <w:szCs w:val="24"/>
        </w:rPr>
        <w:t xml:space="preserve"> </w:t>
      </w:r>
    </w:p>
    <w:p w14:paraId="73FA5E13" w14:textId="1B1531C2" w:rsidR="00CD6814" w:rsidRDefault="00CD6814" w:rsidP="00CD6814">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Wang T, Hamann A, Spittlehouse D, Carroll C (2016) Locally downscaled and spatially customizable climate data for historical and future periods for North America. PLoS ONE 11, e0156720. </w:t>
      </w:r>
      <w:hyperlink r:id="rId30">
        <w:r>
          <w:rPr>
            <w:rFonts w:ascii="Times New Roman" w:eastAsia="Times New Roman" w:hAnsi="Times New Roman" w:cs="Times New Roman"/>
            <w:color w:val="1155CC"/>
            <w:sz w:val="24"/>
            <w:szCs w:val="24"/>
            <w:u w:val="single"/>
          </w:rPr>
          <w:t>https://doi.org/10.1371/journal.pone.0156720</w:t>
        </w:r>
      </w:hyperlink>
      <w:r>
        <w:rPr>
          <w:rFonts w:ascii="Times New Roman" w:eastAsia="Times New Roman" w:hAnsi="Times New Roman" w:cs="Times New Roman"/>
          <w:sz w:val="24"/>
          <w:szCs w:val="24"/>
        </w:rPr>
        <w:t xml:space="preserve">. </w:t>
      </w:r>
    </w:p>
    <w:p w14:paraId="1ABC7525" w14:textId="77777777" w:rsidR="00CD6814" w:rsidRPr="005C5BB6" w:rsidRDefault="00CD6814" w:rsidP="005C5BB6">
      <w:pPr>
        <w:ind w:left="720" w:hanging="720"/>
        <w:rPr>
          <w:rFonts w:ascii="Times New Roman" w:hAnsi="Times New Roman" w:cs="Times New Roman"/>
          <w:sz w:val="24"/>
          <w:szCs w:val="24"/>
        </w:rPr>
      </w:pPr>
    </w:p>
    <w:p w14:paraId="64092110" w14:textId="03830E55" w:rsidR="00AA57B0" w:rsidRDefault="00777D0C">
      <w:pPr>
        <w:rPr>
          <w:rFonts w:ascii="Times New Roman" w:eastAsia="Times New Roman" w:hAnsi="Times New Roman" w:cs="Times New Roman"/>
          <w:sz w:val="24"/>
          <w:szCs w:val="24"/>
        </w:rPr>
      </w:pPr>
      <w:r w:rsidRPr="00103071">
        <w:rPr>
          <w:rFonts w:ascii="Times New Roman" w:hAnsi="Times New Roman" w:cs="Times New Roman"/>
          <w:sz w:val="24"/>
          <w:szCs w:val="24"/>
        </w:rPr>
        <w:fldChar w:fldCharType="end"/>
      </w:r>
    </w:p>
    <w:sectPr w:rsidR="00AA57B0">
      <w:pgSz w:w="12240" w:h="15840"/>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7B0"/>
    <w:rsid w:val="00103071"/>
    <w:rsid w:val="00191523"/>
    <w:rsid w:val="00473C38"/>
    <w:rsid w:val="005B3178"/>
    <w:rsid w:val="005C5BB6"/>
    <w:rsid w:val="005F2586"/>
    <w:rsid w:val="00777D0C"/>
    <w:rsid w:val="00AA57B0"/>
    <w:rsid w:val="00B115F7"/>
    <w:rsid w:val="00C70356"/>
    <w:rsid w:val="00CD68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EC2E0"/>
  <w15:docId w15:val="{C6C0F83C-8F29-4BA3-AD25-F0745778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0A4E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EA1"/>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FF78E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276A"/>
    <w:rPr>
      <w:color w:val="0563C1" w:themeColor="hyperlink"/>
      <w:u w:val="single"/>
    </w:rPr>
  </w:style>
  <w:style w:type="character" w:styleId="UnresolvedMention">
    <w:name w:val="Unresolved Mention"/>
    <w:basedOn w:val="DefaultParagraphFont"/>
    <w:uiPriority w:val="99"/>
    <w:semiHidden/>
    <w:unhideWhenUsed/>
    <w:rsid w:val="00F6276A"/>
    <w:rPr>
      <w:color w:val="605E5C"/>
      <w:shd w:val="clear" w:color="auto" w:fill="E1DFDD"/>
    </w:rPr>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F4899"/>
    <w:pPr>
      <w:spacing w:after="0" w:line="240" w:lineRule="auto"/>
    </w:pPr>
  </w:style>
  <w:style w:type="paragraph" w:styleId="CommentSubject">
    <w:name w:val="annotation subject"/>
    <w:basedOn w:val="CommentText"/>
    <w:next w:val="CommentText"/>
    <w:link w:val="CommentSubjectChar"/>
    <w:uiPriority w:val="99"/>
    <w:semiHidden/>
    <w:unhideWhenUsed/>
    <w:rsid w:val="00811506"/>
    <w:rPr>
      <w:b/>
      <w:bCs/>
    </w:rPr>
  </w:style>
  <w:style w:type="character" w:customStyle="1" w:styleId="CommentSubjectChar">
    <w:name w:val="Comment Subject Char"/>
    <w:basedOn w:val="CommentTextChar"/>
    <w:link w:val="CommentSubject"/>
    <w:uiPriority w:val="99"/>
    <w:semiHidden/>
    <w:rsid w:val="00811506"/>
    <w:rPr>
      <w:b/>
      <w:bCs/>
      <w:sz w:val="20"/>
      <w:szCs w:val="20"/>
    </w:r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Bibliography">
    <w:name w:val="Bibliography"/>
    <w:basedOn w:val="Normal"/>
    <w:next w:val="Normal"/>
    <w:uiPriority w:val="37"/>
    <w:unhideWhenUsed/>
    <w:rsid w:val="00777D0C"/>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doi.org/10.1038/sdata.2018.40" TargetMode="External"/><Relationship Id="rId18" Type="http://schemas.openxmlformats.org/officeDocument/2006/relationships/hyperlink" Target="https://www.concordia.ca/library/guides/geospatial-data/geodata.html" TargetMode="External"/><Relationship Id="rId26" Type="http://schemas.openxmlformats.org/officeDocument/2006/relationships/hyperlink" Target="https://www.arcgis.com/home/item.html?id=1cd492c45f1145daa49b19cc541d0a0c" TargetMode="External"/><Relationship Id="rId3" Type="http://schemas.openxmlformats.org/officeDocument/2006/relationships/settings" Target="settings.xml"/><Relationship Id="rId21" Type="http://schemas.openxmlformats.org/officeDocument/2006/relationships/hyperlink" Target="https://cran.r-project.org/package=gbm" TargetMode="External"/><Relationship Id="rId7" Type="http://schemas.openxmlformats.org/officeDocument/2006/relationships/image" Target="media/image1.jpg"/><Relationship Id="rId12" Type="http://schemas.openxmlformats.org/officeDocument/2006/relationships/hyperlink" Target="https://abmi.ca/home/data-analytics/da-top/da-product-overview/Human-Footprint-Products/HF-inventory.html" TargetMode="External"/><Relationship Id="rId17" Type="http://schemas.openxmlformats.org/officeDocument/2006/relationships/hyperlink" Target="https://www.concordia.ca/library/guides/geospatial-data/geodata.html" TargetMode="External"/><Relationship Id="rId25" Type="http://schemas.openxmlformats.org/officeDocument/2006/relationships/hyperlink" Target="https://novascotia.ca/natr/wildlife/habitats/wetlands.asp" TargetMode="External"/><Relationship Id="rId2" Type="http://schemas.openxmlformats.org/officeDocument/2006/relationships/styles" Target="styles.xml"/><Relationship Id="rId16" Type="http://schemas.openxmlformats.org/officeDocument/2006/relationships/hyperlink" Target="http://www.cec.org/north-american-environmental-atlas/land-cover-2005-modis-250m" TargetMode="External"/><Relationship Id="rId20" Type="http://schemas.openxmlformats.org/officeDocument/2006/relationships/hyperlink" Target="https://rivix.com/DEM_Info/GLSDEM.php" TargetMode="External"/><Relationship Id="rId29" Type="http://schemas.openxmlformats.org/officeDocument/2006/relationships/hyperlink" Target="http://cran.ma.ic.ac.uk/web/packages/rpart/rpart.pdf" TargetMode="External"/><Relationship Id="rId1" Type="http://schemas.openxmlformats.org/officeDocument/2006/relationships/customXml" Target="../customXml/item1.xml"/><Relationship Id="rId6" Type="http://schemas.openxmlformats.org/officeDocument/2006/relationships/hyperlink" Target="https://www.online.alces.ca/" TargetMode="External"/><Relationship Id="rId11" Type="http://schemas.openxmlformats.org/officeDocument/2006/relationships/hyperlink" Target="https://open.canada.ca/data/en/dataset/ba2645d5-4458-414d-b196-6303ac06c1c9" TargetMode="External"/><Relationship Id="rId24" Type="http://schemas.openxmlformats.org/officeDocument/2006/relationships/hyperlink" Target="http://www.snb.ca/geonb1/e/DC/catalogue-E.asp" TargetMode="External"/><Relationship Id="rId32" Type="http://schemas.openxmlformats.org/officeDocument/2006/relationships/theme" Target="theme/theme1.xml"/><Relationship Id="rId5" Type="http://schemas.openxmlformats.org/officeDocument/2006/relationships/hyperlink" Target="https://novascotia.ca/natr/forestry/gis/wamdownload.asp" TargetMode="External"/><Relationship Id="rId15" Type="http://schemas.openxmlformats.org/officeDocument/2006/relationships/hyperlink" Target="https://www.alces.ca/publications/download/406/Carlson%20et%20al%202014.pdf" TargetMode="External"/><Relationship Id="rId23" Type="http://schemas.openxmlformats.org/officeDocument/2006/relationships/hyperlink" Target="https://cran.r-project.org/web/packages/raster/index.html" TargetMode="External"/><Relationship Id="rId28" Type="http://schemas.openxmlformats.org/officeDocument/2006/relationships/hyperlink" Target="https://doi.org/10.1093/condor/duaa007" TargetMode="External"/><Relationship Id="rId10" Type="http://schemas.openxmlformats.org/officeDocument/2006/relationships/image" Target="media/image4.png"/><Relationship Id="rId19" Type="http://schemas.openxmlformats.org/officeDocument/2006/relationships/hyperlink" Target="https://cran.r-project.org/package=k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open.canada.ca/data/en/dataset/2dac78ba-8543-48a6-8f07-faeef56f9895" TargetMode="External"/><Relationship Id="rId22" Type="http://schemas.openxmlformats.org/officeDocument/2006/relationships/hyperlink" Target="https://cran.r-project.org/package=dismo" TargetMode="External"/><Relationship Id="rId27" Type="http://schemas.openxmlformats.org/officeDocument/2006/relationships/hyperlink" Target="https://doi.org/10.1111/2041-210X.12106" TargetMode="External"/><Relationship Id="rId30" Type="http://schemas.openxmlformats.org/officeDocument/2006/relationships/hyperlink" Target="https://doi.org/10.1371/journal.pone.0156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rs/nM9AX8huhTJPVmxRP58/ENQg==">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12662</Words>
  <Characters>72175</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Lionel Leston</dc:creator>
  <cp:lastModifiedBy>Lionel Leston</cp:lastModifiedBy>
  <cp:revision>5</cp:revision>
  <dcterms:created xsi:type="dcterms:W3CDTF">2023-02-25T18:23:00Z</dcterms:created>
  <dcterms:modified xsi:type="dcterms:W3CDTF">2023-03-08T19:34:00Z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id="x0kqCMLV"/&gt;&lt;style id="http://www.zotero.org/styles/biodiversity-and-conservation" hasBibliography="1" bibliographyStyleHasBeenSet="1"/&gt;&lt;prefs&gt;&lt;pref name="fieldType" value="Field"/&gt;&lt;pref name="aut</vt:lpwstr>
  </property>
  <property fmtid="{D5CDD505-2E9C-101B-9397-08002B2CF9AE}" pid="3" name="ZOTERO_PREF_2">
    <vt:lpwstr>omaticJournalAbbreviations" value="true"/&gt;&lt;/prefs&gt;&lt;/data&gt;</vt:lpwstr>
  </property>
</Properties>
</file>