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76D6"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S3 – Projecting Future Canada Warbler and Wood Thrush Density and Abundance Under Different Climate and Harvest Scenarios</w:t>
      </w:r>
    </w:p>
    <w:p w14:paraId="69A3C83B" w14:textId="77777777" w:rsidR="008634CB" w:rsidRPr="00FA6886" w:rsidRDefault="00000000" w:rsidP="00FA6886">
      <w:pPr>
        <w:pStyle w:val="Heading1"/>
        <w:rPr>
          <w:rFonts w:ascii="Times New Roman" w:hAnsi="Times New Roman" w:cs="Times New Roman"/>
          <w:sz w:val="24"/>
          <w:szCs w:val="24"/>
        </w:rPr>
      </w:pPr>
      <w:r w:rsidRPr="00FA6886">
        <w:rPr>
          <w:rFonts w:ascii="Times New Roman" w:hAnsi="Times New Roman" w:cs="Times New Roman"/>
          <w:sz w:val="24"/>
          <w:szCs w:val="24"/>
        </w:rPr>
        <w:t>Methods</w:t>
      </w:r>
    </w:p>
    <w:p w14:paraId="4B456D21" w14:textId="1E65FCBE" w:rsidR="008634CB" w:rsidRDefault="00000000" w:rsidP="00F648A5">
      <w:pPr>
        <w:rPr>
          <w:rFonts w:ascii="Times New Roman" w:eastAsia="Times New Roman" w:hAnsi="Times New Roman" w:cs="Times New Roman"/>
          <w:sz w:val="24"/>
          <w:szCs w:val="24"/>
        </w:rPr>
      </w:pPr>
      <w:r>
        <w:rPr>
          <w:rFonts w:ascii="Times New Roman" w:eastAsia="Times New Roman" w:hAnsi="Times New Roman" w:cs="Times New Roman"/>
          <w:sz w:val="24"/>
          <w:szCs w:val="24"/>
        </w:rPr>
        <w:t>We used the forest landscape change model LANDIS-II (hereafter, “LANDIS”)</w:t>
      </w:r>
      <w:r w:rsidR="000D3318">
        <w:rPr>
          <w:rFonts w:ascii="Times New Roman" w:eastAsia="Times New Roman" w:hAnsi="Times New Roman" w:cs="Times New Roman"/>
          <w:sz w:val="24"/>
          <w:szCs w:val="24"/>
        </w:rPr>
        <w:t xml:space="preserve"> </w:t>
      </w:r>
      <w:r w:rsidR="000D3318">
        <w:rPr>
          <w:rFonts w:ascii="Times New Roman" w:eastAsia="Times New Roman" w:hAnsi="Times New Roman" w:cs="Times New Roman"/>
          <w:sz w:val="24"/>
          <w:szCs w:val="24"/>
        </w:rPr>
        <w:fldChar w:fldCharType="begin"/>
      </w:r>
      <w:r w:rsidR="000D3318">
        <w:rPr>
          <w:rFonts w:ascii="Times New Roman" w:eastAsia="Times New Roman" w:hAnsi="Times New Roman" w:cs="Times New Roman"/>
          <w:sz w:val="24"/>
          <w:szCs w:val="24"/>
        </w:rPr>
        <w:instrText xml:space="preserve"> ADDIN ZOTERO_ITEM CSL_CITATION {"citationID":"Vs9sloEg","properties":{"formattedCitation":"(Scheller and Mladenoff 2004; Scheller et al. 2007)","plainCitation":"(Scheller and Mladenoff 2004; Scheller et al. 2007)","noteIndex":0},"citationItems":[{"id":138,"uris":["http://zotero.org/groups/4916363/items/JLTIWXTE"],"itemData":{"id":138,"type":"article-journal","abstract":"Predicting the long-term dynamics of forest systems depends on understanding multiple processes that often operate at vastly different scales. Disturbance and seed dispersal are landscape-scale phenomena and are spatially linked across the landscape. Ecosystem processes (e.g., growth and decomposition) have high annual and inter-specific variation and are generally quantified at the scale of a forest stand. To link these widely scaled processes, we used biomass (living and dead) as an integrating variable that provides feedbacks between disturbance and ecosystem processes and feedbacks among multiple disturbances. We integrated a simple model of biomass growth, mortality, and decay into LANDIS, a spatially dynamic landscape simulation model. The new biomass module was statically linked to PnET-II, a generalized ecosystem process model. The combined model simulates disturbances (fire, wind, harvesting), dispersal, forest biomass growth and mortality, and inter- and intra-specific competition. We used the model to quantify how fire and windthrow alter forest succession, living biomass and dead biomass across an artificial landscape representative of northern Wisconsin, USA. In addition, model validation and a sensitivity analysis were conducted.","collection-title":"Modelling disturbance and succession in forest landscapes using LANDIS","container-title":"Ecological Modelling","DOI":"10.1016/j.ecolmodel.2004.01.022","ISSN":"0304-3800","issue":"1","journalAbbreviation":"Ecological Modelling","language":"en","page":"211-229","source":"ScienceDirect","title":"A forest growth and biomass module for a landscape simulation model, LANDIS: design, validation, and application","title-short":"A forest growth and biomass module for a landscape simulation model, LANDIS","volume":"180","author":[{"family":"Scheller","given":"Robert M."},{"family":"Mladenoff","given":"David J."}],"issued":{"date-parts":[["2004",12,10]]}}},{"id":141,"uris":["http://zotero.org/groups/4916363/items/ZHUATFN2"],"itemData":{"id":141,"type":"article-journal","abstract":"We introduce LANDIS-II, a landscape model designed to simulate forest succession and disturbances. LANDIS-II builds upon and preserves the functionality of previous LANDIS forest landscape simulation models. LANDIS-II is distinguished by the inclusion of variable time steps for different ecological processes; our use of a rigorous development and testing process used by software engineers; and an emphasis on collaborative features including a flexible, open architecture. We detail the variable time step logic and provide an overview of the system architecture. Finally, we demonstrate model behavior and sensitivity to variable time steps through application to a large boreal forest landscape. We simulated pre-industrial forest fire regimes in order to establish base-line conditions for future management. Differing model time steps substantially altered our estimates of pre-industrial forest conditions. Where disturbance frequency is relatively high or successional processes long, the variable time steps may be a critical element for successful forest landscape modeling.","container-title":"Ecological Modelling","DOI":"10.1016/j.ecolmodel.2006.10.009","ISSN":"0304-3800","issue":"3","journalAbbreviation":"Ecological Modelling","language":"en","page":"409-419","source":"ScienceDirect","title":"Design, development, and application of LANDIS-II, a spatial landscape simulation model with flexible temporal and spatial resolution","volume":"201","author":[{"family":"Scheller","given":"Robert M."},{"family":"Domingo","given":"James B."},{"family":"Sturtevant","given":"Brian R."},{"family":"Williams","given":"Jeremy S."},{"family":"Rudy","given":"Arnold"},{"family":"Gustafson","given":"Eric J."},{"family":"Mladenoff","given":"David J."}],"issued":{"date-parts":[["2007",3,10]]}}}],"schema":"https://github.com/citation-style-language/schema/raw/master/csl-citation.json"} </w:instrText>
      </w:r>
      <w:r w:rsidR="000D3318">
        <w:rPr>
          <w:rFonts w:ascii="Times New Roman" w:eastAsia="Times New Roman" w:hAnsi="Times New Roman" w:cs="Times New Roman"/>
          <w:sz w:val="24"/>
          <w:szCs w:val="24"/>
        </w:rPr>
        <w:fldChar w:fldCharType="separate"/>
      </w:r>
      <w:r w:rsidR="000D3318" w:rsidRPr="000D3318">
        <w:rPr>
          <w:rFonts w:ascii="Times New Roman" w:hAnsi="Times New Roman" w:cs="Times New Roman"/>
          <w:sz w:val="24"/>
        </w:rPr>
        <w:t>(Scheller and Mladenoff 2004; Scheller et al. 2007)</w:t>
      </w:r>
      <w:r w:rsidR="000D3318">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to predict how Canada Warbler in Alberta and Nova Scotia and Wood Thrush in Quebec, New Brunswick, and Nova Scotia might change in population size and distribution under different climate and land use scenarios in each management unit. </w:t>
      </w:r>
    </w:p>
    <w:p w14:paraId="417861D5" w14:textId="65A8E46E" w:rsidR="008634CB" w:rsidRDefault="00000000" w:rsidP="00F648A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Wood Thrush in Ontario, we also used another land use simulator called ALCES Online (https://www.online.alces.ca/) to simulate how future habitat for Wood Thrush is affected by disturbances like harvest, budworm outbreaks, and fire</w:t>
      </w:r>
      <w:r w:rsidR="000D3318">
        <w:rPr>
          <w:rFonts w:ascii="Times New Roman" w:eastAsia="Times New Roman" w:hAnsi="Times New Roman" w:cs="Times New Roman"/>
          <w:sz w:val="24"/>
          <w:szCs w:val="24"/>
        </w:rPr>
        <w:t xml:space="preserve"> (</w:t>
      </w:r>
      <w:r w:rsidR="000D3318" w:rsidRPr="00F648A5">
        <w:rPr>
          <w:rFonts w:ascii="Times New Roman" w:eastAsia="Times New Roman" w:hAnsi="Times New Roman" w:cs="Times New Roman"/>
          <w:sz w:val="24"/>
          <w:szCs w:val="24"/>
        </w:rPr>
        <w:t>Carlson et al. 2014</w:t>
      </w:r>
      <w:r w:rsidR="000D3318">
        <w:rPr>
          <w:rFonts w:ascii="Times New Roman" w:eastAsia="Times New Roman" w:hAnsi="Times New Roman" w:cs="Times New Roman"/>
          <w:sz w:val="24"/>
          <w:szCs w:val="24"/>
        </w:rPr>
        <w:t xml:space="preserve">, </w:t>
      </w:r>
      <w:r w:rsidR="000D3318">
        <w:rPr>
          <w:rFonts w:ascii="Times New Roman" w:eastAsia="Times New Roman" w:hAnsi="Times New Roman" w:cs="Times New Roman"/>
          <w:sz w:val="24"/>
          <w:szCs w:val="24"/>
        </w:rPr>
        <w:fldChar w:fldCharType="begin"/>
      </w:r>
      <w:r w:rsidR="000D3318">
        <w:rPr>
          <w:rFonts w:ascii="Times New Roman" w:eastAsia="Times New Roman" w:hAnsi="Times New Roman" w:cs="Times New Roman"/>
          <w:sz w:val="24"/>
          <w:szCs w:val="24"/>
        </w:rPr>
        <w:instrText xml:space="preserve"> ADDIN ZOTERO_ITEM CSL_CITATION {"citationID":"ZOO7uQBa","properties":{"formattedCitation":"(Carlson and Stelfox 2014; Carlson et al. 2019; Leston et al. 2020)","plainCitation":"(Carlson and Stelfox 2014; Carlson et al. 2019; Leston et al. 2020)","noteIndex":0},"citationItems":[{"id":108,"uris":["http://zotero.org/groups/4916363/items/ZXJ3I99M"],"itemData":{"id":108,"type":"chapter","abstract":"The vast majority of Alberta’s oil sands are yet to be developed due to the high cost of production, but declining conventional reserves will create high pressure to develop the resource. Simulation of the potential future effects of accelerated oil sands development demonstrates that associated increases in landscape disturbance, human access, and industrial activity would increase GHG emissions and elevate risk to fish and wildlife. These impacts can be reduced but not avoided by improving management practices and limiting non‐industrial access. Expansion of the protected areas network is an additional mechanism to reduce environmental risk, and the aggregated distribution of bitumen deposits provides opportunities for cost–effective protection. The greatest land‐use planning challenge presented by the oil sands is environmental values that are in direct conflict with oil sands production such as reducing greenhouse gas emissions or conserving wildlife such as caribou whose distribution overlaps bitumen deposits. A land’use plan has been developed for the region with the objective of optimizing the economic potential of the oil sands while also maintaining ecosystem function, biodiversity, and human health. If the land’use plan is implemented in its entirety, including the establishment of thresholds to limit land use within bounds of ecological integrity, it may provide a model for sustainable development of hydrocarbon reserves.","container-title":"Peak Oil, Economic Growth, and Wildlife Conservation","event-place":"New York, NY","ISBN":"978-1-4939-1954-3","language":"en","note":"DOI: 10.1007/978-1-4939-1954-3_11","page":"219-244","publisher":"Springer","publisher-place":"New York, NY","source":"Springer Link","title":"Alberta Oil Sands Development and Risk Management of Canadian Boreal Ecosystems","URL":"https://doi.org/10.1007/978-1-4939-1954-3_11","author":[{"family":"Carlson","given":"Matthew"},{"family":"Stelfox","given":"J. Brad"}],"editor":[{"family":"Gates","given":"J. Edward"},{"family":"Trauger","given":"David L."},{"family":"Czech","given":"Brian"}],"accessed":{"date-parts":[["2023",2,1]]},"issued":{"date-parts":[["2014"]]}}},{"id":110,"uris":["http://zotero.org/groups/4916363/items/DWAPQZS6"],"itemData":{"id":110,"type":"article-journal","abstract":"Avoided ecological loss is an appropriate measure of conservation effectiveness, but challenging to measure because it requires consideration of counterfactual conditions. Land-use simulation is a well suited but underutilized tool in this regard. As a case study for the application of land-use simulation to assess the impact of protected areas, we present a scenario analysis exploring conservation options in Canada’s western boreal forest. The cumulative effect of multiple natural resource sectors, including oil and gas, forestry, and agriculture, have substantially altered the region’s ecosystems in recent decades and elevated risk to wildlife. The evolving state of the region is such that managing risks to biodiversity requires consideration of not only today’s but also tomorrow’s conditions. We simulated the long-term (50-year) outcomes of land use and protection to caribou, fisher, fish, and resource production in each of 104 watersheds in the 693,345 km2 study area. Simulated land use caused increased risk to wildlife in response to northwards expansion of resource extraction and expansion of agricultural lands. For each watershed, indicator performance with and without protection were compared to calculate the benefit (avoided ecological loss) and cost (lost opportunity for resource production) of protection. The capacity for protected areas to avoid disturbance varied substantially across watersheds, as did the potential loss of economic opportunity. Focusing protection on cost-effective watersheds made protected area expansion a more efficient strategy for reducing wildlife risk than reducing the overall rate of natural resource production. Heterogeneity in the cost-effectiveness of protection presents an opportunity to balance ecological integrity and economic growth.","container-title":"Land Use Policy","DOI":"10.1016/j.landusepol.2019.01.015","ISSN":"0264-8377","journalAbbreviation":"Land Use Policy","language":"en","page":"821-831","source":"ScienceDirect","title":"Application of land-use simulation to protected area selection for efficient avoidance of biodiversity loss in Canada’s western boreal region","volume":"82","author":[{"family":"Carlson","given":"Matt"},{"family":"Browne","given":"David"},{"family":"Callaghan","given":"Carolyn"}],"issued":{"date-parts":[["2019",3,1]]}}},{"id":119,"uris":["http://zotero.org/groups/4916363/items/Q9TUFC7H"],"itemData":{"id":119,"type":"article-journal","abstract":"There is interest in linking outputs from land use simulators to bird species distribution models to project how boreal birds will respond to cumulative effects of caribou (Rangifer tarandus) conservation, harvest, fire, and energy-sector development in Alberta. Our hypotheses were: (1) species associated with older mixed-wood stands would decline more if harvest was shifted away from areas used by caribou to areas with more mixed-wood; and (2) species associated with older forests would be more negatively affected by the combined effects of harvest, fire, and non-forestry footprint than by harvest alone. We used vegetation data from two harvest scenarios produced in Patchworks as inputs for density models of 20 boreal forest songbird and woodpecker species in Alberta. We projected abundance of these species over 50 years under: 1) two scenarios created in Patchworks, without fire but with and without deferral of timber harvest within a caribou conservation zone on lands tenured to Alberta-Pacific Forest Industries Inc.; (2) a scenario with fire but no human footprint; and (3) five scenarios in ALCES Online, in which habitat was affected by Patchworks harvest locations, fire (1–2 × current rate), and energy sector development (present or absent; with or without seismic line reclamation to improve caribou habitat). In the Patchworks scenarios, we found similar projected numbers of each bird species over time, whether harvest deferral occurred or not. Both harvest plans increased habitat and numbers for most species associated with older forests over 50 years, while most species associated with younger forests declined in both harvest plans, because average projected forest age increased over 50 years. Fire and other footprint generally reduced relative amount of habitat for species associated with older forests, which still increased over time, while other species responded positively or less negatively to fire. Seismic restoration created habitat for three-quarters of species that responded negatively to energy sector development over 50 years. As projections depended on whether just harvest, fire or all footprints were analyzed, multiple human impacts over time beyond harvest should be considered in conservation and land use planning based on long-term predictions about wildlife in anthropogenic landscapes.","container-title":"Frontiers in Ecology and Evolution","ISSN":"2296-701X","source":"Frontiers","title":"Quantifying Long-Term Bird Population Responses to Simulated Harvest Plans and Cumulative Effects of Disturbance","URL":"https://www.frontiersin.org/articles/10.3389/fevo.2020.00252","volume":"8","author":[{"family":"Leston","given":"Lionel"},{"family":"Bayne","given":"Erin"},{"family":"Dzus","given":"Elston"},{"family":"Sólymos","given":"Péter"},{"family":"Moore","given":"Tom"},{"family":"Andison","given":"David"},{"family":"Cheyne","given":"Dave"},{"family":"Carlson","given":"Matt"}],"accessed":{"date-parts":[["2023",2,1]]},"issued":{"date-parts":[["2020"]]}}}],"schema":"https://github.com/citation-style-language/schema/raw/master/csl-citation.json"} </w:instrText>
      </w:r>
      <w:r w:rsidR="000D3318">
        <w:rPr>
          <w:rFonts w:ascii="Times New Roman" w:eastAsia="Times New Roman" w:hAnsi="Times New Roman" w:cs="Times New Roman"/>
          <w:sz w:val="24"/>
          <w:szCs w:val="24"/>
        </w:rPr>
        <w:fldChar w:fldCharType="separate"/>
      </w:r>
      <w:r w:rsidR="000D3318" w:rsidRPr="000D3318">
        <w:rPr>
          <w:rFonts w:ascii="Times New Roman" w:hAnsi="Times New Roman" w:cs="Times New Roman"/>
          <w:sz w:val="24"/>
        </w:rPr>
        <w:t>Carlson and Stelfox 2014; Carlson et al. 2019; Leston et al. 2020)</w:t>
      </w:r>
      <w:r w:rsidR="000D3318">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We used ALCES Online because there is currently insufficient data available in part of the Wood Thrush range (southern Ontario) - particularly the deciduous forests - for LANDIS to model how individual tree species - hence, forest habitat for Wood Thrush - respond to climate and other environmental variables. As with LANDIS-II, we projected variations in forest age and composition as a function of harvest and other disturbance rates.</w:t>
      </w:r>
    </w:p>
    <w:p w14:paraId="424DEFDC" w14:textId="77777777" w:rsidR="008634CB" w:rsidRPr="00F648A5" w:rsidRDefault="00000000" w:rsidP="00F648A5">
      <w:pPr>
        <w:pStyle w:val="Heading2"/>
        <w:rPr>
          <w:rFonts w:ascii="Times New Roman" w:hAnsi="Times New Roman" w:cs="Times New Roman"/>
          <w:sz w:val="24"/>
          <w:szCs w:val="24"/>
        </w:rPr>
      </w:pPr>
      <w:r w:rsidRPr="00F648A5">
        <w:rPr>
          <w:rFonts w:ascii="Times New Roman" w:hAnsi="Times New Roman" w:cs="Times New Roman"/>
          <w:sz w:val="24"/>
          <w:szCs w:val="24"/>
        </w:rPr>
        <w:t>LANDIS</w:t>
      </w:r>
    </w:p>
    <w:p w14:paraId="42F7AFB3" w14:textId="480A3DAC" w:rsidR="008634CB" w:rsidRDefault="00000000" w:rsidP="00F648A5">
      <w:pPr>
        <w:rPr>
          <w:rFonts w:ascii="Times New Roman" w:eastAsia="Times New Roman" w:hAnsi="Times New Roman" w:cs="Times New Roman"/>
          <w:sz w:val="24"/>
          <w:szCs w:val="24"/>
        </w:rPr>
      </w:pPr>
      <w:r>
        <w:rPr>
          <w:rFonts w:ascii="Times New Roman" w:eastAsia="Times New Roman" w:hAnsi="Times New Roman" w:cs="Times New Roman"/>
          <w:sz w:val="24"/>
          <w:szCs w:val="24"/>
        </w:rPr>
        <w:t>LANDIS</w:t>
      </w:r>
      <w:r w:rsidR="00CC5C25">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runs a forest succession model (e.g., the forest gap model PICUS version 1.5; http://picus.boku.ac.at) describing shade tolerance, age of a tree species’ sexual maturity, dispersal distance, reproduction on-site after fire, and responses of either individual trees or cohorts of different tree species to new forest openings created by disturbances. In PICUS, different species-age cohorts occur within square 100-m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cells which interact with each other, in </w:t>
      </w:r>
      <w:r>
        <w:rPr>
          <w:rFonts w:ascii="Times New Roman" w:eastAsia="Times New Roman" w:hAnsi="Times New Roman" w:cs="Times New Roman"/>
          <w:sz w:val="24"/>
          <w:szCs w:val="24"/>
        </w:rPr>
        <w:t xml:space="preserve">which </w:t>
      </w:r>
      <w:r>
        <w:rPr>
          <w:rFonts w:ascii="Times New Roman" w:eastAsia="Times New Roman" w:hAnsi="Times New Roman" w:cs="Times New Roman"/>
          <w:color w:val="000000"/>
          <w:sz w:val="24"/>
          <w:szCs w:val="24"/>
        </w:rPr>
        <w:t xml:space="preserve">propagules from sexually mature trees in one cell can disperse to and potentially colonize newly disturbed adjacent cells within dispersal distance. As simulations run, individual species’ cohorts age with each time step. Alternative forest succession models to PICUS can be used with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w:t>
      </w:r>
      <w:r>
        <w:t xml:space="preserve">  </w:t>
      </w:r>
      <w:r>
        <w:rPr>
          <w:rFonts w:ascii="Times New Roman" w:eastAsia="Times New Roman" w:hAnsi="Times New Roman" w:cs="Times New Roman"/>
          <w:color w:val="000000"/>
          <w:sz w:val="24"/>
          <w:szCs w:val="24"/>
        </w:rPr>
        <w:t xml:space="preserve">Together, the forest succession model and the spatial environment components make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a forest landscape model (FLM) that has been widely used to project future forest habitat available to wildlife (e.g., </w:t>
      </w:r>
      <w:r w:rsidR="000D3318">
        <w:rPr>
          <w:rFonts w:ascii="Times New Roman" w:eastAsia="Times New Roman" w:hAnsi="Times New Roman" w:cs="Times New Roman"/>
          <w:color w:val="000000"/>
          <w:sz w:val="24"/>
          <w:szCs w:val="24"/>
        </w:rPr>
        <w:fldChar w:fldCharType="begin"/>
      </w:r>
      <w:r w:rsidR="000D3318">
        <w:rPr>
          <w:rFonts w:ascii="Times New Roman" w:eastAsia="Times New Roman" w:hAnsi="Times New Roman" w:cs="Times New Roman"/>
          <w:color w:val="000000"/>
          <w:sz w:val="24"/>
          <w:szCs w:val="24"/>
        </w:rPr>
        <w:instrText xml:space="preserve"> ADDIN ZOTERO_ITEM CSL_CITATION {"citationID":"52YoYJsS","properties":{"formattedCitation":"(Tremblay et al. 2018; Cadieux et al. 2019, 2020; Boulanger and Pascual Puigdevall 2021)","plainCitation":"(Tremblay et al. 2018; Cadieux et al. 2019, 2020; Boulanger and Pascual Puigdevall 2021)","noteIndex":0},"citationItems":[{"id":155,"uris":["http://zotero.org/groups/4916363/items/6V697KLY"],"itemData":{"id":155,"type":"article-journal","abstract":"Many studies project future bird ranges by relying on correlative species distribution models. Such models do not usually represent important processes explicitly related to climate change and harvesting, which limits their potential for predicting and understanding the future of boreal bird assemblages at the landscape scale. In this study, we attempted to assess the cumulative and specific impacts of both harvesting and climate-induced changes on wildfires and stand-level processes (e.g., reproduction, growth) in the boreal forest of eastern Canada. The projected changes in these landscape- and stand-scale processes (referred to as “drivers of change”) were then assessed for their impacts on future habitats and potential productivity of black-backed woodpecker (BBWO; Picoides arcticus), a focal species representative of deadwood and old-growth biodiversity in eastern Canada. Forest attributes were simulated using a forest landscape model, LANDIS-II, and were used to infer future landscape suitability to BBWO under three anthropogenic climate forcing scenarios (RCP 2.6, RCP 4.5 and RCP 8.5), compared to the historical baseline. We found climate change is likely to be detrimental for BBWO, with up to 92% decline in potential productivity under the worst-case climate forcing scenario (RCP 8.5). However, large declines were also projected under baseline climate, underlining the importance of harvest in determining future BBWO productivity. Present-day harvesting practices were the single most important cause of declining areas of old-growth coniferous forest, and hence appeared as the single most important driver of future BBWO productivity, regardless of the climate scenario. Climate-induced increases in fire activity would further promote young, deciduous stands at the expense of old-growth coniferous stands. This suggests that the biodiversity associated with deadwood and old-growth boreal forests may be greatly altered by the cumulative impacts of natural and anthropogenic disturbances under a changing climate. Management adaptations, including reduced harvesting levels and strategies to promote coniferous species content, may help mitigate these cumulative impacts.","container-title":"PLOS ONE","DOI":"10.1371/journal.pone.0191645","ISSN":"1932-6203","issue":"2","journalAbbreviation":"PLOS ONE","language":"en","note":"publisher: Public Library of Science","page":"e0191645","source":"PLoS Journals","title":"Harvesting interacts with climate change to affect future habitat quality of a focal species in eastern Canada’s boreal forest","volume":"13","author":[{"family":"Tremblay","given":"Junior A."},{"family":"Boulanger","given":"Yan"},{"family":"Cyr","given":"Dominic"},{"family":"Taylor","given":"Anthony R."},{"family":"Price","given":"David T."},{"family":"St-Laurent","given":"Martin-Hugues"}],"issued":{"date-parts":[["2018",2,7]]}}},{"id":102,"uris":["http://zotero.org/groups/4916363/items/96DPIJ6C"],"itemData":{"id":102,"type":"article-journal","abstract":"With climate change, natural resource managers are faced with the challenging task of planning the conservation of habitat for threatened species. Classified as \"threatened\" under the Species at Risk Act in Canada, the Bicknell's Thrush (Catharus Bicknelli - BITH) is a migratory bird whose range is highly restricted. Bioclimatic models project more than 50% loss of suitable habitat - high elevation dense balsam fir (Abies balsamea) forests - in the northeastern USA by 2050 due to climate change. We used BITH as a case study to demonstrate the value of forest landscape models (e.g., LANDIS-II) to support decision-making on conservation of habitat of threatened species. We modeled the impacts of forest management and natural disturbances, as well as climate-induced changes, on forest stand and landscape structure. Under RCP climate forcing scenarios 2.6, 4.5 and 8.5, simulations projected significant changes in dominant tree species biomass, from coniferous to broadleaved deciduous, implying important losses of mature balsam fir forest. Climate change was projected to have severe effects with major changes projected to occur after 2080 and losses of more than half of BITH suitable habitat by 2100 for “worst-case” climate change scenarios. This contrasts with results from bioclimatic models which do not capture the expected lags in vegetation responses to changing climate. Our results also suggest that innovative forest management strategies could help maintain BITH habitat abundance under RCP 2.6 and RCP 4.5 climate forcing. Such results can provide guidance for considering effective long-term conservation of habitat for threatened species in a changing world.","container-title":"Global Ecology and Conservation","DOI":"10.1016/j.gecco.2019.e00530","ISSN":"2351-9894","journalAbbreviation":"Global Ecology and Conservation","language":"en","page":"e00530","source":"ScienceDirect","title":"Spatially explicit climate change projections for the recovery planning of threatened species: The Bicknell's Thrush (Catharus Bicknelli) as a case study","title-short":"Spatially explicit climate change projections for the recovery planning of threatened species","volume":"17","author":[{"family":"Cadieux","given":"Philippe"},{"family":"Boulanger","given":"Yan"},{"family":"Cyr","given":"Dominic"},{"family":"Taylor","given":"Anthony R."},{"family":"Price","given":"David T."},{"family":"Tremblay","given":"Junior A."}],"issued":{"date-parts":[["2019",1,1]]}}},{"id":105,"uris":["http://zotero.org/groups/4916363/items/R5A3C2HS"],"itemData":{"id":105,"type":"article-journal","abstract":"Aim Climate change is expected to influence boreal bird communities significantly, notably through changes in forest habitat (composition and age structure), in the coming decades. How these changes will accumulate and interact with anthropogenic disturbances remains an open question for most species. Location Northeastern Alberta, Canada. Methods We used the LANDIS-II forest landscape model to project changes in forest landscapes, and associated bird populations (72 passerine species), according to three climatic scenarios (baseline, RCP 4.5 and RCP 8.5) and three forest harvesting scenarios of differing intensity. Results Both forest harvesting and climate-related drivers were projected to have large impacts on bird communities in this region. As a result of climate-induced increases in fire activity as well as decreased conifer productivity, our simulations projected that an important proportion of Alberta's boreal forests would transition to treeless habitat (i.e. grass- or shrub-dominated vegetation) while many conifer-dominated stands would likely be replaced by broadleaf tree cover. Consequently, the abundance of bird species associated with open and deciduous habitats were projected to increase. With a strong anthropogenic climate-forcing scenario (RCP 8.5), sharp declines in abundance of coniferous trees were also projected, particularly in mature and old forest stands, triggering major declines for bird species associated with coniferous and mixedwood forest types. Main conclusions As the most comprehensive simulation of climate change and harvesting impacts on avian habitats in the North American boreal region to date, our study stresses the importance of considering key habitat characteristics like forest age structure and composition through forest landscape modelling and identifies 18 bird species particularly sensitive to climate change. Our simulations suggest that a change in forest management practices could play an important role in the conservation of boreal bird species vulnerable to climate change. The intensive forest harvesting simulated accelerated declines in bird abundance compared to a “no harvesting” scenario.","container-title":"Diversity and Distributions","DOI":"10.1111/ddi.13057","ISSN":"1472-4642","issue":"6","language":"en","note":"_eprint: https://onlinelibrary.wiley.com/doi/pdf/10.1111/ddi.13057","page":"668-682","source":"Wiley Online Library","title":"Projected effects of climate change on boreal bird community accentuated by anthropogenic disturbances in western boreal forest, Canada","volume":"26","author":[{"family":"Cadieux","given":"Philippe"},{"family":"Boulanger","given":"Yan"},{"family":"Cyr","given":"Dominic"},{"family":"Taylor","given":"Anthony R."},{"family":"Price","given":"David T."},{"family":"Sólymos","given":"Péter"},{"family":"Stralberg","given":"Diana"},{"family":"Chen","given":"Han Y.H."},{"family":"Brecka","given":"Aaron"},{"family":"Tremblay","given":"Junior A."}],"issued":{"date-parts":[["2020"]]}}},{"id":100,"uris":["http://zotero.org/groups/4916363/items/DA46CII8"],"itemData":{"id":100,"type":"article-journal","abstract":"Increased anthropogenic climate forcing is projected to have tremendous impacts on global forest ecosystems, with northern biomes being more at risk.","container-title":"Landscape Ecology","DOI":"10.1007/s10980-021-01241-7","ISSN":"1572-9761","issue":"6","journalAbbreviation":"Landscape Ecol","language":"en","page":"1725-1740","source":"Springer Link","title":"Boreal forests will be more severely affected by projected anthropogenic climate forcing than mixedwood and northern hardwood forests in eastern Canada","volume":"36","author":[{"family":"Boulanger","given":"Yan"},{"family":"Pascual Puigdevall","given":"Jesus"}],"issued":{"date-parts":[["2021",6,1]]}}}],"schema":"https://github.com/citation-style-language/schema/raw/master/csl-citation.json"} </w:instrText>
      </w:r>
      <w:r w:rsidR="000D3318">
        <w:rPr>
          <w:rFonts w:ascii="Times New Roman" w:eastAsia="Times New Roman" w:hAnsi="Times New Roman" w:cs="Times New Roman"/>
          <w:color w:val="000000"/>
          <w:sz w:val="24"/>
          <w:szCs w:val="24"/>
        </w:rPr>
        <w:fldChar w:fldCharType="separate"/>
      </w:r>
      <w:r w:rsidR="000D3318" w:rsidRPr="000D3318">
        <w:rPr>
          <w:rFonts w:ascii="Times New Roman" w:hAnsi="Times New Roman" w:cs="Times New Roman"/>
          <w:sz w:val="24"/>
        </w:rPr>
        <w:t>Tremblay et al. 2018; Cadieux et al. 2019, 2020; Boulanger and Pascual Puigdevall 2021)</w:t>
      </w:r>
      <w:r w:rsidR="000D3318">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Present-day forest landscapes in LANDIS were initialized using vegetation data derived from multiple sources, including stand age cohort data from provincial forest inventory plots, harvest data from forestry companies, private conservation research organization GIS products, and the Canadian National Forest Inventory (NFI; nfi.nfis.org). Cell resolution was set at 250 m and time steps for simulations were set at 10 years (Alberta) or 20 years (Nova Scotia). Cells were assigned to a “land type” with homogeneous soil and climate conditions </w:t>
      </w:r>
      <w:r w:rsidR="000D3318">
        <w:rPr>
          <w:rFonts w:ascii="Times New Roman" w:eastAsia="Times New Roman" w:hAnsi="Times New Roman" w:cs="Times New Roman"/>
          <w:sz w:val="24"/>
          <w:szCs w:val="24"/>
        </w:rPr>
        <w:fldChar w:fldCharType="begin"/>
      </w:r>
      <w:r w:rsidR="000D3318">
        <w:rPr>
          <w:rFonts w:ascii="Times New Roman" w:eastAsia="Times New Roman" w:hAnsi="Times New Roman" w:cs="Times New Roman"/>
          <w:sz w:val="24"/>
          <w:szCs w:val="24"/>
        </w:rPr>
        <w:instrText xml:space="preserve"> ADDIN ZOTERO_ITEM CSL_CITATION {"citationID":"ZGedaMfI","properties":{"formattedCitation":"(Mansuy et al. 2014)","plainCitation":"(Mansuy et al. 2014)","noteIndex":0},"citationItems":[{"id":124,"uris":["http://zotero.org/groups/4916363/items/Q48XFF6K"],"itemData":{"id":124,"type":"article-journal","abstract":"Large-scale mapping of soil properties is increasingly important for environmental resource management. While forested areas play critical environmental roles at local and global scales, forest soil maps are typically at low resolution. The objective of this study was to generate continuous national maps of selected soil variables (C, N and soil texture) for the Canadian managed forest landbase at 250m resolution. We produced these maps using the kNN method with a training dataset of 538 ground-plots from the National Forest Inventory (NFI) across Canada, and 18 environmental predictor variables. The best predictor variables were selected (7 topographic and 5 climatic variables) using the Least Absolute Shrinkage and Selection Operator method. On average, for all soil variables, topographic predictors explained 37% of the total variance versus 64% for the climatic predictors. The relative root mean square error (RMSE%) calculated with the leave-one-out cross-validation method gave values ranging between 22% and 99%, depending on the soil variables tested. RMSE values&lt;40% can be considered a good imputation in light of the low density of points used in this study. The study demonstrates strong capabilities for mapping forest soil properties at 250m resolution, compared with the current Soil Landscape of Canada System, which is largely oriented towards the agricultural landbase. The methodology used here can potentially contribute to the national and international need for spatially explicit soil information in resource management science.","container-title":"Geoderma","DOI":"10.1016/j.geoderma.2014.06.032","ISSN":"0016-7061","journalAbbreviation":"Geoderma","language":"en","page":"59-73","source":"ScienceDirect","title":"Digital mapping of soil properties in Canadian managed forests at 250m of resolution using the k-nearest neighbor method","volume":"235-236","author":[{"family":"Mansuy","given":"Nicolas"},{"family":"Thiffault","given":"Evelyne"},{"family":"Paré","given":"David"},{"family":"Bernier","given":"Pierre"},{"family":"Guindon","given":"Luc"},{"family":"Villemaire","given":"Philippe"},{"family":"Poirier","given":"Vincent"},{"family":"Beaudoin","given":"André"}],"issued":{"date-parts":[["2014",12,1]]}}}],"schema":"https://github.com/citation-style-language/schema/raw/master/csl-citation.json"} </w:instrText>
      </w:r>
      <w:r w:rsidR="000D3318">
        <w:rPr>
          <w:rFonts w:ascii="Times New Roman" w:eastAsia="Times New Roman" w:hAnsi="Times New Roman" w:cs="Times New Roman"/>
          <w:sz w:val="24"/>
          <w:szCs w:val="24"/>
        </w:rPr>
        <w:fldChar w:fldCharType="separate"/>
      </w:r>
      <w:r w:rsidR="000D3318" w:rsidRPr="000D3318">
        <w:rPr>
          <w:rFonts w:ascii="Times New Roman" w:hAnsi="Times New Roman" w:cs="Times New Roman"/>
          <w:sz w:val="24"/>
        </w:rPr>
        <w:t>(Mansuy et al. 2014)</w:t>
      </w:r>
      <w:r w:rsidR="000D3318">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331C4BA2" w14:textId="3F8E4693"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First, we used a modified version of the Biomass Succession module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{"citationID":"RWW3i7iZ","properties":{"formattedCitation":"(Scheller and Mladenoff 2004)","plainCitation":"(Scheller and Mladenoff 2004)","noteIndex":0},"citationItems":[{"id":138,"uris":["http://zotero.org/groups/4916363/items/JLTIWXTE"],"itemData":{"id":138,"type":"article-journal","abstract":"Predicting the long-term dynamics of forest systems depends on understanding multiple processes that often operate at vastly different scales. Disturbance and seed dispersal are landscape-scale phenomena and are spatially linked across the landscape. Ecosystem processes (e.g., growth and decomposition) have high annual and inter-specific variation and are generally quantified at the scale of a forest stand. To link these widely scaled processes, we used biomass (living and dead) as an integrating variable that provides feedbacks between disturbance and ecosystem processes and feedbacks among multiple disturbances. We integrated a simple model of biomass growth, mortality, and decay into LANDIS, a spatially dynamic landscape simulation model. The new biomass module was statically linked to PnET-II, a generalized ecosystem process model. The combined model simulates disturbances (fire, wind, harvesting), dispersal, forest biomass growth and mortality, and inter- and intra-specific competition. We used the model to quantify how fire and windthrow alter forest succession, living biomass and dead biomass across an artificial landscape representative of northern Wisconsin, USA. In addition, model validation and a sensitivity analysis were conducted.","collection-title":"Modelling disturbance and succession in forest landscapes using LANDIS","container-title":"Ecological Modelling","DOI":"10.1016/j.ecolmodel.2004.01.022","ISSN":"0304-3800","issue":"1","journalAbbreviation":"Ecological Modelling","language":"en","page":"211-229","source":"ScienceDirect","title":"A forest growth and biomass module for a landscape simulation model, LANDIS: design, validation, and application","title-short":"A forest growth and biomass module for a landscape simulation model, LANDIS","volume":"180","author":[{"family":"Scheller","given":"Robert M."},{"family":"Mladenoff","given":"David J."}],"issued":{"date-parts":[["2004",12,10]]}}}],"schema":"https://github.com/citation-style-language/schema/raw/master/csl-citation.json"}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(Scheller and Mladenoff 2004)</w:t>
      </w:r>
      <w:r w:rsidR="006E7712">
        <w:rPr>
          <w:rFonts w:ascii="Times New Roman" w:eastAsia="Times New Roman" w:hAnsi="Times New Roman" w:cs="Times New Roman"/>
          <w:color w:val="000000"/>
          <w:sz w:val="24"/>
          <w:szCs w:val="24"/>
        </w:rPr>
        <w:fldChar w:fldCharType="end"/>
      </w:r>
      <w:r w:rsidR="000D33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to simulate growth, succession, and mortality of tree species’ cohorts. The Biomass Succession module enables multiple cohorts to occupy and compete for growing spaces within the </w:t>
      </w:r>
      <w:r>
        <w:rPr>
          <w:rFonts w:ascii="Times New Roman" w:eastAsia="Times New Roman" w:hAnsi="Times New Roman" w:cs="Times New Roman"/>
          <w:sz w:val="24"/>
          <w:szCs w:val="24"/>
        </w:rPr>
        <w:t>6.25 ha</w:t>
      </w:r>
      <w:sdt>
        <w:sdtPr>
          <w:rPr>
            <w:rFonts w:ascii="Times New Roman" w:hAnsi="Times New Roman" w:cs="Times New Roman"/>
          </w:rPr>
          <w:tag w:val="goog_rdk_0"/>
          <w:id w:val="-750587240"/>
        </w:sdtPr>
        <w:sdtContent>
          <w:r w:rsidRPr="00CC5C25">
            <w:rPr>
              <w:rFonts w:ascii="Times New Roman" w:eastAsia="Gungsuh" w:hAnsi="Times New Roman" w:cs="Times New Roman"/>
              <w:color w:val="000000"/>
              <w:sz w:val="24"/>
              <w:szCs w:val="24"/>
            </w:rPr>
            <w:t xml:space="preserve"> forest cells. Three dynamic parameters are needed for this extension which are </w:t>
          </w:r>
          <w:r w:rsidRPr="00CC5C25">
            <w:rPr>
              <w:rFonts w:ascii="Times New Roman" w:eastAsia="Gungsuh" w:hAnsi="Times New Roman" w:cs="Times New Roman"/>
              <w:color w:val="000000"/>
              <w:sz w:val="24"/>
              <w:szCs w:val="24"/>
            </w:rPr>
            <w:lastRenderedPageBreak/>
            <w:t>maximum biomass (</w:t>
          </w:r>
          <w:proofErr w:type="spellStart"/>
          <w:r w:rsidRPr="00CC5C25">
            <w:rPr>
              <w:rFonts w:ascii="Times New Roman" w:eastAsia="Gungsuh" w:hAnsi="Times New Roman" w:cs="Times New Roman"/>
              <w:color w:val="000000"/>
              <w:sz w:val="24"/>
              <w:szCs w:val="24"/>
            </w:rPr>
            <w:t>maxAGB</w:t>
          </w:r>
          <w:proofErr w:type="spellEnd"/>
          <w:r w:rsidRPr="00CC5C25">
            <w:rPr>
              <w:rFonts w:ascii="Times New Roman" w:eastAsia="Gungsuh" w:hAnsi="Times New Roman" w:cs="Times New Roman"/>
              <w:color w:val="000000"/>
              <w:sz w:val="24"/>
              <w:szCs w:val="24"/>
            </w:rPr>
            <w:t>; g/m2), maximum aboveground net primary productivity (</w:t>
          </w:r>
          <w:proofErr w:type="spellStart"/>
          <w:r w:rsidRPr="00CC5C25">
            <w:rPr>
              <w:rFonts w:ascii="Times New Roman" w:eastAsia="Gungsuh" w:hAnsi="Times New Roman" w:cs="Times New Roman"/>
              <w:color w:val="000000"/>
              <w:sz w:val="24"/>
              <w:szCs w:val="24"/>
            </w:rPr>
            <w:t>maxANPP</w:t>
          </w:r>
          <w:proofErr w:type="spellEnd"/>
          <w:r w:rsidRPr="00CC5C25">
            <w:rPr>
              <w:rFonts w:ascii="Times New Roman" w:eastAsia="Gungsuh" w:hAnsi="Times New Roman" w:cs="Times New Roman"/>
              <w:color w:val="000000"/>
              <w:sz w:val="24"/>
              <w:szCs w:val="24"/>
            </w:rPr>
            <w:t>; g m−2 year−1) and species establishment probability (SEP). These are estimated from PICUS by running monospecific stand simulations for each combination of species, climate conditions and land type. Following th</w:t>
          </w:r>
        </w:sdtContent>
      </w:sdt>
      <w:r>
        <w:rPr>
          <w:rFonts w:ascii="Times New Roman" w:eastAsia="Times New Roman" w:hAnsi="Times New Roman" w:cs="Times New Roman"/>
          <w:sz w:val="24"/>
          <w:szCs w:val="24"/>
        </w:rPr>
        <w:t xml:space="preserve">ese simulations, a bias correction procedure was undertaken </w:t>
      </w:r>
      <w:r w:rsidR="006E7712">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make initial biomass in LANDIS as close as possible to the one estimated from remote sensing. This latter procedure is</w:t>
      </w:r>
      <w:r>
        <w:rPr>
          <w:rFonts w:ascii="Times New Roman" w:eastAsia="Times New Roman" w:hAnsi="Times New Roman" w:cs="Times New Roman"/>
          <w:color w:val="000000"/>
          <w:sz w:val="24"/>
          <w:szCs w:val="24"/>
        </w:rPr>
        <w:t xml:space="preserve"> described in Tremblay et al. (2018). </w:t>
      </w:r>
    </w:p>
    <w:p w14:paraId="5F8E4504" w14:textId="2CDA3FF7"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Second, we used the Biomass Harvest module</w:t>
      </w:r>
      <w:r w:rsidR="006E7712">
        <w:rPr>
          <w:rFonts w:ascii="Times New Roman" w:eastAsia="Times New Roman" w:hAnsi="Times New Roman" w:cs="Times New Roman"/>
          <w:color w:val="000000"/>
          <w:sz w:val="24"/>
          <w:szCs w:val="24"/>
        </w:rPr>
        <w:t xml:space="preserv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{"citationID":"27MzQbuT","properties":{"formattedCitation":"(Gustafson et al. 2000)","plainCitation":"(Gustafson et al. 2000)","noteIndex":0},"citationItems":[{"id":113,"uris":["http://zotero.org/groups/4916363/items/4USBT4AM"],"itemData":{"id":113,"type":"article-journal","abstract":"The LANDIS model simulates ecological dynamics, including forest succession, disturbance, seed dispersal and establishment, fire and wind disturbance, and their interactions. We describe the addition to LANDIS of capabilities to simulate forest vegetation management, including harvest. Stands (groups of cells) are prioritized for harvest using one of four ranking algorithms that use criteria related to forest management objectives. Cells within a selected stand are harvested according to the species and age cohort removal rules specified in a prescription. These flexible removal rules allow simulation of a wide range of prescriptions such as prescribed burning, thinning, single-tree selection, and clear-cutting. We present a case study of the application of LANDIS to a managed watershed in the Missouri (U.S.A.) Ozark Mountains to illustrate the utility of this approach to simulate succession as a response to forest management and other disturbance. The different cutting practices produced differences in species and size-class composition, average patch sizes (for patches defined by forest type or by size class), and amount of forest edge across the landscape. The capabilities of LANDIS provide a modeling tool to investigate questions of how timber management changes forest composition and spatial pattern, providing insight into ecological response to forest management.","container-title":"Canadian Journal of Forest Research","DOI":"10.1139/x99-188","ISSN":"0045-5067","issue":"1","journalAbbreviation":"Can. J. For. Res.","note":"publisher: NRC Research Press","page":"32-43","source":"cdnsciencepub.com (Atypon)","title":"Spatial simulation of forest succession and timber harvesting using LANDIS","volume":"30","author":[{"family":"Gustafson","given":"Eric J"},{"family":"Shifley","given":"Stephen R"},{"family":"Mladenoff","given":"David J"},{"family":"Nimerfro","given":"Kevin K"},{"family":"He","given":"Hong S"}],"issued":{"date-parts":[["2000",2]]}}}],"schema":"https://github.com/citation-style-language/schema/raw/master/csl-citation.json"}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(Gustafson et al. 2000)</w:t>
      </w:r>
      <w:r w:rsidR="006E771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to simulate harvest plans. Input files for this module outline management areas, individual forest stands within management areas, and a text file containing harvest prescriptions and implementations for each management area and stand. The Biomass Harvest module permits the simulation of partial thinning and specifying what percentage of a cohort to harvest. In Alberta, we also used the Biomass Harvest module to simulate drought-related mortality of tree species (details in Cadieux et al. 2020). </w:t>
      </w:r>
    </w:p>
    <w:p w14:paraId="6FFA8903" w14:textId="4739E61D"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Third, we used the Base Fire module</w:t>
      </w:r>
      <w:r w:rsidR="006E7712">
        <w:rPr>
          <w:rFonts w:ascii="Times New Roman" w:eastAsia="Times New Roman" w:hAnsi="Times New Roman" w:cs="Times New Roman"/>
          <w:color w:val="000000"/>
          <w:sz w:val="24"/>
          <w:szCs w:val="24"/>
        </w:rPr>
        <w:t xml:space="preserv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{"citationID":"J8FbKme4","properties":{"formattedCitation":"(He and Mladenoff 1999)","plainCitation":"(He and Mladenoff 1999)","noteIndex":0},"citationItems":[{"id":115,"uris":["http://zotero.org/groups/4916363/items/I8DETHLK"],"itemData":{"id":115,"type":"article-journal","abstract":"Understanding disturbance and recovery of forest landscapes is a challenge because of complex interactions over a range of temporal and spatial scales. Landscape simulation models offer an approach to studying such systems at broad scales. Fire can be simulated spatially using mechanistic or stochastic approaches. We describe the fire module in a spatially explicit, stochastic model of forest landscape dynamics (LANDIS) that incorporates fire, windthrow, and harvest disturbance with species-level succession. A stochastic approach is suited to forest landscape models that are designed to simulate patterns over large spatial and time domains and are not used deterministically to predict individual events. We used the model to examine how disturbance regimes and species dynamics interact across a large (500 000 ha), heterogeneous landscape in northern Wisconsin, USA, with six land types having different species environments, and fire disturbance return intervals varying from 200 to 1000 yr. The model shows that there are feedbacks over time between species, disturbance, and environment, resulting in the re-emergence of patterns that characterized the landscape before extensive alteration. Landscape equilibrium of species composition and age-class structure develops at three scales from the initial, disturbed landscape. Over 100–150 yr, fine-grained successional processes cause gradual disaggregation of the initial pattern of relatively homogenous composition and age classes. Species such as eastern hemlock (Tsuga canadensis), largely removed from the landscape by past human activities, only slowly re-invade. Next, patterns on the various land types diverge, driven by different disturbance regimes and dominant species. Finally, aging of the landscape causes the probabilities of larger and more severe fires to increase, and a coarse-grained pattern develops from the disturbance patches. Influence of adjacent land types is shown as fires spread across land type boundaries, although modified in spread and severity. As found by others, altered landscapes are likely to retain their modified pattern for centuries, suggesting that nonequilibrium conditions between tree species and climate will persist under predicted rates of climate change. The results suggest that this modeling approach can be useful in examining species-level, broad-scale responses of heterogeneous landscapes to changes in landscape disturbance, such as modified management or land-use scenarios, or effects of global change.","container-title":"Ecology","DOI":"10.1890/0012-9658(1999)080[0081:SEASSO]2.0.CO;2","ISSN":"1939-9170","issue":"1","language":"en","note":"_eprint: https://onlinelibrary.wiley.com/doi/pdf/10.1890/0012-9658%281999%29080%5B0081%3ASEASSO%5D2.0.CO%3B2","page":"81-99","source":"Wiley Online Library","title":"Spatially Explicit and Stochastic Simulation of Forest-Landscape Fire Disturbance and Succession","volume":"80","author":[{"family":"He","given":"Hong S."},{"family":"Mladenoff","given":"David J."}],"issued":{"date-parts":[["1999"]]}}}],"schema":"https://github.com/citation-style-language/schema/raw/master/csl-citation.json"}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(He and Mladenoff 1999)</w:t>
      </w:r>
      <w:r w:rsidR="006E771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and Base Wind module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{"citationID":"yb7R4EzS","properties":{"formattedCitation":"(Mladenoff and Baker 1999)","plainCitation":"(Mladenoff and Baker 1999)","noteIndex":0},"citationItems":[{"id":132,"uris":["http://zotero.org/groups/4916363/items/THENSPTM"],"itemData":{"id":132,"type":"book","abstract":"In this unique volume, key researchers present newly emerging approaches to computer simulation models of large, forest landscapes. Over the past decade the field of landscape ecology has developed rapidly, focusing on the need to address ecological research and management at large spatial scales, and longer temporal domains. There is also great attention being focused on the use and management of forests throughout the world, particularly on issues such as long-term sustainability, ecosystem management, and biodiversity protection. These models have the potential to help answer research and management questions through simulation experiments that have not, in the past, considered spatial interactions among ecological processes and human activities at broad scales. Representing a rapidly emerging area in the field of landscape ecology, this volume will be of value to ecologists, forest and natural resource managers, as well as wildlife biologists and conservationists.","ISBN":"978-0-521-63122-8","language":"en","note":"Google-Books-ID: mfIlUpuumMsC","number-of-pages":"388","publisher":"Cambridge University Press","source":"Google Books","title":"Spatial Modeling of Forest Landscape Change: Approaches and Applications","title-short":"Spatial Modeling of Forest Landscape Change","author":[{"family":"Mladenoff","given":"David J."},{"family":"Baker","given":"William L."}],"issued":{"date-parts":[["1999",8,26]]}}}],"schema":"https://github.com/citation-style-language/schema/raw/master/csl-citation.json"}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(Mladenoff and Baker 1999)</w:t>
      </w:r>
      <w:r w:rsidR="006E771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to simulate fire and wind disturbances, dividing our study areas into current and future predicted Canadian Homogeneous Fire Regime Zones</w:t>
      </w:r>
      <w:r w:rsidR="006E7712">
        <w:rPr>
          <w:rFonts w:ascii="Times New Roman" w:eastAsia="Times New Roman" w:hAnsi="Times New Roman" w:cs="Times New Roman"/>
          <w:color w:val="000000"/>
          <w:sz w:val="24"/>
          <w:szCs w:val="24"/>
        </w:rPr>
        <w:t xml:space="preserv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{"citationID":"XaMsRBRb","properties":{"formattedCitation":"(Boulanger et al. 2014)","plainCitation":"(Boulanger et al. 2014)","noteIndex":0},"citationItems":[{"id":94,"uris":["http://zotero.org/groups/4916363/items/5GLFRBYG"],"itemData":{"id":94,"type":"article-journal","abstract":"Broad-scale fire regime modelling is frequently based on large ecological and (or) administrative units. However, these units may not capture spatial heterogeneity in fire regimes and may thus lead to spatially inaccurate estimates of future fire activity. In this study, we defined homogeneous fire regime (HFR) zones for Canada based on annual area burned (AAB) and fire occurrence (FireOcc), and we used them to model future (2011–2040, 2041–2070, and 2071–2100) fire activity using multivariate adaptive regression splines (MARS). We identified a total of 16 HFR zones explaining 47.7% of the heterogeneity in AAB and FireOcc for the 1959–1999 period. MARS models based on HFR zones projected a 3.7-fold increase in AAB and a 3.0-fold increase in FireOcc by 2100 when compared with 1961–1990, with great interzone heterogeneity. The greatest increases would occur in zones located in central and northwestern Canada. Much of the increase in AAB would result from a sharp increase in fire activity during July and August. Ecozone- and HFR-based models projected relatively similar nationwide FireOcc and AAB. However, very high spatial discrepancies were noted between zonations over extensive areas. The proposed HFR zonation should help providing more spatially accurate estimates of future ecological patterns largely driven by fire in the boreal forest such as biodiversity patterns, energy flows, and carbon storage than those obtained from large-scale multipurpose classification units.","container-title":"Canadian Journal of Forest Research","DOI":"10.1139/cjfr-2013-0372","ISSN":"0045-5067","issue":"4","journalAbbreviation":"Can. J. For. Res.","note":"publisher: NRC Research Press","page":"365-376","source":"cdnsciencepub.com (Atypon)","title":"A refinement of models projecting future Canadian fire regimes using homogeneous fire regime zones","volume":"44","author":[{"family":"Boulanger","given":"Yan"},{"family":"Gauthier","given":"Sylvie"},{"family":"Burton","given":"Philip J."}],"issued":{"date-parts":[["2014",4]]}}}],"schema":"https://github.com/citation-style-language/schema/raw/master/csl-citation.json"}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(Boulanger et al. 2014)</w:t>
      </w:r>
      <w:r w:rsidR="006E771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or collections of cells with the same fire parameters (ignition probability, and maximum, minimum, and mean fire size). Finally, we used the Biological Disturbance Agent (BDA) </w:t>
      </w:r>
      <w:r w:rsidR="006E7712">
        <w:rPr>
          <w:rFonts w:ascii="Times New Roman" w:eastAsia="Times New Roman" w:hAnsi="Times New Roman" w:cs="Times New Roman"/>
          <w:color w:val="000000"/>
          <w:sz w:val="24"/>
          <w:szCs w:val="24"/>
        </w:rPr>
        <w:t xml:space="preserve">module </w:t>
      </w:r>
      <w:r w:rsidR="006E7712">
        <w:rPr>
          <w:rFonts w:ascii="Times New Roman" w:eastAsia="Times New Roman" w:hAnsi="Times New Roman" w:cs="Times New Roman"/>
          <w:color w:val="000000"/>
          <w:sz w:val="24"/>
          <w:szCs w:val="24"/>
        </w:rPr>
        <w:fldChar w:fldCharType="begin"/>
      </w:r>
      <w:r w:rsidR="006E7712">
        <w:rPr>
          <w:rFonts w:ascii="Times New Roman" w:eastAsia="Times New Roman" w:hAnsi="Times New Roman" w:cs="Times New Roman"/>
          <w:color w:val="000000"/>
          <w:sz w:val="24"/>
          <w:szCs w:val="24"/>
        </w:rPr>
        <w:instrText xml:space="preserve"> ADDIN ZOTERO_ITEM CSL_CITATION {"citationID":"NcUPVUQD","properties":{"formattedCitation":"(Sturtevant et al. 2004)","plainCitation":"(Sturtevant et al. 2004)","noteIndex":0},"citationItems":[{"id":147,"uris":["http://zotero.org/groups/4916363/items/4LINS5J3"],"itemData":{"id":147,"type":"article-journal","abstract":"Insects and diseases are common disturbance agents in forested ecosystems. Severe outbreaks can cause significant changes in tree species composition, age structure, and fuel conditions over broad areas. To investigate the role of biological disturbances in shaping forest landscapes over time, we constructed a new “biological disturbance agent” (BDA) module for a landscape-level forest succession and disturbance simulator, LANDIS. The BDA module is designed to simulate tree mortality following major outbreaks of insects and/or disease. Major outbreaks are defined as those significant enough to influence forest succession, fire disturbance, or harvest disturbance at landscape scales. Module design is flexible to accommodate a diversity of life history traits characterizing destructive insects and diseases, and more than one BDA can be simulated to examine their interactions. Five main elements control the probability of biological disturbance within the module: (1) local host dominance on a given site; (2) host value modifiers that reflect environmental conditions and recent disturbance history; (3) host dominance within a user-specified neighborhood; (4) the temporal outbreak pattern characteristic of the BDA, and (5) BDA dispersal in cases where the annual dispersal range of the BDA is small relative to the study area. In this paper, we describe the first four elements of the BDA module, and present the initial testing of the module on a variety of neutral landscape patterns, using Eastern spruce budworm as a test case. Our results are consistent with published successional patterns of spruce-fir and mixed forests affected by spruce budworm, but also highlight areas of uncertainty in the spatio-temporal patterns of budworm-caused tree mortality and biological disturbances in general. We suggest that the behavior of the module is consistent with the design and intended purpose of LANDIS as a probabilistic landscape-level simulator of forest disturbance and succession.","collection-title":"Modelling disturbance and succession in forest landscapes using LANDIS","container-title":"Ecological Modelling","DOI":"10.1016/j.ecolmodel.2004.01.021","ISSN":"0304-3800","issue":"1","journalAbbreviation":"Ecological Modelling","language":"en","page":"153-174","source":"ScienceDirect","title":"Modeling biological disturbances in LANDIS: a module description and demonstration using spruce budworm","title-short":"Modeling biological disturbances in LANDIS","volume":"180","author":[{"family":"Sturtevant","given":"Brian R."},{"family":"Gustafson","given":"Eric J."},{"family":"Li","given":"Wei"},{"family":"He","given":"Hong S."}],"issued":{"date-parts":[["2004",12,10]]}}}],"schema":"https://github.com/citation-style-language/schema/raw/master/csl-citation.json"} </w:instrText>
      </w:r>
      <w:r w:rsidR="006E7712">
        <w:rPr>
          <w:rFonts w:ascii="Times New Roman" w:eastAsia="Times New Roman" w:hAnsi="Times New Roman" w:cs="Times New Roman"/>
          <w:color w:val="000000"/>
          <w:sz w:val="24"/>
          <w:szCs w:val="24"/>
        </w:rPr>
        <w:fldChar w:fldCharType="separate"/>
      </w:r>
      <w:r w:rsidR="006E7712" w:rsidRPr="006E7712">
        <w:rPr>
          <w:rFonts w:ascii="Times New Roman" w:hAnsi="Times New Roman" w:cs="Times New Roman"/>
          <w:sz w:val="24"/>
        </w:rPr>
        <w:t>(Sturtevant et al. 2004)</w:t>
      </w:r>
      <w:r w:rsidR="006E7712">
        <w:rPr>
          <w:rFonts w:ascii="Times New Roman" w:eastAsia="Times New Roman" w:hAnsi="Times New Roman" w:cs="Times New Roman"/>
          <w:color w:val="000000"/>
          <w:sz w:val="24"/>
          <w:szCs w:val="24"/>
        </w:rPr>
        <w:fldChar w:fldCharType="end"/>
      </w:r>
      <w:r w:rsidR="006E771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 simulate the effect of spruce budworm (</w:t>
      </w:r>
      <w:proofErr w:type="spellStart"/>
      <w:r>
        <w:rPr>
          <w:rFonts w:ascii="Times New Roman" w:eastAsia="Times New Roman" w:hAnsi="Times New Roman" w:cs="Times New Roman"/>
          <w:i/>
          <w:color w:val="000000"/>
          <w:sz w:val="24"/>
          <w:szCs w:val="24"/>
        </w:rPr>
        <w:t>Choristoneura</w:t>
      </w:r>
      <w:proofErr w:type="spellEnd"/>
      <w:r>
        <w:rPr>
          <w:rFonts w:ascii="Times New Roman" w:eastAsia="Times New Roman" w:hAnsi="Times New Roman" w:cs="Times New Roman"/>
          <w:i/>
          <w:color w:val="000000"/>
          <w:sz w:val="24"/>
          <w:szCs w:val="24"/>
        </w:rPr>
        <w:t xml:space="preserve"> </w:t>
      </w:r>
      <w:proofErr w:type="spellStart"/>
      <w:r>
        <w:rPr>
          <w:rFonts w:ascii="Times New Roman" w:eastAsia="Times New Roman" w:hAnsi="Times New Roman" w:cs="Times New Roman"/>
          <w:i/>
          <w:color w:val="000000"/>
          <w:sz w:val="24"/>
          <w:szCs w:val="24"/>
        </w:rPr>
        <w:t>fumiferana</w:t>
      </w:r>
      <w:proofErr w:type="spellEnd"/>
      <w:r>
        <w:rPr>
          <w:rFonts w:ascii="Times New Roman" w:eastAsia="Times New Roman" w:hAnsi="Times New Roman" w:cs="Times New Roman"/>
          <w:color w:val="000000"/>
          <w:sz w:val="24"/>
          <w:szCs w:val="24"/>
        </w:rPr>
        <w:t>) outbreaks on coniferous forests in eastern Canada but not in Alberta.</w:t>
      </w:r>
    </w:p>
    <w:p w14:paraId="79671AC4" w14:textId="77777777"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Beyond the basic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model </w:t>
      </w:r>
      <w:r>
        <w:rPr>
          <w:rFonts w:ascii="Times New Roman" w:eastAsia="Times New Roman" w:hAnsi="Times New Roman" w:cs="Times New Roman"/>
          <w:color w:val="000000"/>
          <w:sz w:val="24"/>
          <w:szCs w:val="24"/>
        </w:rPr>
        <w:t xml:space="preserve">and its </w:t>
      </w:r>
      <w:r>
        <w:rPr>
          <w:rFonts w:ascii="Times New Roman" w:eastAsia="Times New Roman" w:hAnsi="Times New Roman" w:cs="Times New Roman"/>
          <w:sz w:val="24"/>
          <w:szCs w:val="24"/>
        </w:rPr>
        <w:t>extensions</w:t>
      </w:r>
      <w:r>
        <w:rPr>
          <w:rFonts w:ascii="Times New Roman" w:eastAsia="Times New Roman" w:hAnsi="Times New Roman" w:cs="Times New Roman"/>
          <w:color w:val="000000"/>
          <w:sz w:val="24"/>
          <w:szCs w:val="24"/>
        </w:rPr>
        <w:t>, future landscape scenarios are conceived by investigators interested in projecting how forest variables change over time under a specific set of disturbances. Scenarios can be varied according to: 1) the types of disturbance modelled; 2) the probability, amount, severity, and spatial arrangement of disturbances; 3) whether specific disturbance types are affected by climate variables and if so, how those climate variables change over time; 4) whether one type of disturbance influences the probability, amount, severity, and spatial arrangement of other disturbance types; and 5) how growth rates, survival rates, succession and cohort biomass are affected by disturbance or presence of other tree species.</w:t>
      </w:r>
    </w:p>
    <w:p w14:paraId="037AD9F4" w14:textId="38CAB939" w:rsidR="008634CB" w:rsidRDefault="00000000" w:rsidP="00F648A5">
      <w:pPr>
        <w:ind w:firstLine="720"/>
        <w:rPr>
          <w:rFonts w:ascii="Times New Roman" w:eastAsia="Times New Roman" w:hAnsi="Times New Roman" w:cs="Times New Roman"/>
          <w:color w:val="000000"/>
          <w:sz w:val="24"/>
          <w:szCs w:val="24"/>
        </w:rPr>
      </w:pPr>
      <w:bookmarkStart w:id="0" w:name="_heading=h.30j0zll" w:colFirst="0" w:colLast="0"/>
      <w:bookmarkEnd w:id="0"/>
      <w:r>
        <w:rPr>
          <w:rFonts w:ascii="Times New Roman" w:eastAsia="Times New Roman" w:hAnsi="Times New Roman" w:cs="Times New Roman"/>
          <w:color w:val="000000"/>
          <w:sz w:val="24"/>
          <w:szCs w:val="24"/>
        </w:rPr>
        <w:t>We developed future landscape scenarios in which forest structure changed under different combinations of climate and harvest, up to 2100. Baseline climate scenarios assume present day levels of atmospheric CO</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temperatures and precipitation affecting growth rates of tree species and probabilities of natural forest disturbances. Climate change scenarios assume that increases in atmospheric CO</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due mainly to human activities occur, described by Representative Concentration Pathway (RCP) values </w:t>
      </w:r>
      <w:r>
        <w:rPr>
          <w:rFonts w:ascii="Times New Roman" w:eastAsia="Times New Roman" w:hAnsi="Times New Roman" w:cs="Times New Roman"/>
          <w:sz w:val="24"/>
          <w:szCs w:val="24"/>
        </w:rPr>
        <w:t xml:space="preserve">(e.g., </w:t>
      </w:r>
      <w:r>
        <w:rPr>
          <w:rFonts w:ascii="Times New Roman" w:eastAsia="Times New Roman" w:hAnsi="Times New Roman" w:cs="Times New Roman"/>
          <w:color w:val="000000"/>
          <w:sz w:val="24"/>
          <w:szCs w:val="24"/>
        </w:rPr>
        <w:t>2.6, 4.5, and 8.5). RCP values are estimates of the change in energy flux measured in Watts/m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and increases in at</w:t>
      </w:r>
      <w:r>
        <w:rPr>
          <w:rFonts w:ascii="Times New Roman" w:eastAsia="Times New Roman" w:hAnsi="Times New Roman" w:cs="Times New Roman"/>
          <w:sz w:val="24"/>
          <w:szCs w:val="24"/>
        </w:rPr>
        <w:t>mospheric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are associated with higher RCP values</w:t>
      </w:r>
      <w:r w:rsidR="006E7712">
        <w:rPr>
          <w:rFonts w:ascii="Times New Roman" w:eastAsia="Times New Roman" w:hAnsi="Times New Roman" w:cs="Times New Roman"/>
          <w:sz w:val="24"/>
          <w:szCs w:val="24"/>
        </w:rPr>
        <w:t xml:space="preserve"> </w:t>
      </w:r>
      <w:r w:rsidR="006E7712">
        <w:rPr>
          <w:rFonts w:ascii="Times New Roman" w:eastAsia="Times New Roman" w:hAnsi="Times New Roman" w:cs="Times New Roman"/>
          <w:sz w:val="24"/>
          <w:szCs w:val="24"/>
        </w:rPr>
        <w:fldChar w:fldCharType="begin"/>
      </w:r>
      <w:r w:rsidR="006E7712">
        <w:rPr>
          <w:rFonts w:ascii="Times New Roman" w:eastAsia="Times New Roman" w:hAnsi="Times New Roman" w:cs="Times New Roman"/>
          <w:sz w:val="24"/>
          <w:szCs w:val="24"/>
        </w:rPr>
        <w:instrText xml:space="preserve"> ADDIN ZOTERO_ITEM CSL_CITATION {"citationID":"tFLWySCx","properties":{"formattedCitation":"(Moss et al. 2010; van Vuuren et al. 2011)","plainCitation":"(Moss et al. 2010; van Vuuren et al. 2011)","noteIndex":0},"citationItems":[{"id":134,"uris":["http://zotero.org/groups/4916363/items/3GE9YKZI"],"itemData":{"id":134,"type":"article-journal","abstract":"Climatologists use model-based 'scenarios' to provide plausible descriptions of how the future might unfold when evaluating uncertainty about the effects of human actions on climate. The traditional method of establishing these scenarios was a time-consuming sequential process, each discipline taking turns to add data and complexity. As Richard Moss and colleagues explain in a Perspectives review, climate change researchers have now established a new coordinated parallel process that integrates the tasks of developing scenarios, making projections and evaluating their impact. These 'next generation' scenarios should make for faster, more rigorous assessment of proposals for climate mitigation and adaptation.","container-title":"Nature","DOI":"10.1038/nature08823","ISSN":"1476-4687","issue":"7282","language":"en","license":"2010 Macmillan Publishers Limited. All rights reserved","note":"number: 7282\npublisher: Nature Publishing Group","page":"747-756","source":"www.nature.com","title":"The next generation of scenarios for climate change research and assessment","volume":"463","author":[{"family":"Moss","given":"Richard H."},{"family":"Edmonds","given":"Jae A."},{"family":"Hibbard","given":"Kathy A."},{"family":"Manning","given":"Martin R."},{"family":"Rose","given":"Steven K."},{"family":"Vuuren","given":"Detlef P.","non-dropping-particle":"van"},{"family":"Carter","given":"Timothy R."},{"family":"Emori","given":"Seita"},{"family":"Kainuma","given":"Mikiko"},{"family":"Kram","given":"Tom"},{"family":"Meehl","given":"Gerald A."},{"family":"Mitchell","given":"John F. B."},{"family":"Nakicenovic","given":"Nebojsa"},{"family":"Riahi","given":"Keywan"},{"family":"Smith","given":"Steven J."},{"family":"Stouffer","given":"Ronald J."},{"family":"Thomson","given":"Allison M."},{"family":"Weyant","given":"John P."},{"family":"Wilbanks","given":"Thomas J."}],"issued":{"date-parts":[["2010",2]]}}},{"id":157,"uris":["http://zotero.org/groups/4916363/items/EZS9QPUL"],"itemData":{"id":157,"type":"article-journal","container-title":"Climatic Change","DOI":"10.1007/s10584-011-0157-y","ISSN":"1573-1480","issue":"1","journalAbbreviation":"Climatic Change","language":"en","page":"1","source":"Springer Link","title":"A special issue on the RCPs","volume":"109","author":[{"family":"Vuuren","given":"Detlef P.","non-dropping-particle":"van"},{"family":"Edmonds","given":"James A."},{"family":"Kainuma","given":"Mikiko"},{"family":"Riahi","given":"Keywan"},{"family":"Weyant","given":"John"}],"issued":{"date-parts":[["2011",8,5]]}}}],"schema":"https://github.com/citation-style-language/schema/raw/master/csl-citation.json"} </w:instrText>
      </w:r>
      <w:r w:rsidR="006E7712">
        <w:rPr>
          <w:rFonts w:ascii="Times New Roman" w:eastAsia="Times New Roman" w:hAnsi="Times New Roman" w:cs="Times New Roman"/>
          <w:sz w:val="24"/>
          <w:szCs w:val="24"/>
        </w:rPr>
        <w:fldChar w:fldCharType="separate"/>
      </w:r>
      <w:r w:rsidR="006E7712" w:rsidRPr="006E7712">
        <w:rPr>
          <w:rFonts w:ascii="Times New Roman" w:hAnsi="Times New Roman" w:cs="Times New Roman"/>
          <w:sz w:val="24"/>
        </w:rPr>
        <w:t>(Moss et al. 2010; van Vuuren et al. 2011)</w:t>
      </w:r>
      <w:r w:rsidR="006E7712">
        <w:rPr>
          <w:rFonts w:ascii="Times New Roman" w:eastAsia="Times New Roman" w:hAnsi="Times New Roman" w:cs="Times New Roman"/>
          <w:sz w:val="24"/>
          <w:szCs w:val="24"/>
        </w:rPr>
        <w:fldChar w:fldCharType="end"/>
      </w:r>
      <w:r>
        <w:rPr>
          <w:rFonts w:ascii="Times New Roman" w:eastAsia="Times New Roman" w:hAnsi="Times New Roman" w:cs="Times New Roman"/>
          <w:color w:val="000000"/>
          <w:sz w:val="24"/>
          <w:szCs w:val="24"/>
        </w:rPr>
        <w:t xml:space="preserve">.  In the southern boreal forest region, mean annual temperatures are predicted to rise from 3.5 °C. (RCP 2.6) to 7.5 °C. (RCP 8.5) by 2100 relative to 2000, while average precipitation is predicted to rise by 10-25 per cent (CanESM2;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{"citationID":"raCpHYzg","properties":{"formattedCitation":"(Arora et al. 2011)","plainCitation":"(Arora et al. 2011)","noteIndex":0},"citationItems":[{"id":89,"uris":["http://zotero.org/groups/4916363/items/YKBJUTI5"],"itemData":{"id":89,"type":"article-journal","abstract":"The response of the second-generation Canadian earth system model (CanESM2) to historical (1850–2005) and future (2006–2100) natural and anthropogenic forcing is assessed using the newly-developed representative concentration pathways (RCPs) of greenhouse gases (GHGs) and aerosols. Allowable emissions required to achieve the future atmospheric CO2 concentration pathways, are reported for the RCP 2.6, 4.5 and 8.5 scenarios. For the historical 1850–2005 period, cumulative land plus ocean carbon uptake and, consequently, cumulative diagnosed emissions compare well with observation-based estimates. The simulated historical carbon uptake is somewhat weaker for the ocean and stronger for the land relative to their observation-based estimates. The simulated historical warming of 0.9°C compares well with the observation-based estimate of 0.76 ± 0.19°C. The RCP 2.6, 4.5 and 8.5 scenarios respectively yield warmings of 1.4, 2.3, and 4.9°C and cumulative diagnosed fossil fuel emissions of 182, 643 and 1617 Pg C over the 2006–2100 period. The simulated warming of 2.3°C over the 1850–2100 period in the RCP 2.6 scenario, with the lowest concentration of GHGs, is slightly larger than the 2°C warming target set to avoid dangerous climate change by the 2009 UN Copenhagen Accord. The results of this study suggest that limiting warming to roughly 2°C by the end of this century is unlikely since it requires an immediate ramp down of emissions followed by ongoing carbon sequestration in the second half of this century.","container-title":"Geophysical Research Letters","DOI":"10.1029/2010GL046270","ISSN":"1944-8007","issue":"5","language":"en","note":"_eprint: https://onlinelibrary.wiley.com/doi/pdf/10.1029/2010GL046270","source":"Wiley Online Library","title":"Carbon emission limits required to satisfy future representative concentration pathways of greenhouse gases","URL":"https://onlinelibrary.wiley.com/doi/abs/10.1029/2010GL046270","volume":"38","author":[{"family":"Arora","given":"V. K."},{"family":"Scinocca","given":"J. F."},{"family":"Boer","given":"G. J."},{"family":"Christian","given":"J. R."},{"family":"Denman","given":"K. L."},{"family":"Flato","given":"G. M."},{"family":"Kharin","given":"V. V."},{"family":"Lee","given":"W. G."},{"family":"Merryfield","given":"W. J."}],"accessed":{"date-parts":[["2023",2,1]]},"issued":{"date-parts":[["2011"]]}}}],"schema":"https://github.com/citation-style-language/schema/raw/master/csl-citation.json"}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Arora et al. 2011</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Increasing temperatures are predicted to increase the frequency and intensity of fires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{"citationID":"AbYpsnov","properties":{"formattedCitation":"(Boulanger et al. 2014, 2016, 2017; Stralberg et al. 2018)","plainCitation":"(Boulanger et al. 2014, 2016, 2017; Stralberg et al. 2018)","noteIndex":0},"citationItems":[{"id":94,"uris":["http://zotero.org/groups/4916363/items/5GLFRBYG"],"itemData":{"id":94,"type":"article-journal","abstract":"Broad-scale fire regime modelling is frequently based on large ecological and (or) administrative units. However, these units may not capture spatial heterogeneity in fire regimes and may thus lead to spatially inaccurate estimates of future fire activity. In this study, we defined homogeneous fire regime (HFR) zones for Canada based on annual area burned (AAB) and fire occurrence (FireOcc), and we used them to model future (2011–2040, 2041–2070, and 2071–2100) fire activity using multivariate adaptive regression splines (MARS). We identified a total of 16 HFR zones explaining 47.7% of the heterogeneity in AAB and FireOcc for the 1959–1999 period. MARS models based on HFR zones projected a 3.7-fold increase in AAB and a 3.0-fold increase in FireOcc by 2100 when compared with 1961–1990, with great interzone heterogeneity. The greatest increases would occur in zones located in central and northwestern Canada. Much of the increase in AAB would result from a sharp increase in fire activity during July and August. Ecozone- and HFR-based models projected relatively similar nationwide FireOcc and AAB. However, very high spatial discrepancies were noted between zonations over extensive areas. The proposed HFR zonation should help providing more spatially accurate estimates of future ecological patterns largely driven by fire in the boreal forest such as biodiversity patterns, energy flows, and carbon storage than those obtained from large-scale multipurpose classification units.","container-title":"Canadian Journal of Forest Research","DOI":"10.1139/cjfr-2013-0372","ISSN":"0045-5067","issue":"4","journalAbbreviation":"Can. J. For. Res.","note":"publisher: NRC Research Press","page":"365-376","source":"cdnsciencepub.com (Atypon)","title":"A refinement of models projecting future Canadian fire regimes using homogeneous fire regime zones","volume":"44","author":[{"family":"Boulanger","given":"Yan"},{"family":"Gauthier","given":"Sylvie"},{"family":"Burton","given":"Philip J."}],"issued":{"date-parts":[["2014",4]]}}},{"id":96,"uris":["http://zotero.org/groups/4916363/items/KIWCAIG8"],"itemData":{"id":96,"type":"article-journal","abstract":"Climate change will modify forest pest outbreak characteristics, although there are disagreements regarding the specifics of these changes. A large part of this variability may be attributed to model specifications. As a case study, we developed a consensus model predicting spruce budworm (SBW, Choristoneura fumiferana [Clem.]) outbreak duration using two different predictor data sets and six different correlative methods. The model was used to project outbreak duration and the uncertainty associated with using different data sets and correlative methods (=model-specification uncertainty) for 2011–2040, 2041–2070 and 2071–2100, according to three forcing scenarios (RCP 2.6, RCP 4.5 and RCP 8.5). The consensus model showed very high explanatory power and low bias. The model projected a more important northward shift and decrease in outbreak duration under the RCP 8.5 scenario. However, variation in single-model projections increases with time, making future projections highly uncertain. Notably, the magnitude of the shifts in northward expansion, overall outbreak duration and the patterns of outbreaks duration at the southern edge were highly variable according to the predictor data set and correlative method used. We also demonstrated that variation in forcing scenarios contributed only slightly to the uncertainty of model projections compared with the two sources of model-specification uncertainty. Our approach helped to quantify model-specification uncertainty in future forest pest outbreak characteristics. It may contribute to sounder decision-making by acknowledging the limits of the projections and help to identify areas where model-specification uncertainty is high. As such, we further stress that this uncertainty should be strongly considered when making forest management plans, notably by adopting adaptive management strategies so as to reduce future risks.","container-title":"Global Change Biology","DOI":"10.1111/gcb.13142","ISSN":"1365-2486","issue":"4","language":"en","note":"_eprint: https://onlinelibrary.wiley.com/doi/pdf/10.1111/gcb.13142","page":"1595-1607","source":"Wiley Online Library","title":"Model-specification uncertainty in future forest pest outbreak","volume":"22","author":[{"family":"Boulanger","given":"Yan"},{"family":"Gray","given":"David R."},{"family":"Cooke","given":"Barry J."},{"family":"De Grandpré","given":"Louis"}],"issued":{"date-parts":[["2016"]]}}},{"id":98,"uris":["http://zotero.org/groups/4916363/items/TMKXFEHE"],"itemData":{"id":98,"type":"article-journal","abstract":"Forest landscapes at the southern boreal forest transition zone are likely to undergo great alterations due to projected changes in regional climate.","container-title":"Landscape Ecology","DOI":"10.1007/s10980-016-0421-7","ISSN":"1572-9761","issue":"7","journalAbbreviation":"Landscape Ecol","language":"en","page":"1415-1431","source":"Springer Link","title":"Climate change impacts on forest landscapes along the Canadian southern boreal forest transition zone","volume":"32","author":[{"family":"Boulanger","given":"Yan"},{"family":"Taylor","given":"Anthony R."},{"family":"Price","given":"David T."},{"family":"Cyr","given":"Dominic"},{"family":"McGarrigle","given":"Elizabeth"},{"family":"Rammer","given":"Werner"},{"family":"Sainte-Marie","given":"Guillaume"},{"family":"Beaudoin","given":"André"},{"family":"Guindon","given":"Luc"},{"family":"Mansuy","given":"Nicolas"}],"issued":{"date-parts":[["2017",7,1]]}}},{"id":144,"uris":["http://zotero.org/groups/4916363/items/G924QBYQ"],"itemData":{"id":144,"type":"article-journal","abstract":"Climate-induced vegetation change may be delayed in the absence of disturbance catalysts. However, increases in wildfire activity may accelerate these transitions in many areas, including the western boreal region of Canada. To better understand factors influencing decadal-scale changes in upland boreal forest vegetation, we developed a hybrid modeling approach that constrains projections of climate-driven vegetation change based on topo-edaphic conditions coupled with weather- and fuel-based simulations of future wildfires using Burn-P3, a spatial fire simulation model. We evaluated eighteen scenarios based on all possible combinations of three fuel assumptions (static, fire-mediated, and climate-driven), two fire-regime assumptions (constrained and unconstrained), and three global climate models. We simulated scenarios of fire-mediated change in forest composition over the next century, concluding that, even under conservative assumptions about future fire regimes, wildfire activity could hasten the conversion of approximately half of Alberta's upland mixedwood and conifer forest to more climatically suited deciduous woodland and grassland by 2100. When fire-regime parameter inputs (number of fire ignitions and duration of burning) were modified based on future fire weather projections, the simulated area burned was almost enough to facilitate a complete transition to climate-predicted vegetation types. However, when fire-regime parameters were held constant at their current values, the rate of increase in fire probability diminished, suggesting a negative feedback by which a short-term increase in less-flammable deciduous forest leads to a long-term reduction in area burned. Our spatially explicit simulations of fire-mediated vegetation change provide managers with scenarios that can be used to plan for a range of alternative landscape conditions.","container-title":"Ecosphere","DOI":"10.1002/ecs2.2156","ISSN":"2150-8925","issue":"3","language":"en","note":"_eprint: https://onlinelibrary.wiley.com/doi/pdf/10.1002/ecs2.2156","page":"e02156","source":"Wiley Online Library","title":"Wildfire-mediated vegetation change in boreal forests of Alberta, Canada","volume":"9","author":[{"family":"Stralberg","given":"Diana"},{"family":"Wang","given":"Xianli"},{"family":"Parisien","given":"Marc-André"},{"family":"Robinne","given":"François-Nicolas"},{"family":"Sólymos","given":"Péter"},{"family":"Mahon","given":"C. Lisa"},{"family":"Nielsen","given":"Scott E."},{"family":"Bayne","given":"Erin M."}],"issued":{"date-parts":[["2018"]]}}}],"schema":"https://github.com/citation-style-language/schema/raw/master/csl-citation.json"}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 xml:space="preserve">(Boulanger et al. 2014, 2016, 2017; Stralberg et al. </w:t>
      </w:r>
      <w:r w:rsidR="001D7C62" w:rsidRPr="001D7C62">
        <w:rPr>
          <w:rFonts w:ascii="Times New Roman" w:hAnsi="Times New Roman" w:cs="Times New Roman"/>
          <w:sz w:val="24"/>
        </w:rPr>
        <w:lastRenderedPageBreak/>
        <w:t>2018)</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drought</w:t>
      </w:r>
      <w:r w:rsidR="001D7C62">
        <w:rPr>
          <w:rFonts w:ascii="Times New Roman" w:eastAsia="Times New Roman" w:hAnsi="Times New Roman" w:cs="Times New Roman"/>
          <w:color w:val="000000"/>
          <w:sz w:val="24"/>
          <w:szCs w:val="24"/>
        </w:rPr>
        <w:t xml:space="preserve">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{"citationID":"QQQv2Il8","properties":{"formattedCitation":"(Michaelian et al. 2011)","plainCitation":"(Michaelian et al. 2011)","noteIndex":0},"citationItems":[{"id":129,"uris":["http://zotero.org/groups/4916363/items/J9KNEN36"],"itemData":{"id":129,"type":"article-journal","abstract":"Drought-induced, regional-scale dieback of forests has emerged as a global concern that is expected to escalate under model projections of climate change. Since 2000, drought of unusual severity, extent, and duration has affected large areas of western North America, leading to regional-scale dieback of forests in the southwestern US. We report on drought impacts on forests in a region farther north, encompassing the transition between boreal forest and prairie in western Canada. A central question is the significance of drought as an agent of large-scale tree mortality and its potential future impact on carbon cycling in this cold region. We used a combination of plot-based, meteorological, and remote sensing measures to map and quantify aboveground, dead biomass of trembling aspen (Populus tremuloides Michx.) across an 11.5 Mha survey area where drought was exceptionally severe during 2001–2002. Within this area, a satellite-based land cover map showed that aspen-dominated broadleaf forests occupied 2.3 Mha. Aerial surveys revealed extensive patches of severe mortality (&gt;55%) resembling the impacts of fire. Dead aboveground biomass was estimated at 45 Mt, representing 20% of the total aboveground biomass, based on a spatial interpolation of plot-based measurements. Spatial variation in percentage dead biomass showed a moderately strong correlation with drought severity. In the prairie-like, southern half of the study area where the drought was most severe, 35% of aspen biomass was dead, compared with an estimated 7% dead biomass in the absence of drought. Drought led to an estimated 29 Mt increase in dead biomass across the survey area, corresponding to 14 Mt of potential future carbon emissions following decomposition. Many recent, comparable episodes of drought-induced forest dieback have been reported from around the world, which points to an emerging need for multiscale monitoring approaches to quantify drought effects on woody biomass and carbon cycling across large areas.","container-title":"Global Change Biology","DOI":"10.1111/j.1365-2486.2010.02357.x","ISSN":"1365-2486","issue":"6","language":"en","note":"_eprint: https://onlinelibrary.wiley.com/doi/pdf/10.1111/j.1365-2486.2010.02357.x","page":"2084-2094","source":"Wiley Online Library","title":"Massive mortality of aspen following severe drought along the southern edge of the Canadian boreal forest","volume":"17","author":[{"family":"Michaelian","given":"Michael"},{"family":"Hogg","given":"Edward H."},{"family":"Hall","given":"Ronald J."},{"family":"Arsenault","given":"Eric"}],"issued":{"date-parts":[["2011"]]}}}],"schema":"https://github.com/citation-style-language/schema/raw/master/csl-citation.json"}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(Michaelian et al. 2011)</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and outbreaks of insect pests and pathogens of tree species</w:t>
      </w:r>
      <w:r w:rsidR="001D7C62">
        <w:rPr>
          <w:rFonts w:ascii="Times New Roman" w:eastAsia="Times New Roman" w:hAnsi="Times New Roman" w:cs="Times New Roman"/>
          <w:color w:val="000000"/>
          <w:sz w:val="24"/>
          <w:szCs w:val="24"/>
        </w:rPr>
        <w:t xml:space="preserve">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{"citationID":"NSTMu1fg","properties":{"formattedCitation":"(Pureswaran et al. 2018)","plainCitation":"(Pureswaran et al. 2018)","noteIndex":0},"citationItems":[{"id":136,"uris":["http://zotero.org/groups/4916363/items/8K86L94P"],"itemData":{"id":136,"type":"article-journal","abstract":"Climate change affects populations of forest insect pests in a number of ways. We reviewed the most recent literature (2013–2017) on this subject including previous reviews on the topic. We provide a comprehensive discussion of the subject, with special attention to insect range expansion, insect abundance, impacts on forest ecosystems, and effects on forest insect communities. We considered forest insects according to their major guilds and biomes.","container-title":"Current Forestry Reports","DOI":"10.1007/s40725-018-0075-6","ISSN":"2198-6436","issue":"2","journalAbbreviation":"Curr Forestry Rep","language":"en","page":"35-50","source":"Springer Link","title":"Forest Insects and Climate Change","volume":"4","author":[{"family":"Pureswaran","given":"Deepa S."},{"family":"Roques","given":"Alain"},{"family":"Battisti","given":"Andrea"}],"issued":{"date-parts":[["2018",6,1]]}}}],"schema":"https://github.com/citation-style-language/schema/raw/master/csl-citation.json"}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(Pureswaran et al. 2018)</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within Canada’s boreal forests. Increases in these natural disturbances in combination with higher CO</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concentrations are predicted to negatively affect slower-growing coniferous tree species more than faster-growing broadleaf tree species, leading to either younger-on-average, deciduous-dominated boreal forests or conversion of boreal forests</w:t>
      </w:r>
      <w:r w:rsidR="001D7C62">
        <w:rPr>
          <w:rFonts w:ascii="Times New Roman" w:eastAsia="Times New Roman" w:hAnsi="Times New Roman" w:cs="Times New Roman"/>
          <w:color w:val="000000"/>
          <w:sz w:val="24"/>
          <w:szCs w:val="24"/>
        </w:rPr>
        <w:t xml:space="preserve">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{"citationID":"ev3xaEdJ","properties":{"formattedCitation":"(Mahon et al. 2014; Boulanger et al. 2016; Mekonnen et al. 2019)","plainCitation":"(Mahon et al. 2014; Boulanger et al. 2016; Mekonnen et al. 2019)","noteIndex":0},"citationItems":[{"id":121,"uris":["http://zotero.org/groups/4916363/items/9W5U6QWT"],"itemData":{"id":121,"type":"article-journal","abstract":"Assessing the feasibility of proposed Bird Conservation Region (BCR) population objectives requires comparing expected future population size estimates to proposed population objectives. Linking statistical bird habitat models with landscape simulation models can provide a direct method for assessing the ecological and economic implications of alternative land and resource scenarios within a BCR or BCR sub-region. We demonstrate our approach for analyses of future habitat supply and population size for a suite of priority landbird species using the ALCES® landscape simulation model and empirical bird habitat models within a multi-use landscape located in northeast Alberta, Canada and BCR 6-Boreal Taiga Plains. We used ALCES® to simulate future landscape condition over a 100year time period under three scenarios: business as usual, protected areas, and climate change. Shortfalls between simulated population size estimates at year 30 and proposed population objectives existed for each of the four priority bird species examined suggesting that expected future landscape condition will not support proposed population objectives for these species. Boreal species strongly associated with mature and old forest habitats exhibited population declines over the 100year simulation period. One habitat generalist, a species associated with both early and late seral stages, appeared to benefit from the range of land use scenarios examined. Our approach improves upon current static approaches used to step down BCR scale population objectives to sub-regional scale habitat objectives by utilizing statistical bird population response models to estimate density and a dynamic landscape simulation model to estimate expected future habitat condition.","container-title":"Forest Ecology and Management","DOI":"10.1016/j.foreco.2013.10.025","ISSN":"0378-1127","journalAbbreviation":"Forest Ecology and Management","language":"en","page":"28-39","source":"ScienceDirect","title":"Does expected future landscape condition support proposed population objectives for boreal birds?","volume":"312","author":[{"family":"Mahon","given":"C. Lisa"},{"family":"Bayne","given":"Erin M."},{"family":"Sólymos","given":"Péter"},{"family":"Matsuoka","given":"Steven M."},{"family":"Carlson","given":"Matthew"},{"family":"Dzus","given":"Elston"},{"family":"Schmiegelow","given":"Fiona K. A."},{"family":"Song","given":"Samantha J."}],"issued":{"date-parts":[["2014",1,15]]}}},{"id":96,"uris":["http://zotero.org/groups/4916363/items/KIWCAIG8"],"itemData":{"id":96,"type":"article-journal","abstract":"Climate change will modify forest pest outbreak characteristics, although there are disagreements regarding the specifics of these changes. A large part of this variability may be attributed to model specifications. As a case study, we developed a consensus model predicting spruce budworm (SBW, Choristoneura fumiferana [Clem.]) outbreak duration using two different predictor data sets and six different correlative methods. The model was used to project outbreak duration and the uncertainty associated with using different data sets and correlative methods (=model-specification uncertainty) for 2011–2040, 2041–2070 and 2071–2100, according to three forcing scenarios (RCP 2.6, RCP 4.5 and RCP 8.5). The consensus model showed very high explanatory power and low bias. The model projected a more important northward shift and decrease in outbreak duration under the RCP 8.5 scenario. However, variation in single-model projections increases with time, making future projections highly uncertain. Notably, the magnitude of the shifts in northward expansion, overall outbreak duration and the patterns of outbreaks duration at the southern edge were highly variable according to the predictor data set and correlative method used. We also demonstrated that variation in forcing scenarios contributed only slightly to the uncertainty of model projections compared with the two sources of model-specification uncertainty. Our approach helped to quantify model-specification uncertainty in future forest pest outbreak characteristics. It may contribute to sounder decision-making by acknowledging the limits of the projections and help to identify areas where model-specification uncertainty is high. As such, we further stress that this uncertainty should be strongly considered when making forest management plans, notably by adopting adaptive management strategies so as to reduce future risks.","container-title":"Global Change Biology","DOI":"10.1111/gcb.13142","ISSN":"1365-2486","issue":"4","language":"en","note":"_eprint: https://onlinelibrary.wiley.com/doi/pdf/10.1111/gcb.13142","page":"1595-1607","source":"Wiley Online Library","title":"Model-specification uncertainty in future forest pest outbreak","volume":"22","author":[{"family":"Boulanger","given":"Yan"},{"family":"Gray","given":"David R."},{"family":"Cooke","given":"Barry J."},{"family":"De Grandpré","given":"Louis"}],"issued":{"date-parts":[["2016"]]}}},{"id":127,"uris":["http://zotero.org/groups/4916363/items/I9663IL7"],"itemData":{"id":127,"type":"article-journal","abstract":"High-latitude regions have experienced rapid warming in recent decades, and this trend is projected to continue over the twenty-first century1. Fire is also projected to increase with warming2,3. We show here, consistent with changes during the Holocene4, that changes in twenty-first century climate and fire are likely to alter the composition of Alaskan boreal forests. We hypothesize that competition for nutrients after fire in early succession and for light in late succession in a warmer climate will cause shifts in plant functional type. Consistent with observations, our ecosystem model predicts evergreen conifers to be the current dominant tree type in Alaska. However, under future climate and fire, our analysis suggests the relative dominance of deciduous broadleaf trees nearly doubles, accounting for 58% of the Alaska ecosystem’s net primary productivity by 2100, with commensurate declines in contributions from evergreen conifer trees and herbaceous plants. Post-fire deciduous broadleaf tree growth under a future climate is sustained from enhanced microbial nitrogen mineralization caused by warmer soils and deeper active layers, resulting in taller trees that compete more effectively for light. The expansion of deciduous broadleaf forests will affect the carbon cycle, surface energy fluxes and ecosystem function, thereby modifying important feedbacks with the climate system.","container-title":"Nature Plants","DOI":"10.1038/s41477-019-0495-8","ISSN":"2055-0278","issue":"9","journalAbbreviation":"Nat. Plants","language":"en","license":"2019 The Author(s), under exclusive licence to Springer Nature Limited","note":"number: 9\npublisher: Nature Publishing Group","page":"952-958","source":"www.nature.com","title":"Expansion of high-latitude deciduous forests driven by interactions between climate warming and fire","volume":"5","author":[{"family":"Mekonnen","given":"Zelalem A."},{"family":"Riley","given":"William J."},{"family":"Randerson","given":"James T."},{"family":"Grant","given":"Robert F."},{"family":"Rogers","given":"Brendan M."}],"issued":{"date-parts":[["2019",9]]}}}],"schema":"https://github.com/citation-style-language/schema/raw/master/csl-citation.json"}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(Mahon et al. 2014; Boulanger et al. 2016; Mekonnen et al. 2019)</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to parkland or grassland</w:t>
      </w:r>
      <w:r w:rsidR="001D7C62">
        <w:rPr>
          <w:rFonts w:ascii="Times New Roman" w:eastAsia="Times New Roman" w:hAnsi="Times New Roman" w:cs="Times New Roman"/>
          <w:color w:val="000000"/>
          <w:sz w:val="24"/>
          <w:szCs w:val="24"/>
        </w:rPr>
        <w:t xml:space="preserve"> </w:t>
      </w:r>
      <w:r w:rsidR="001D7C62">
        <w:rPr>
          <w:rFonts w:ascii="Times New Roman" w:eastAsia="Times New Roman" w:hAnsi="Times New Roman" w:cs="Times New Roman"/>
          <w:color w:val="000000"/>
          <w:sz w:val="24"/>
          <w:szCs w:val="24"/>
        </w:rPr>
        <w:fldChar w:fldCharType="begin"/>
      </w:r>
      <w:r w:rsidR="001D7C62">
        <w:rPr>
          <w:rFonts w:ascii="Times New Roman" w:eastAsia="Times New Roman" w:hAnsi="Times New Roman" w:cs="Times New Roman"/>
          <w:color w:val="000000"/>
          <w:sz w:val="24"/>
          <w:szCs w:val="24"/>
        </w:rPr>
        <w:instrText xml:space="preserve"> ADDIN ZOTERO_ITEM CSL_CITATION {"citationID":"6vGS7AIu","properties":{"formattedCitation":"(Stralberg et al. 2018)","plainCitation":"(Stralberg et al. 2018)","noteIndex":0},"citationItems":[{"id":144,"uris":["http://zotero.org/groups/4916363/items/G924QBYQ"],"itemData":{"id":144,"type":"article-journal","abstract":"Climate-induced vegetation change may be delayed in the absence of disturbance catalysts. However, increases in wildfire activity may accelerate these transitions in many areas, including the western boreal region of Canada. To better understand factors influencing decadal-scale changes in upland boreal forest vegetation, we developed a hybrid modeling approach that constrains projections of climate-driven vegetation change based on topo-edaphic conditions coupled with weather- and fuel-based simulations of future wildfires using Burn-P3, a spatial fire simulation model. We evaluated eighteen scenarios based on all possible combinations of three fuel assumptions (static, fire-mediated, and climate-driven), two fire-regime assumptions (constrained and unconstrained), and three global climate models. We simulated scenarios of fire-mediated change in forest composition over the next century, concluding that, even under conservative assumptions about future fire regimes, wildfire activity could hasten the conversion of approximately half of Alberta's upland mixedwood and conifer forest to more climatically suited deciduous woodland and grassland by 2100. When fire-regime parameter inputs (number of fire ignitions and duration of burning) were modified based on future fire weather projections, the simulated area burned was almost enough to facilitate a complete transition to climate-predicted vegetation types. However, when fire-regime parameters were held constant at their current values, the rate of increase in fire probability diminished, suggesting a negative feedback by which a short-term increase in less-flammable deciduous forest leads to a long-term reduction in area burned. Our spatially explicit simulations of fire-mediated vegetation change provide managers with scenarios that can be used to plan for a range of alternative landscape conditions.","container-title":"Ecosphere","DOI":"10.1002/ecs2.2156","ISSN":"2150-8925","issue":"3","language":"en","note":"_eprint: https://onlinelibrary.wiley.com/doi/pdf/10.1002/ecs2.2156","page":"e02156","source":"Wiley Online Library","title":"Wildfire-mediated vegetation change in boreal forests of Alberta, Canada","volume":"9","author":[{"family":"Stralberg","given":"Diana"},{"family":"Wang","given":"Xianli"},{"family":"Parisien","given":"Marc-André"},{"family":"Robinne","given":"François-Nicolas"},{"family":"Sólymos","given":"Péter"},{"family":"Mahon","given":"C. Lisa"},{"family":"Nielsen","given":"Scott E."},{"family":"Bayne","given":"Erin M."}],"issued":{"date-parts":[["2018"]]}}}],"schema":"https://github.com/citation-style-language/schema/raw/master/csl-citation.json"} </w:instrText>
      </w:r>
      <w:r w:rsidR="001D7C62">
        <w:rPr>
          <w:rFonts w:ascii="Times New Roman" w:eastAsia="Times New Roman" w:hAnsi="Times New Roman" w:cs="Times New Roman"/>
          <w:color w:val="000000"/>
          <w:sz w:val="24"/>
          <w:szCs w:val="24"/>
        </w:rPr>
        <w:fldChar w:fldCharType="separate"/>
      </w:r>
      <w:r w:rsidR="001D7C62" w:rsidRPr="001D7C62">
        <w:rPr>
          <w:rFonts w:ascii="Times New Roman" w:hAnsi="Times New Roman" w:cs="Times New Roman"/>
          <w:sz w:val="24"/>
        </w:rPr>
        <w:t>(Stralberg et al. 2018)</w:t>
      </w:r>
      <w:r w:rsidR="001D7C62">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1B0805CA" w14:textId="257DA682"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To create our climate scenarios, we merged 30-year monthly climate </w:t>
      </w:r>
      <w:proofErr w:type="spellStart"/>
      <w:r>
        <w:rPr>
          <w:rFonts w:ascii="Times New Roman" w:eastAsia="Times New Roman" w:hAnsi="Times New Roman" w:cs="Times New Roman"/>
          <w:color w:val="000000"/>
          <w:sz w:val="24"/>
          <w:szCs w:val="24"/>
        </w:rPr>
        <w:t>normals</w:t>
      </w:r>
      <w:proofErr w:type="spellEnd"/>
      <w:r>
        <w:rPr>
          <w:rFonts w:ascii="Times New Roman" w:eastAsia="Times New Roman" w:hAnsi="Times New Roman" w:cs="Times New Roman"/>
          <w:color w:val="000000"/>
          <w:sz w:val="24"/>
          <w:szCs w:val="24"/>
        </w:rPr>
        <w:t xml:space="preserve"> for 1961-1990 interpolated from climate station records</w:t>
      </w:r>
      <w:r w:rsidR="001D7C62">
        <w:rPr>
          <w:rFonts w:ascii="Times New Roman" w:eastAsia="Times New Roman" w:hAnsi="Times New Roman" w:cs="Times New Roman"/>
          <w:color w:val="000000"/>
          <w:sz w:val="24"/>
          <w:szCs w:val="24"/>
        </w:rPr>
        <w:t xml:space="preserve"> </w:t>
      </w:r>
      <w:r w:rsidR="00157A5D">
        <w:rPr>
          <w:rFonts w:ascii="Times New Roman" w:eastAsia="Times New Roman" w:hAnsi="Times New Roman" w:cs="Times New Roman"/>
          <w:color w:val="000000"/>
          <w:sz w:val="24"/>
          <w:szCs w:val="24"/>
        </w:rPr>
        <w:fldChar w:fldCharType="begin"/>
      </w:r>
      <w:r w:rsidR="00157A5D">
        <w:rPr>
          <w:rFonts w:ascii="Times New Roman" w:eastAsia="Times New Roman" w:hAnsi="Times New Roman" w:cs="Times New Roman"/>
          <w:color w:val="000000"/>
          <w:sz w:val="24"/>
          <w:szCs w:val="24"/>
        </w:rPr>
        <w:instrText xml:space="preserve"> ADDIN ZOTERO_ITEM CSL_CITATION {"citationID":"lPZUkooH","properties":{"formattedCitation":"(McKenney et al. 2013)","plainCitation":"(McKenney et al. 2013)","noteIndex":0},"citationItems":[{"id":391,"uris":["http://zotero.org/groups/4916363/items/LIC3S7BB"],"itemData":{"id":391,"type":"article-journal","abstract":"We summarize ongoing efforts at the Canadian Forest Service to produce spatial climate models for Canada and the United States. Our models, which encompass a wide range of variables and spatiotemporal extents, typically employ thin plate smoothing splines to interpolate and extrapolate climate station values as a function of latitude, longitude and elevation. The resulting surfaces can be resolved as grids (i.e., maps) or as point estimates at locations of interest. Recent efforts, detailed here include: updated models for the most recent 30-year normal period (i.e., 1981–2010), moisture balance models, future climate projections using the latest round of general circulation model (GCM) outputs and emissions scenarios, lake ice freeze/thaw models, and growing season models. These models are available to the Canadian forest community and beyond via the internet (http://cfs.nrcan.gc.ca/projects/3) or by contacting the senior author.","container-title":"The Forestry Chronicle","DOI":"10.5558/tfc2013-118","ISSN":"0015-7546","issue":"05","note":"publisher: Canadian Institute of Forestry","page":"659-663","source":"pubs.cif-ifc.org (Atypon)","title":"Spatial climate models for Canada’s forestry community","volume":"89","author":[{"family":"McKenney","given":"Daniel"},{"family":"Pedlar","given":"John"},{"family":"Hutchinson","given":"Michael"},{"family":"Papadopol","given":"Pia"},{"family":"Lawrence","given":"Kevin"},{"family":"Campbell","given":"Kathy"},{"family":"Milewska","given":"Ewa"},{"family":"Hopkinson","given":"Ron F."},{"family":"Price","given":"David"}],"issued":{"date-parts":[["2013",10]]}}}],"schema":"https://github.com/citation-style-language/schema/raw/master/csl-citation.json"} </w:instrText>
      </w:r>
      <w:r w:rsidR="00157A5D">
        <w:rPr>
          <w:rFonts w:ascii="Times New Roman" w:eastAsia="Times New Roman" w:hAnsi="Times New Roman" w:cs="Times New Roman"/>
          <w:color w:val="000000"/>
          <w:sz w:val="24"/>
          <w:szCs w:val="24"/>
        </w:rPr>
        <w:fldChar w:fldCharType="separate"/>
      </w:r>
      <w:r w:rsidR="00157A5D" w:rsidRPr="00157A5D">
        <w:rPr>
          <w:rFonts w:ascii="Times New Roman" w:hAnsi="Times New Roman" w:cs="Times New Roman"/>
          <w:sz w:val="24"/>
        </w:rPr>
        <w:t>(McKenney et al. 2013)</w:t>
      </w:r>
      <w:r w:rsidR="00157A5D">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with projected future monthly changes predicted from the Canadian Earth System Model version 2, up to 2100 (CanESM2; </w:t>
      </w:r>
      <w:r w:rsidR="00157A5D">
        <w:rPr>
          <w:rFonts w:ascii="Times New Roman" w:eastAsia="Times New Roman" w:hAnsi="Times New Roman" w:cs="Times New Roman"/>
          <w:color w:val="000000"/>
          <w:sz w:val="24"/>
          <w:szCs w:val="24"/>
        </w:rPr>
        <w:fldChar w:fldCharType="begin"/>
      </w:r>
      <w:r w:rsidR="00157A5D">
        <w:rPr>
          <w:rFonts w:ascii="Times New Roman" w:eastAsia="Times New Roman" w:hAnsi="Times New Roman" w:cs="Times New Roman"/>
          <w:color w:val="000000"/>
          <w:sz w:val="24"/>
          <w:szCs w:val="24"/>
        </w:rPr>
        <w:instrText xml:space="preserve"> ADDIN ZOTERO_ITEM CSL_CITATION {"citationID":"mIByrBtu","properties":{"formattedCitation":"(Arora et al. 2011)","plainCitation":"(Arora et al. 2011)","noteIndex":0},"citationItems":[{"id":89,"uris":["http://zotero.org/groups/4916363/items/YKBJUTI5"],"itemData":{"id":89,"type":"article-journal","abstract":"The response of the second-generation Canadian earth system model (CanESM2) to historical (1850–2005) and future (2006–2100) natural and anthropogenic forcing is assessed using the newly-developed representative concentration pathways (RCPs) of greenhouse gases (GHGs) and aerosols. Allowable emissions required to achieve the future atmospheric CO2 concentration pathways, are reported for the RCP 2.6, 4.5 and 8.5 scenarios. For the historical 1850–2005 period, cumulative land plus ocean carbon uptake and, consequently, cumulative diagnosed emissions compare well with observation-based estimates. The simulated historical carbon uptake is somewhat weaker for the ocean and stronger for the land relative to their observation-based estimates. The simulated historical warming of 0.9°C compares well with the observation-based estimate of 0.76 ± 0.19°C. The RCP 2.6, 4.5 and 8.5 scenarios respectively yield warmings of 1.4, 2.3, and 4.9°C and cumulative diagnosed fossil fuel emissions of 182, 643 and 1617 Pg C over the 2006–2100 period. The simulated warming of 2.3°C over the 1850–2100 period in the RCP 2.6 scenario, with the lowest concentration of GHGs, is slightly larger than the 2°C warming target set to avoid dangerous climate change by the 2009 UN Copenhagen Accord. The results of this study suggest that limiting warming to roughly 2°C by the end of this century is unlikely since it requires an immediate ramp down of emissions followed by ongoing carbon sequestration in the second half of this century.","container-title":"Geophysical Research Letters","DOI":"10.1029/2010GL046270","ISSN":"1944-8007","issue":"5","language":"en","note":"_eprint: https://onlinelibrary.wiley.com/doi/pdf/10.1029/2010GL046270","source":"Wiley Online Library","title":"Carbon emission limits required to satisfy future representative concentration pathways of greenhouse gases","URL":"https://onlinelibrary.wiley.com/doi/abs/10.1029/2010GL046270","volume":"38","author":[{"family":"Arora","given":"V. K."},{"family":"Scinocca","given":"J. F."},{"family":"Boer","given":"G. J."},{"family":"Christian","given":"J. R."},{"family":"Denman","given":"K. L."},{"family":"Flato","given":"G. M."},{"family":"Kharin","given":"V. V."},{"family":"Lee","given":"W. G."},{"family":"Merryfield","given":"W. J."}],"accessed":{"date-parts":[["2023",2,1]]},"issued":{"date-parts":[["2011"]]}}}],"schema":"https://github.com/citation-style-language/schema/raw/master/csl-citation.json"} </w:instrText>
      </w:r>
      <w:r w:rsidR="00157A5D">
        <w:rPr>
          <w:rFonts w:ascii="Times New Roman" w:eastAsia="Times New Roman" w:hAnsi="Times New Roman" w:cs="Times New Roman"/>
          <w:color w:val="000000"/>
          <w:sz w:val="24"/>
          <w:szCs w:val="24"/>
        </w:rPr>
        <w:fldChar w:fldCharType="separate"/>
      </w:r>
      <w:r w:rsidR="00157A5D" w:rsidRPr="00157A5D">
        <w:rPr>
          <w:rFonts w:ascii="Times New Roman" w:hAnsi="Times New Roman" w:cs="Times New Roman"/>
          <w:sz w:val="24"/>
        </w:rPr>
        <w:t>Arora et al. 2011)</w:t>
      </w:r>
      <w:r w:rsidR="00157A5D">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We downloaded RCP scenarios 4.5 and 8.5 from the World Climate Research Program (WCRP) Climate Model Intercomparison Project Phase 5 (CMIP5) archive. The climate </w:t>
      </w:r>
      <w:proofErr w:type="spellStart"/>
      <w:r>
        <w:rPr>
          <w:rFonts w:ascii="Times New Roman" w:eastAsia="Times New Roman" w:hAnsi="Times New Roman" w:cs="Times New Roman"/>
          <w:color w:val="000000"/>
          <w:sz w:val="24"/>
          <w:szCs w:val="24"/>
        </w:rPr>
        <w:t>normals</w:t>
      </w:r>
      <w:proofErr w:type="spellEnd"/>
      <w:r>
        <w:rPr>
          <w:rFonts w:ascii="Times New Roman" w:eastAsia="Times New Roman" w:hAnsi="Times New Roman" w:cs="Times New Roman"/>
          <w:color w:val="000000"/>
          <w:sz w:val="24"/>
          <w:szCs w:val="24"/>
        </w:rPr>
        <w:t xml:space="preserve"> influence forest succession in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through their impacts on parameters in the forest succession model (in our scenarios, PICUS) as well as on fire regimes.</w:t>
      </w:r>
    </w:p>
    <w:p w14:paraId="1DD2C6F0" w14:textId="2B3CE874" w:rsidR="008634CB" w:rsidRPr="00FA6886" w:rsidRDefault="00000000" w:rsidP="00F648A5">
      <w:pPr>
        <w:ind w:firstLine="720"/>
        <w:rPr>
          <w:rFonts w:ascii="Times New Roman" w:hAnsi="Times New Roman" w:cs="Times New Roman"/>
          <w:b/>
          <w:sz w:val="24"/>
          <w:szCs w:val="24"/>
        </w:rPr>
      </w:pPr>
      <w:r w:rsidRPr="00FA6886">
        <w:rPr>
          <w:rFonts w:ascii="Times New Roman" w:hAnsi="Times New Roman" w:cs="Times New Roman"/>
          <w:sz w:val="24"/>
          <w:szCs w:val="24"/>
        </w:rPr>
        <w:t>We examined outputs from scenarios previously run in Alberta</w:t>
      </w:r>
      <w:r w:rsidR="00157A5D" w:rsidRPr="00FA6886">
        <w:rPr>
          <w:rFonts w:ascii="Times New Roman" w:hAnsi="Times New Roman" w:cs="Times New Roman"/>
          <w:sz w:val="24"/>
          <w:szCs w:val="24"/>
        </w:rPr>
        <w:t xml:space="preserve"> </w:t>
      </w:r>
      <w:r w:rsidR="00157A5D" w:rsidRPr="00FA6886">
        <w:rPr>
          <w:rFonts w:ascii="Times New Roman" w:hAnsi="Times New Roman" w:cs="Times New Roman"/>
          <w:b/>
          <w:sz w:val="24"/>
          <w:szCs w:val="24"/>
        </w:rPr>
        <w:fldChar w:fldCharType="begin"/>
      </w:r>
      <w:r w:rsidR="00157A5D" w:rsidRPr="00FA6886">
        <w:rPr>
          <w:rFonts w:ascii="Times New Roman" w:hAnsi="Times New Roman" w:cs="Times New Roman"/>
          <w:sz w:val="24"/>
          <w:szCs w:val="24"/>
        </w:rPr>
        <w:instrText xml:space="preserve"> ADDIN ZOTERO_ITEM CSL_CITATION {"citationID":"s17ltcVN","properties":{"formattedCitation":"(Cadieux et al. 2020)","plainCitation":"(Cadieux et al. 2020)","noteIndex":0},"citationItems":[{"id":105,"uris":["http://zotero.org/groups/4916363/items/R5A3C2HS"],"itemData":{"id":105,"type":"article-journal","abstract":"Aim Climate change is expected to influence boreal bird communities significantly, notably through changes in forest habitat (composition and age structure), in the coming decades. How these changes will accumulate and interact with anthropogenic disturbances remains an open question for most species. Location Northeastern Alberta, Canada. Methods We used the LANDIS-II forest landscape model to project changes in forest landscapes, and associated bird populations (72 passerine species), according to three climatic scenarios (baseline, RCP 4.5 and RCP 8.5) and three forest harvesting scenarios of differing intensity. Results Both forest harvesting and climate-related drivers were projected to have large impacts on bird communities in this region. As a result of climate-induced increases in fire activity as well as decreased conifer productivity, our simulations projected that an important proportion of Alberta's boreal forests would transition to treeless habitat (i.e. grass- or shrub-dominated vegetation) while many conifer-dominated stands would likely be replaced by broadleaf tree cover. Consequently, the abundance of bird species associated with open and deciduous habitats were projected to increase. With a strong anthropogenic climate-forcing scenario (RCP 8.5), sharp declines in abundance of coniferous trees were also projected, particularly in mature and old forest stands, triggering major declines for bird species associated with coniferous and mixedwood forest types. Main conclusions As the most comprehensive simulation of climate change and harvesting impacts on avian habitats in the North American boreal region to date, our study stresses the importance of considering key habitat characteristics like forest age structure and composition through forest landscape modelling and identifies 18 bird species particularly sensitive to climate change. Our simulations suggest that a change in forest management practices could play an important role in the conservation of boreal bird species vulnerable to climate change. The intensive forest harvesting simulated accelerated declines in bird abundance compared to a “no harvesting” scenario.","container-title":"Diversity and Distributions","DOI":"10.1111/ddi.13057","ISSN":"1472-4642","issue":"6","language":"en","note":"_eprint: https://onlinelibrary.wiley.com/doi/pdf/10.1111/ddi.13057","page":"668-682","source":"Wiley Online Library","title":"Projected effects of climate change on boreal bird community accentuated by anthropogenic disturbances in western boreal forest, Canada","volume":"26","author":[{"family":"Cadieux","given":"Philippe"},{"family":"Boulanger","given":"Yan"},{"family":"Cyr","given":"Dominic"},{"family":"Taylor","given":"Anthony R."},{"family":"Price","given":"David T."},{"family":"Sólymos","given":"Péter"},{"family":"Stralberg","given":"Diana"},{"family":"Chen","given":"Han Y.H."},{"family":"Brecka","given":"Aaron"},{"family":"Tremblay","given":"Junior A."}],"issued":{"date-parts":[["2020"]]}}}],"schema":"https://github.com/citation-style-language/schema/raw/master/csl-citation.json"} </w:instrText>
      </w:r>
      <w:r w:rsidR="00157A5D" w:rsidRPr="00FA6886">
        <w:rPr>
          <w:rFonts w:ascii="Times New Roman" w:hAnsi="Times New Roman" w:cs="Times New Roman"/>
          <w:b/>
          <w:sz w:val="24"/>
          <w:szCs w:val="24"/>
        </w:rPr>
        <w:fldChar w:fldCharType="separate"/>
      </w:r>
      <w:r w:rsidR="00157A5D" w:rsidRPr="00FA6886">
        <w:rPr>
          <w:rFonts w:ascii="Times New Roman" w:hAnsi="Times New Roman" w:cs="Times New Roman"/>
          <w:sz w:val="24"/>
          <w:szCs w:val="24"/>
        </w:rPr>
        <w:t>(Cadieux et al. 2020)</w:t>
      </w:r>
      <w:r w:rsidR="00157A5D" w:rsidRPr="00FA6886">
        <w:rPr>
          <w:rFonts w:ascii="Times New Roman" w:hAnsi="Times New Roman" w:cs="Times New Roman"/>
          <w:b/>
          <w:sz w:val="24"/>
          <w:szCs w:val="24"/>
        </w:rPr>
        <w:fldChar w:fldCharType="end"/>
      </w:r>
      <w:r w:rsidRPr="00FA6886">
        <w:rPr>
          <w:rFonts w:ascii="Times New Roman" w:hAnsi="Times New Roman" w:cs="Times New Roman"/>
          <w:sz w:val="24"/>
          <w:szCs w:val="24"/>
        </w:rPr>
        <w:t>, Quebec</w:t>
      </w:r>
      <w:r w:rsidR="00157A5D" w:rsidRPr="00FA6886">
        <w:rPr>
          <w:rFonts w:ascii="Times New Roman" w:hAnsi="Times New Roman" w:cs="Times New Roman"/>
          <w:sz w:val="24"/>
          <w:szCs w:val="24"/>
        </w:rPr>
        <w:t xml:space="preserve"> </w:t>
      </w:r>
      <w:r w:rsidR="00157A5D" w:rsidRPr="00FA6886">
        <w:rPr>
          <w:rFonts w:ascii="Times New Roman" w:hAnsi="Times New Roman" w:cs="Times New Roman"/>
          <w:b/>
          <w:sz w:val="24"/>
          <w:szCs w:val="24"/>
        </w:rPr>
        <w:fldChar w:fldCharType="begin"/>
      </w:r>
      <w:r w:rsidR="00157A5D" w:rsidRPr="00FA6886">
        <w:rPr>
          <w:rFonts w:ascii="Times New Roman" w:hAnsi="Times New Roman" w:cs="Times New Roman"/>
          <w:sz w:val="24"/>
          <w:szCs w:val="24"/>
        </w:rPr>
        <w:instrText xml:space="preserve"> ADDIN ZOTERO_ITEM CSL_CITATION {"citationID":"QKHl2PzW","properties":{"formattedCitation":"(Boulanger and Pascual Puigdevall 2021)","plainCitation":"(Boulanger and Pascual Puigdevall 2021)","noteIndex":0},"citationItems":[{"id":100,"uris":["http://zotero.org/groups/4916363/items/DA46CII8"],"itemData":{"id":100,"type":"article-journal","abstract":"Increased anthropogenic climate forcing is projected to have tremendous impacts on global forest ecosystems, with northern biomes being more at risk.","container-title":"Landscape Ecology","DOI":"10.1007/s10980-021-01241-7","ISSN":"1572-9761","issue":"6","journalAbbreviation":"Landscape Ecol","language":"en","page":"1725-1740","source":"Springer Link","title":"Boreal forests will be more severely affected by projected anthropogenic climate forcing than mixedwood and northern hardwood forests in eastern Canada","volume":"36","author":[{"family":"Boulanger","given":"Yan"},{"family":"Pascual Puigdevall","given":"Jesus"}],"issued":{"date-parts":[["2021",6,1]]}}}],"schema":"https://github.com/citation-style-language/schema/raw/master/csl-citation.json"} </w:instrText>
      </w:r>
      <w:r w:rsidR="00157A5D" w:rsidRPr="00FA6886">
        <w:rPr>
          <w:rFonts w:ascii="Times New Roman" w:hAnsi="Times New Roman" w:cs="Times New Roman"/>
          <w:b/>
          <w:sz w:val="24"/>
          <w:szCs w:val="24"/>
        </w:rPr>
        <w:fldChar w:fldCharType="separate"/>
      </w:r>
      <w:r w:rsidR="00157A5D" w:rsidRPr="00FA6886">
        <w:rPr>
          <w:rFonts w:ascii="Times New Roman" w:hAnsi="Times New Roman" w:cs="Times New Roman"/>
          <w:sz w:val="24"/>
          <w:szCs w:val="24"/>
        </w:rPr>
        <w:t>(Boulanger and Pascual Puigdevall 2021)</w:t>
      </w:r>
      <w:r w:rsidR="00157A5D" w:rsidRPr="00FA6886">
        <w:rPr>
          <w:rFonts w:ascii="Times New Roman" w:hAnsi="Times New Roman" w:cs="Times New Roman"/>
          <w:b/>
          <w:sz w:val="24"/>
          <w:szCs w:val="24"/>
        </w:rPr>
        <w:fldChar w:fldCharType="end"/>
      </w:r>
      <w:r w:rsidRPr="00FA6886">
        <w:rPr>
          <w:rFonts w:ascii="Times New Roman" w:hAnsi="Times New Roman" w:cs="Times New Roman"/>
          <w:sz w:val="24"/>
          <w:szCs w:val="24"/>
        </w:rPr>
        <w:t xml:space="preserve">, New Brunswick and Nova Scotia, rather than creating new scenarios specifically for Canada Warbler and Wood Thrush. The specific scenarios used in New Brunswick and Nova Scotia have not </w:t>
      </w:r>
      <w:r w:rsidR="00157A5D" w:rsidRPr="00FA6886">
        <w:rPr>
          <w:rFonts w:ascii="Times New Roman" w:hAnsi="Times New Roman" w:cs="Times New Roman"/>
          <w:sz w:val="24"/>
          <w:szCs w:val="24"/>
        </w:rPr>
        <w:t>yet</w:t>
      </w:r>
      <w:r w:rsidRPr="00FA6886">
        <w:rPr>
          <w:rFonts w:ascii="Times New Roman" w:hAnsi="Times New Roman" w:cs="Times New Roman"/>
          <w:sz w:val="24"/>
          <w:szCs w:val="24"/>
        </w:rPr>
        <w:t xml:space="preserve"> been published, although other simulations from those provinces have been</w:t>
      </w:r>
      <w:r w:rsidR="00157A5D" w:rsidRPr="00FA6886">
        <w:rPr>
          <w:rFonts w:ascii="Times New Roman" w:hAnsi="Times New Roman" w:cs="Times New Roman"/>
          <w:sz w:val="24"/>
          <w:szCs w:val="24"/>
        </w:rPr>
        <w:t xml:space="preserve"> </w:t>
      </w:r>
      <w:r w:rsidR="00157A5D" w:rsidRPr="00FA6886">
        <w:rPr>
          <w:rFonts w:ascii="Times New Roman" w:hAnsi="Times New Roman" w:cs="Times New Roman"/>
          <w:b/>
          <w:sz w:val="24"/>
          <w:szCs w:val="24"/>
        </w:rPr>
        <w:fldChar w:fldCharType="begin"/>
      </w:r>
      <w:r w:rsidR="00157A5D" w:rsidRPr="00FA6886">
        <w:rPr>
          <w:rFonts w:ascii="Times New Roman" w:hAnsi="Times New Roman" w:cs="Times New Roman"/>
          <w:sz w:val="24"/>
          <w:szCs w:val="24"/>
        </w:rPr>
        <w:instrText xml:space="preserve"> ADDIN ZOTERO_ITEM CSL_CITATION {"citationID":"4I66Olxp","properties":{"formattedCitation":"(Taylor et al. 2017)","plainCitation":"(Taylor et al. 2017)","noteIndex":0},"citationItems":[{"id":152,"uris":["http://zotero.org/groups/4916363/items/4YCNXDJV"],"itemData":{"id":152,"type":"article-journal","abstract":"The impact of climate change on forests is expected to vary globally and regionally. Canada’s Acadian Forest Region lies in the transition between the North American boreal and temperate forest biomes and may be particularly sensitive to changes in climate because many of its component species are currently at their southern or northern climatic range limits. Although some species may be lost, others may exhibit major productivity boosts—affecting the goods and services we derive from them. In this study, we use a well-established forest ecosystem simulation model, PICUS, to provide the first exploration of the impact of climate change on the composition and growth of the Acadian Forest Region for the period 2011 to 2100 under two radiative forcing scenarios, RCP 2.6 and RCP 8.5. In the short term (2011–2040), little to no changes in forest composition or growth were projected under either forcing scenario compared with current forest conditions (simulated for 1981–2010 baseline climate); however, by mid-century, PICUS projected increasing departures from the baseline simulations in both composition and growth, with the greatest changes occurring under RCP 8.5 during the late 21st century (2071–2100). Our study indicates that under rapid 21st century warming, Canada’s Acadian Forest Region will begin to lose its boreal character (i.e., “deborealize”) as key tree species fail to regenerate and survive. Furthermore, increased growth and establishment by warm-adapted, temperate tree species may be unable to keep pace with the rapid loss of boreal species. This potential “lag effect” may lead to a temporary decrease in forest growth and wood supply during the late 21st century.","container-title":"Forest Ecology and Management","DOI":"10.1016/j.foreco.2017.07.033","ISSN":"0378-1127","journalAbbreviation":"Forest Ecology and Management","language":"en","page":"284-294","source":"ScienceDirect","title":"Rapid 21st century climate change projected to shift composition and growth of Canada’s Acadian Forest Region","volume":"405","author":[{"family":"Taylor","given":"Anthony R."},{"family":"Boulanger","given":"Yan"},{"family":"Price","given":"David T."},{"family":"Cyr","given":"Dominic"},{"family":"McGarrigle","given":"Elizabeth"},{"family":"Rammer","given":"Werner"},{"family":"Kershaw","given":"John A."}],"issued":{"date-parts":[["2017",12,1]]}}}],"schema":"https://github.com/citation-style-language/schema/raw/master/csl-citation.json"} </w:instrText>
      </w:r>
      <w:r w:rsidR="00157A5D" w:rsidRPr="00FA6886">
        <w:rPr>
          <w:rFonts w:ascii="Times New Roman" w:hAnsi="Times New Roman" w:cs="Times New Roman"/>
          <w:b/>
          <w:sz w:val="24"/>
          <w:szCs w:val="24"/>
        </w:rPr>
        <w:fldChar w:fldCharType="separate"/>
      </w:r>
      <w:r w:rsidR="00157A5D" w:rsidRPr="00FA6886">
        <w:rPr>
          <w:rFonts w:ascii="Times New Roman" w:hAnsi="Times New Roman" w:cs="Times New Roman"/>
          <w:sz w:val="24"/>
          <w:szCs w:val="24"/>
        </w:rPr>
        <w:t>(Taylor et al. 2017)</w:t>
      </w:r>
      <w:r w:rsidR="00157A5D" w:rsidRPr="00FA6886">
        <w:rPr>
          <w:rFonts w:ascii="Times New Roman" w:hAnsi="Times New Roman" w:cs="Times New Roman"/>
          <w:b/>
          <w:sz w:val="24"/>
          <w:szCs w:val="24"/>
        </w:rPr>
        <w:fldChar w:fldCharType="end"/>
      </w:r>
      <w:r w:rsidRPr="00FA6886">
        <w:rPr>
          <w:rFonts w:ascii="Times New Roman" w:hAnsi="Times New Roman" w:cs="Times New Roman"/>
          <w:sz w:val="24"/>
          <w:szCs w:val="24"/>
        </w:rPr>
        <w:t xml:space="preserve">. We predicted how total area in different disturbance types, stand age, and tree species in each 250-m cell changed over time in 10-year increments, then used the 250-m raster layer outputs of these variables as inputs to the models run for Canada Warbler and Wood Thrush in each species’ management units. From these prediction layers, we produced raster layers of mean density and of standard deviation in density within 250-m cells for each time step, scenario, and study area. To reduce the influence of a specific simulation run on projected numbers of each species, we ran the LANDIS scenarios in each study area five times, each time retaining 250 density predictions, a mean density layer, and a standard deviation layer for density in each time step, scenario, and study area. </w:t>
      </w:r>
    </w:p>
    <w:p w14:paraId="79C654DE" w14:textId="2CD10097" w:rsidR="008634CB" w:rsidRPr="00FB5F35" w:rsidRDefault="00000000">
      <w:pPr>
        <w:pStyle w:val="Heading3"/>
        <w:rPr>
          <w:rFonts w:ascii="Times New Roman" w:eastAsia="Times New Roman" w:hAnsi="Times New Roman" w:cs="Times New Roman"/>
          <w:sz w:val="24"/>
          <w:szCs w:val="24"/>
        </w:rPr>
      </w:pPr>
      <w:bookmarkStart w:id="1" w:name="_heading=h.k4m5m1u4g3kj" w:colFirst="0" w:colLast="0"/>
      <w:bookmarkEnd w:id="1"/>
      <w:r w:rsidRPr="00FB5F35">
        <w:rPr>
          <w:rFonts w:ascii="Times New Roman" w:eastAsia="Times New Roman" w:hAnsi="Times New Roman" w:cs="Times New Roman"/>
          <w:sz w:val="24"/>
          <w:szCs w:val="24"/>
        </w:rPr>
        <w:t>Alberta LANDIS Scenarios</w:t>
      </w:r>
      <w:r w:rsidR="00F648A5">
        <w:rPr>
          <w:rFonts w:ascii="Times New Roman" w:eastAsia="Times New Roman" w:hAnsi="Times New Roman" w:cs="Times New Roman"/>
          <w:sz w:val="24"/>
          <w:szCs w:val="24"/>
        </w:rPr>
        <w:t xml:space="preserve"> (Canada Warbler)</w:t>
      </w:r>
    </w:p>
    <w:p w14:paraId="48B2D4FD" w14:textId="77777777" w:rsidR="008634CB" w:rsidRDefault="00000000" w:rsidP="00F648A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northeastern Alberta, we examined 9 combinations of 3 climate scenarios (baseline, RCP 4.5, RCP 8.5) and 3 harvest scenarios (no new harvest, baseline clear-cut [applied to 0.3 % of harvestable upland per year], </w:t>
      </w:r>
      <w:proofErr w:type="gramStart"/>
      <w:r>
        <w:rPr>
          <w:rFonts w:ascii="Times New Roman" w:eastAsia="Times New Roman" w:hAnsi="Times New Roman" w:cs="Times New Roman"/>
          <w:sz w:val="24"/>
          <w:szCs w:val="24"/>
        </w:rPr>
        <w:t>high-intensity</w:t>
      </w:r>
      <w:proofErr w:type="gramEnd"/>
      <w:r>
        <w:rPr>
          <w:rFonts w:ascii="Times New Roman" w:eastAsia="Times New Roman" w:hAnsi="Times New Roman" w:cs="Times New Roman"/>
          <w:sz w:val="24"/>
          <w:szCs w:val="24"/>
        </w:rPr>
        <w:t xml:space="preserve"> clear-cut [applied to 0.6 % of harvestable upland per year]) (Table 2). We used the Alberta-Pacific Forest Industries Ltd. Forest Management Area (Al-Pac FMA) to define the scenario area (~6,400,000 ha). We only simulated clear-cutting as it is the most frequently used harvest strategy in the Al-Pac FMA (https://alpac.ca/index.php/forest-sustainability/forest-planning). Only stands in harvestable upland areas (~2,000,000 ha) older than 60 years old were harvested. When harvested, clear-cutting was simulated to remove all age cohorts present except for the 0- to 10-year age cohort. Mean harvested patch size and total harvested area were summarized by forest management units (FMUs). Harvesting parameters were held constant throughout the simulations. In addition to harvest, we simulated effects of fire, wind, and drought on tree species cohort mortality, and </w:t>
      </w:r>
      <w:r>
        <w:rPr>
          <w:rFonts w:ascii="Times New Roman" w:eastAsia="Times New Roman" w:hAnsi="Times New Roman" w:cs="Times New Roman"/>
          <w:sz w:val="24"/>
          <w:szCs w:val="24"/>
        </w:rPr>
        <w:lastRenderedPageBreak/>
        <w:t>allowed parameters for these disturbances to vary under different climate scenarios. More details of these scenarios in Alberta can also be found in Cadieux et al. (2020).</w:t>
      </w:r>
    </w:p>
    <w:p w14:paraId="0FA1CFFF" w14:textId="5ABF61DF" w:rsidR="008634CB" w:rsidRPr="00FB5F35" w:rsidRDefault="00000000">
      <w:pPr>
        <w:pStyle w:val="Heading3"/>
        <w:rPr>
          <w:rFonts w:ascii="Times New Roman" w:eastAsia="Times New Roman" w:hAnsi="Times New Roman" w:cs="Times New Roman"/>
          <w:bCs/>
          <w:sz w:val="24"/>
          <w:szCs w:val="24"/>
        </w:rPr>
      </w:pPr>
      <w:r w:rsidRPr="00FB5F35">
        <w:rPr>
          <w:rFonts w:ascii="Times New Roman" w:eastAsia="Times New Roman" w:hAnsi="Times New Roman" w:cs="Times New Roman"/>
          <w:bCs/>
          <w:sz w:val="24"/>
          <w:szCs w:val="24"/>
        </w:rPr>
        <w:t>Nova Scotia LANDIS Scenarios</w:t>
      </w:r>
      <w:r w:rsidR="00F648A5">
        <w:rPr>
          <w:rFonts w:ascii="Times New Roman" w:eastAsia="Times New Roman" w:hAnsi="Times New Roman" w:cs="Times New Roman"/>
          <w:bCs/>
          <w:sz w:val="24"/>
          <w:szCs w:val="24"/>
        </w:rPr>
        <w:t xml:space="preserve"> (Canada Warbler)</w:t>
      </w:r>
    </w:p>
    <w:p w14:paraId="4DB51432" w14:textId="77777777" w:rsidR="008634CB" w:rsidRDefault="00000000" w:rsidP="00F648A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We examined 18 combinations of 3 climate scenarios (baseline, RCP 4.5, RCP 8.5) and 6 harvest scenarios (no new harvest, low [50 % historic] partial harvest, low [50 % historic] clear-cut, high [historic] partial harvest, </w:t>
      </w:r>
      <w:r>
        <w:rPr>
          <w:rFonts w:ascii="Times New Roman" w:eastAsia="Times New Roman" w:hAnsi="Times New Roman" w:cs="Times New Roman"/>
          <w:sz w:val="24"/>
          <w:szCs w:val="24"/>
        </w:rPr>
        <w:t xml:space="preserve">ecosystem-based forest management, </w:t>
      </w:r>
      <w:r>
        <w:rPr>
          <w:rFonts w:ascii="Times New Roman" w:eastAsia="Times New Roman" w:hAnsi="Times New Roman" w:cs="Times New Roman"/>
          <w:color w:val="000000"/>
          <w:sz w:val="24"/>
          <w:szCs w:val="24"/>
        </w:rPr>
        <w:t xml:space="preserve">high [historic] clear-cut) (Table 1). These scenarios also simulated natural disturbance by fire, windthrow, and spruce budworm outbreaks, which varied under different climate scenarios. </w:t>
      </w:r>
      <w:r>
        <w:rPr>
          <w:rFonts w:ascii="Times New Roman" w:eastAsia="Times New Roman" w:hAnsi="Times New Roman" w:cs="Times New Roman"/>
          <w:sz w:val="24"/>
          <w:szCs w:val="24"/>
        </w:rPr>
        <w:t>Both “low” and “high clear-cut” assumed a minimum stand age of 60 years, equal probability of selection for harvesting across tree species, and 90% removal of all tree species within a harvested stand. A maximum of 6% of each 250-m pixel occurred in harvested stands in “low clear-cut” scenarios, while a maximum of 12% of each 250-m pixel occurred in harvested stands in “high clear-cut” scenarios. Both “low” and “high partial-cut” assumed a minimum stand age of 50 years, equal probability of selection for harvesting across tree species, and 40% removal of all tree species within a harvested stand. A maximum of 6% of each 250-m pixel occurred in harvested stands in “low partial-cut” scenarios, while a maximum of 12% of each 250-m pixel occurred in harvested stands in “high partial-cut” scenarios. In “</w:t>
      </w:r>
      <w:proofErr w:type="gramStart"/>
      <w:r>
        <w:rPr>
          <w:rFonts w:ascii="Times New Roman" w:eastAsia="Times New Roman" w:hAnsi="Times New Roman" w:cs="Times New Roman"/>
          <w:color w:val="000000"/>
          <w:sz w:val="24"/>
          <w:szCs w:val="24"/>
        </w:rPr>
        <w:t>Ecosystem-based forest</w:t>
      </w:r>
      <w:proofErr w:type="gramEnd"/>
      <w:r>
        <w:rPr>
          <w:rFonts w:ascii="Times New Roman" w:eastAsia="Times New Roman" w:hAnsi="Times New Roman" w:cs="Times New Roman"/>
          <w:color w:val="000000"/>
          <w:sz w:val="24"/>
          <w:szCs w:val="24"/>
        </w:rPr>
        <w:t xml:space="preserve"> management</w:t>
      </w:r>
      <w:r>
        <w:rPr>
          <w:rFonts w:ascii="Times New Roman" w:eastAsia="Times New Roman" w:hAnsi="Times New Roman" w:cs="Times New Roman"/>
          <w:sz w:val="24"/>
          <w:szCs w:val="24"/>
        </w:rPr>
        <w:t xml:space="preserve">” scenarios, harvest consisted of </w:t>
      </w:r>
      <w:r>
        <w:rPr>
          <w:rFonts w:ascii="Times New Roman" w:eastAsia="Times New Roman" w:hAnsi="Times New Roman" w:cs="Times New Roman"/>
          <w:color w:val="000000"/>
          <w:sz w:val="24"/>
          <w:szCs w:val="24"/>
        </w:rPr>
        <w:t xml:space="preserve">a mixture of clear-cuts (harvestable stands </w:t>
      </w:r>
      <w:r>
        <w:rPr>
          <w:rFonts w:ascii="Times New Roman" w:eastAsia="Times New Roman" w:hAnsi="Times New Roman" w:cs="Times New Roman"/>
          <w:sz w:val="24"/>
          <w:szCs w:val="24"/>
        </w:rPr>
        <w:t>up to 8% of each 250-m pixel) and partial-cutting (harvestable stands up to 2% of each 250-m pixel). Up to</w:t>
      </w:r>
      <w:r>
        <w:rPr>
          <w:rFonts w:ascii="Times New Roman" w:eastAsia="Times New Roman" w:hAnsi="Times New Roman" w:cs="Times New Roman"/>
          <w:color w:val="000000"/>
          <w:sz w:val="24"/>
          <w:szCs w:val="24"/>
        </w:rPr>
        <w:t xml:space="preserve"> 40 % and 90% of trees were removed with</w:t>
      </w:r>
      <w:r>
        <w:rPr>
          <w:rFonts w:ascii="Times New Roman" w:eastAsia="Times New Roman" w:hAnsi="Times New Roman" w:cs="Times New Roman"/>
          <w:sz w:val="24"/>
          <w:szCs w:val="24"/>
        </w:rPr>
        <w:t xml:space="preserve">in partial-cut and clear-cut stands, respectively, with </w:t>
      </w:r>
      <w:r>
        <w:rPr>
          <w:rFonts w:ascii="Times New Roman" w:eastAsia="Times New Roman" w:hAnsi="Times New Roman" w:cs="Times New Roman"/>
          <w:color w:val="000000"/>
          <w:sz w:val="24"/>
          <w:szCs w:val="24"/>
        </w:rPr>
        <w:t xml:space="preserve">a minimum </w:t>
      </w:r>
      <w:r>
        <w:rPr>
          <w:rFonts w:ascii="Times New Roman" w:eastAsia="Times New Roman" w:hAnsi="Times New Roman" w:cs="Times New Roman"/>
          <w:sz w:val="24"/>
          <w:szCs w:val="24"/>
        </w:rPr>
        <w:t>stand age of 30-80</w:t>
      </w:r>
      <w:r>
        <w:rPr>
          <w:rFonts w:ascii="Times New Roman" w:eastAsia="Times New Roman" w:hAnsi="Times New Roman" w:cs="Times New Roman"/>
          <w:color w:val="000000"/>
          <w:sz w:val="24"/>
          <w:szCs w:val="24"/>
        </w:rPr>
        <w:t xml:space="preserve"> years depending on the species. Harvest </w:t>
      </w:r>
      <w:r>
        <w:rPr>
          <w:rFonts w:ascii="Times New Roman" w:eastAsia="Times New Roman" w:hAnsi="Times New Roman" w:cs="Times New Roman"/>
          <w:sz w:val="24"/>
          <w:szCs w:val="24"/>
        </w:rPr>
        <w:t>rates under ecosystem-based forest management were higher than in other harvest scenarios except for high clear-cut.</w:t>
      </w:r>
    </w:p>
    <w:p w14:paraId="166E98A8" w14:textId="77777777" w:rsidR="008634CB" w:rsidRDefault="00000000">
      <w:pPr>
        <w:rPr>
          <w:b/>
        </w:rPr>
      </w:pPr>
      <w:r>
        <w:t xml:space="preserve">     </w:t>
      </w:r>
    </w:p>
    <w:p w14:paraId="2BE32D0A" w14:textId="604407B6" w:rsidR="008634CB" w:rsidRPr="00FB5F35" w:rsidRDefault="00000000">
      <w:pPr>
        <w:pStyle w:val="Heading3"/>
        <w:rPr>
          <w:rFonts w:ascii="Times New Roman" w:eastAsia="Times New Roman" w:hAnsi="Times New Roman" w:cs="Times New Roman"/>
          <w:bCs/>
          <w:sz w:val="24"/>
          <w:szCs w:val="24"/>
        </w:rPr>
      </w:pPr>
      <w:r w:rsidRPr="00FB5F35">
        <w:rPr>
          <w:rFonts w:ascii="Times New Roman" w:eastAsia="Times New Roman" w:hAnsi="Times New Roman" w:cs="Times New Roman"/>
          <w:bCs/>
          <w:sz w:val="24"/>
          <w:szCs w:val="24"/>
        </w:rPr>
        <w:t>Quebec</w:t>
      </w:r>
      <w:r w:rsidRPr="00FB5F35">
        <w:rPr>
          <w:bCs/>
        </w:rPr>
        <w:t xml:space="preserve"> </w:t>
      </w:r>
      <w:r w:rsidRPr="00FB5F35">
        <w:rPr>
          <w:rFonts w:ascii="Times New Roman" w:eastAsia="Times New Roman" w:hAnsi="Times New Roman" w:cs="Times New Roman"/>
          <w:bCs/>
          <w:sz w:val="24"/>
          <w:szCs w:val="24"/>
        </w:rPr>
        <w:t>LANDIS Scenarios</w:t>
      </w:r>
      <w:r w:rsidR="00F648A5">
        <w:rPr>
          <w:rFonts w:ascii="Times New Roman" w:eastAsia="Times New Roman" w:hAnsi="Times New Roman" w:cs="Times New Roman"/>
          <w:bCs/>
          <w:sz w:val="24"/>
          <w:szCs w:val="24"/>
        </w:rPr>
        <w:t xml:space="preserve"> (Wood Thrush)</w:t>
      </w:r>
    </w:p>
    <w:p w14:paraId="4543A177" w14:textId="77777777" w:rsidR="008634CB" w:rsidRDefault="00000000" w:rsidP="00F648A5">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For the Wood Thrush study, six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scenarios were used from southern Quebec; these scenarios are described in detail in Boulanger and </w:t>
      </w:r>
      <w:proofErr w:type="spellStart"/>
      <w:r>
        <w:rPr>
          <w:rFonts w:ascii="Times New Roman" w:eastAsia="Times New Roman" w:hAnsi="Times New Roman" w:cs="Times New Roman"/>
          <w:color w:val="000000"/>
          <w:sz w:val="24"/>
          <w:szCs w:val="24"/>
        </w:rPr>
        <w:t>Puigdevall</w:t>
      </w:r>
      <w:proofErr w:type="spellEnd"/>
      <w:r>
        <w:rPr>
          <w:rFonts w:ascii="Times New Roman" w:eastAsia="Times New Roman" w:hAnsi="Times New Roman" w:cs="Times New Roman"/>
          <w:color w:val="000000"/>
          <w:sz w:val="24"/>
          <w:szCs w:val="24"/>
        </w:rPr>
        <w:t xml:space="preserve"> (2021). The six scenarios in Quebec consisted of combinations of three climate scenarios (baseline, RCP 4.5, RCP 8.5) and two harvest scenarios (harvest vs. no new harvest) in which the harvest regime consisted of ecosystem-based forest management. </w:t>
      </w:r>
      <w:r>
        <w:rPr>
          <w:rFonts w:ascii="Times New Roman" w:eastAsia="Times New Roman" w:hAnsi="Times New Roman" w:cs="Times New Roman"/>
          <w:sz w:val="24"/>
          <w:szCs w:val="24"/>
        </w:rPr>
        <w:t xml:space="preserve">Depending on location, five different harvest strategies were used: 1) up to 18.75% of each 250-m pixel available for harvest with up to 40% of trees removed and a minimum stand age of 60 (“CPIF”); 2) up to 30% of each 250-m pixel available for harvest with up to 25% of trees removed and a minimum stand age of 60 (“JARD”); 3) harvest dominated by clear-cut (90% of trees removed on 7.5% of each 250-m pixel) and secondarily by partial-cut (40% of trees removed on 2.5% of each 250-m pixel) (“CT/CPIR”); 4) harvest dominated by partial-cut (40% of trees removed on 12.5% of each 250-m pixel) and secondarily by clear-cut (90% of trees removed on 4.2% of each 250-m pixel) (“CT/CPIR”); and 5) 40 % of trees removed on 12.5% of each 250-m pixel. </w:t>
      </w:r>
    </w:p>
    <w:p w14:paraId="4E961AFC" w14:textId="77777777" w:rsidR="008634CB" w:rsidRDefault="008634CB">
      <w:pPr>
        <w:ind w:firstLine="357"/>
        <w:rPr>
          <w:rFonts w:ascii="Times New Roman" w:eastAsia="Times New Roman" w:hAnsi="Times New Roman" w:cs="Times New Roman"/>
          <w:sz w:val="24"/>
          <w:szCs w:val="24"/>
        </w:rPr>
      </w:pPr>
    </w:p>
    <w:p w14:paraId="6F961DB2" w14:textId="59ECCC3F" w:rsidR="008634CB" w:rsidRPr="00FB5F35" w:rsidRDefault="00000000" w:rsidP="00FB5F35">
      <w:pPr>
        <w:pStyle w:val="Heading3"/>
        <w:rPr>
          <w:rFonts w:ascii="Times New Roman" w:hAnsi="Times New Roman" w:cs="Times New Roman"/>
          <w:sz w:val="24"/>
          <w:szCs w:val="24"/>
        </w:rPr>
      </w:pPr>
      <w:r w:rsidRPr="00FB5F35">
        <w:rPr>
          <w:rFonts w:ascii="Times New Roman" w:hAnsi="Times New Roman" w:cs="Times New Roman"/>
          <w:sz w:val="24"/>
          <w:szCs w:val="24"/>
        </w:rPr>
        <w:lastRenderedPageBreak/>
        <w:t xml:space="preserve">New Brunswick </w:t>
      </w:r>
      <w:r w:rsidR="00F648A5">
        <w:rPr>
          <w:rFonts w:ascii="Times New Roman" w:hAnsi="Times New Roman" w:cs="Times New Roman"/>
          <w:sz w:val="24"/>
          <w:szCs w:val="24"/>
        </w:rPr>
        <w:t xml:space="preserve">LANDIS </w:t>
      </w:r>
      <w:r w:rsidRPr="00FB5F35">
        <w:rPr>
          <w:rFonts w:ascii="Times New Roman" w:hAnsi="Times New Roman" w:cs="Times New Roman"/>
          <w:sz w:val="24"/>
          <w:szCs w:val="24"/>
        </w:rPr>
        <w:t>Scenarios</w:t>
      </w:r>
      <w:r w:rsidR="00F648A5">
        <w:rPr>
          <w:rFonts w:ascii="Times New Roman" w:hAnsi="Times New Roman" w:cs="Times New Roman"/>
          <w:sz w:val="24"/>
          <w:szCs w:val="24"/>
        </w:rPr>
        <w:t xml:space="preserve"> (Wood Thrush)</w:t>
      </w:r>
    </w:p>
    <w:p w14:paraId="6CFE21EF" w14:textId="77777777" w:rsidR="008634CB" w:rsidRDefault="00000000" w:rsidP="00F648A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scenarios were used from New Brunswick, consisting of a harvest scenario (1 % clear-cut per year) under three different climate scenarios (baseline, RCP 4.5, RCP 8.5). Up to 10% of each 250-m pixel was available for harvest with 90% of trees removed within stands, respectively, with a minimum stand age of 60 years. </w:t>
      </w:r>
    </w:p>
    <w:p w14:paraId="6C68B9CB" w14:textId="1E4DBA58" w:rsidR="008634CB" w:rsidRPr="00FB5F35" w:rsidRDefault="00000000" w:rsidP="00FB5F35">
      <w:pPr>
        <w:pStyle w:val="Heading3"/>
        <w:rPr>
          <w:rFonts w:ascii="Times New Roman" w:hAnsi="Times New Roman" w:cs="Times New Roman"/>
          <w:sz w:val="24"/>
          <w:szCs w:val="24"/>
        </w:rPr>
      </w:pPr>
      <w:r w:rsidRPr="00FB5F35">
        <w:rPr>
          <w:rFonts w:ascii="Times New Roman" w:hAnsi="Times New Roman" w:cs="Times New Roman"/>
          <w:sz w:val="24"/>
          <w:szCs w:val="24"/>
        </w:rPr>
        <w:t xml:space="preserve">Nova Scotia </w:t>
      </w:r>
      <w:r w:rsidR="00F648A5">
        <w:rPr>
          <w:rFonts w:ascii="Times New Roman" w:hAnsi="Times New Roman" w:cs="Times New Roman"/>
          <w:sz w:val="24"/>
          <w:szCs w:val="24"/>
        </w:rPr>
        <w:t xml:space="preserve">LANDIS </w:t>
      </w:r>
      <w:r w:rsidRPr="00FB5F35">
        <w:rPr>
          <w:rFonts w:ascii="Times New Roman" w:hAnsi="Times New Roman" w:cs="Times New Roman"/>
          <w:sz w:val="24"/>
          <w:szCs w:val="24"/>
        </w:rPr>
        <w:t>Scenarios</w:t>
      </w:r>
      <w:r w:rsidR="00F648A5">
        <w:rPr>
          <w:rFonts w:ascii="Times New Roman" w:hAnsi="Times New Roman" w:cs="Times New Roman"/>
          <w:sz w:val="24"/>
          <w:szCs w:val="24"/>
        </w:rPr>
        <w:t xml:space="preserve"> (Wood Thrush)</w:t>
      </w:r>
    </w:p>
    <w:p w14:paraId="08AC9736" w14:textId="77777777" w:rsidR="008634CB" w:rsidRDefault="00000000" w:rsidP="00F648A5">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For Nova Scotia, there were 9 combinations of 3 climate scenarios (baseline, RCP 4.5, RCP 8.5) and 3 harvest scenarios (no new harvest, ecosystem-based forest management, and the high [historic] clear-cut scenarios used for Canada Warbler in northern Nova Scotia) run.  We used some of the Nova Scotia LANDIS scenarios as those used for Canada Warbler, except that we extracted future land cover predictions for southern Nova Scotia rather than northern Nova Scotia, due to differences in the regional model boundaries for each species. Besides harvest, these scenarios also simulated disturbance by fire and spruce budworm outbreaks, which varied under different climate scenarios.</w:t>
      </w:r>
    </w:p>
    <w:p w14:paraId="6031ACD6" w14:textId="77777777"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Outputs from the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scenarios included raster layers showing how total area in different disturbance types, stand age, and tree species changed over time in 10-year increments. To reduce the influence of a specific simulation run on projected Wood Thrush numbers, each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 was run in each study area five times, resulting in a new set of raster layers. These raster outputs were then used as inputs to the 250 BRTs for Wood Thrush in each study region to get 250 prediction layers of Wood Thrush densities for each time step, scenario, and simulation run. From these prediction layers, raster layers of mean Wood Thrush density and of standard deviation in density at 250-m resolution were produced for each scenario, simulation run, and study area. Due to time constraints, the Wood Thrush study used prediction outputs from 2100. As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only simulated change and predicted Wood Thrush density in forested areas, the output </w:t>
      </w:r>
      <w:proofErr w:type="spellStart"/>
      <w:r>
        <w:rPr>
          <w:rFonts w:ascii="Times New Roman" w:eastAsia="Times New Roman" w:hAnsi="Times New Roman" w:cs="Times New Roman"/>
          <w:color w:val="000000"/>
          <w:sz w:val="24"/>
          <w:szCs w:val="24"/>
        </w:rPr>
        <w:t>rasters</w:t>
      </w:r>
      <w:proofErr w:type="spellEnd"/>
      <w:r>
        <w:rPr>
          <w:rFonts w:ascii="Times New Roman" w:eastAsia="Times New Roman" w:hAnsi="Times New Roman" w:cs="Times New Roman"/>
          <w:color w:val="000000"/>
          <w:sz w:val="24"/>
          <w:szCs w:val="24"/>
        </w:rPr>
        <w:t xml:space="preserve"> were filled in using predicted Wood Thrush density mean and standard deviation for non-forested areas from a current density layer. Density predictions &gt; 1 male/ha (&lt;&lt;&lt; 1 % of pixels in all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study areas) were reset to 1 male/ha before generating population estimates and identifying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outputs to use in conservation planning. This threshold value was used based on reported densities of Wood Thrush in the literature (</w:t>
      </w:r>
      <w:r w:rsidRPr="00FB5F35">
        <w:rPr>
          <w:rFonts w:ascii="Times New Roman" w:eastAsia="Times New Roman" w:hAnsi="Times New Roman" w:cs="Times New Roman"/>
          <w:color w:val="000000"/>
          <w:sz w:val="24"/>
          <w:szCs w:val="24"/>
        </w:rPr>
        <w:t xml:space="preserve">Gauthier and </w:t>
      </w:r>
      <w:proofErr w:type="spellStart"/>
      <w:r w:rsidRPr="00FB5F35">
        <w:rPr>
          <w:rFonts w:ascii="Times New Roman" w:eastAsia="Times New Roman" w:hAnsi="Times New Roman" w:cs="Times New Roman"/>
          <w:color w:val="000000"/>
          <w:sz w:val="24"/>
          <w:szCs w:val="24"/>
        </w:rPr>
        <w:t>Aubry</w:t>
      </w:r>
      <w:proofErr w:type="spellEnd"/>
      <w:r w:rsidRPr="00FB5F35">
        <w:rPr>
          <w:rFonts w:ascii="Times New Roman" w:eastAsia="Times New Roman" w:hAnsi="Times New Roman" w:cs="Times New Roman"/>
          <w:color w:val="000000"/>
          <w:sz w:val="24"/>
          <w:szCs w:val="24"/>
        </w:rPr>
        <w:t xml:space="preserve"> 1995, Evans et al. 2020</w:t>
      </w:r>
      <w:r>
        <w:rPr>
          <w:rFonts w:ascii="Times New Roman" w:eastAsia="Times New Roman" w:hAnsi="Times New Roman" w:cs="Times New Roman"/>
          <w:color w:val="000000"/>
          <w:sz w:val="24"/>
          <w:szCs w:val="24"/>
        </w:rPr>
        <w:t>).</w:t>
      </w:r>
    </w:p>
    <w:p w14:paraId="6CC06CC0" w14:textId="3ACEB281" w:rsidR="008634CB" w:rsidRDefault="00000000" w:rsidP="00F648A5">
      <w:pPr>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current population of Wood Thrush was estimated in the parts of each study area that were subject to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simulations, by generating 250 prediction layers of current Wood Thrush density in each study area, then calculating mean and standard deviation from those predictions in each location (250-m pixel). The five mean density layers from each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 in each time step were used to obtain a population estimate in 2100 for the Wood Thrush’s range in Quebec, New Brunswick, and Nova Scotia. The five mean density layers from each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 in each time step were used to obtain a population estimate in 2100 for the Wood Thrush’s range in each province, starting with Quebec and Nova Scotia. Population estimates were made after adjusting unusually high density estimates to a threshold of 1 male/ha based on density observations for Wood Thrush in the literature (</w:t>
      </w:r>
      <w:r w:rsidRPr="00FB5F35">
        <w:rPr>
          <w:rFonts w:ascii="Times New Roman" w:eastAsia="Times New Roman" w:hAnsi="Times New Roman" w:cs="Times New Roman"/>
          <w:color w:val="000000"/>
          <w:sz w:val="24"/>
          <w:szCs w:val="24"/>
        </w:rPr>
        <w:t xml:space="preserve">Gauthier and </w:t>
      </w:r>
      <w:proofErr w:type="spellStart"/>
      <w:r w:rsidRPr="00FB5F35">
        <w:rPr>
          <w:rFonts w:ascii="Times New Roman" w:eastAsia="Times New Roman" w:hAnsi="Times New Roman" w:cs="Times New Roman"/>
          <w:color w:val="000000"/>
          <w:sz w:val="24"/>
          <w:szCs w:val="24"/>
        </w:rPr>
        <w:t>Aubry</w:t>
      </w:r>
      <w:proofErr w:type="spellEnd"/>
      <w:r w:rsidRPr="00FB5F35">
        <w:rPr>
          <w:rFonts w:ascii="Times New Roman" w:eastAsia="Times New Roman" w:hAnsi="Times New Roman" w:cs="Times New Roman"/>
          <w:color w:val="000000"/>
          <w:sz w:val="24"/>
          <w:szCs w:val="24"/>
        </w:rPr>
        <w:t xml:space="preserve"> 1995, Evans et al. 2020</w:t>
      </w:r>
      <w:r>
        <w:rPr>
          <w:rFonts w:ascii="Times New Roman" w:eastAsia="Times New Roman" w:hAnsi="Times New Roman" w:cs="Times New Roman"/>
          <w:color w:val="000000"/>
          <w:sz w:val="24"/>
          <w:szCs w:val="24"/>
        </w:rPr>
        <w:t xml:space="preserve">). </w:t>
      </w:r>
    </w:p>
    <w:p w14:paraId="26A2C6A5" w14:textId="560B5529" w:rsidR="00F648A5" w:rsidRPr="00F648A5" w:rsidRDefault="00F648A5" w:rsidP="00F648A5">
      <w:pPr>
        <w:pStyle w:val="Heading2"/>
        <w:rPr>
          <w:rFonts w:ascii="Times New Roman" w:hAnsi="Times New Roman" w:cs="Times New Roman"/>
          <w:sz w:val="24"/>
          <w:szCs w:val="24"/>
        </w:rPr>
      </w:pPr>
      <w:r w:rsidRPr="00F648A5">
        <w:rPr>
          <w:rFonts w:ascii="Times New Roman" w:hAnsi="Times New Roman" w:cs="Times New Roman"/>
          <w:sz w:val="24"/>
          <w:szCs w:val="24"/>
        </w:rPr>
        <w:lastRenderedPageBreak/>
        <w:t>ALCES Online</w:t>
      </w:r>
    </w:p>
    <w:p w14:paraId="2D18E7E1" w14:textId="7A594709" w:rsidR="008634CB" w:rsidRPr="00FB5F35" w:rsidRDefault="00000000">
      <w:pPr>
        <w:pStyle w:val="Heading3"/>
      </w:pPr>
      <w:r w:rsidRPr="00FB5F35">
        <w:rPr>
          <w:rFonts w:ascii="Times New Roman" w:eastAsia="Times New Roman" w:hAnsi="Times New Roman" w:cs="Times New Roman"/>
          <w:sz w:val="24"/>
          <w:szCs w:val="24"/>
        </w:rPr>
        <w:t>Ontario ALCES Online Scenario</w:t>
      </w:r>
      <w:r w:rsidR="00F648A5">
        <w:rPr>
          <w:rFonts w:ascii="Times New Roman" w:eastAsia="Times New Roman" w:hAnsi="Times New Roman" w:cs="Times New Roman"/>
          <w:sz w:val="24"/>
          <w:szCs w:val="24"/>
        </w:rPr>
        <w:t xml:space="preserve"> (Wood Thrush)</w:t>
      </w:r>
    </w:p>
    <w:p w14:paraId="2F846C65" w14:textId="77777777" w:rsidR="008634CB" w:rsidRPr="00FA6886" w:rsidRDefault="00000000" w:rsidP="00FB5F35">
      <w:pPr>
        <w:rPr>
          <w:rFonts w:ascii="Times New Roman" w:hAnsi="Times New Roman" w:cs="Times New Roman"/>
          <w:b/>
          <w:sz w:val="24"/>
          <w:szCs w:val="24"/>
        </w:rPr>
      </w:pPr>
      <w:r w:rsidRPr="00FA6886">
        <w:rPr>
          <w:rFonts w:ascii="Times New Roman" w:hAnsi="Times New Roman" w:cs="Times New Roman"/>
          <w:sz w:val="24"/>
          <w:szCs w:val="24"/>
        </w:rPr>
        <w:t>As in the LANDIS scenarios, ALCES Online was used to create a single scenario in which forest age was set back temporarily by disturbance. Harvest was the primary disturbance, but depending on the Forest Management Unit, mean forest age, and percentage of coniferous forest, spruce budworm outbreaks and fire were also simulated. All disturbances were temporary and did not result in permanent habitat conversion. Due to time, labour, and financial constraints, only a single land use scenario was developed. Growth rates and spread of individual tree species were not simulated in ALCES Online, nor were differences in disturbance rates due to climate change.</w:t>
      </w:r>
    </w:p>
    <w:p w14:paraId="3FD648B2"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Natural land cover and human footprint layers at 200-m resolution were obtained from the Ontario Ministry of Natural Resources. There was both a set of summarized land cover and footprint layers and a set of detailed land cover and footprint layers. Within each set of layers, the percent covers of all footprint and land cover types added up to 100 % of each pixel. Harvest and other disturbances</w:t>
      </w:r>
      <w:r>
        <w:t xml:space="preserve"> </w:t>
      </w:r>
      <w:r>
        <w:rPr>
          <w:rFonts w:ascii="Times New Roman" w:eastAsia="Times New Roman" w:hAnsi="Times New Roman" w:cs="Times New Roman"/>
          <w:sz w:val="24"/>
          <w:szCs w:val="24"/>
        </w:rPr>
        <w:t xml:space="preserve">were simulated within deciduous, mixed-wood, coniferous, and undifferentiated forests and in plantations but not in treed wetlands or non-forest land cover types. </w:t>
      </w:r>
    </w:p>
    <w:p w14:paraId="1AAF9EB2" w14:textId="1727348A" w:rsidR="008634CB" w:rsidRPr="00F648A5" w:rsidRDefault="00000000" w:rsidP="00FB5F35">
      <w:pPr>
        <w:ind w:firstLine="720"/>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sz w:val="24"/>
          <w:szCs w:val="24"/>
        </w:rPr>
        <w:t>We created a forest age raster layer (as of 2020: year 0 of the ALCES Online scenarios) at 200-m resolution in the program R, using a forest stand age layer from 2011</w:t>
      </w:r>
      <w:r w:rsidR="00157A5D">
        <w:rPr>
          <w:rFonts w:ascii="Times New Roman" w:eastAsia="Times New Roman" w:hAnsi="Times New Roman" w:cs="Times New Roman"/>
          <w:sz w:val="24"/>
          <w:szCs w:val="24"/>
        </w:rPr>
        <w:t xml:space="preserve"> </w:t>
      </w:r>
      <w:r w:rsidR="00157A5D">
        <w:rPr>
          <w:rFonts w:ascii="Times New Roman" w:eastAsia="Times New Roman" w:hAnsi="Times New Roman" w:cs="Times New Roman"/>
          <w:sz w:val="24"/>
          <w:szCs w:val="24"/>
        </w:rPr>
        <w:fldChar w:fldCharType="begin"/>
      </w:r>
      <w:r w:rsidR="00157A5D">
        <w:rPr>
          <w:rFonts w:ascii="Times New Roman" w:eastAsia="Times New Roman" w:hAnsi="Times New Roman" w:cs="Times New Roman"/>
          <w:sz w:val="24"/>
          <w:szCs w:val="24"/>
        </w:rPr>
        <w:instrText xml:space="preserve"> ADDIN ZOTERO_ITEM CSL_CITATION {"citationID":"hBFxJkFT","properties":{"formattedCitation":"(Beaudoin et al. 2014)","plainCitation":"(Beaudoin et al. 2014)","noteIndex":0},"citationItems":[{"id":92,"uris":["http://zotero.org/groups/4916363/items/BEZDZWFD"],"itemData":{"id":92,"type":"article-journal","abstract":"Canada’s National Forest Inventory (NFI) sampling program is designed to support reporting on forests at the national scale. On the other hand, continuous maps of forest attributes are required to support strategic analyses of regional policy and management issues. We have therefore produced maps covering 4.03 × 106 km2 of inventoried forest area for the 2001 base year using standardised observations from the NFI photo plots (PP) as reference data. We used the k nearest neighbours (kNN) method with 26 geospatial data layers including MODIS spectral data and climatic and topographic variables to produce maps of 127 forest attributes at a 250 × 250 m resolution. The stand-level attributes include land cover, structure, and tree species relative abundance. In this article, we report only on total live aboveground tree biomass, with all other attributes covered in the supplementary data (Supplementary Material). In general, deviations in predicted pixel-level values from those in a PP validation set are greater in mountainous regions and in areas with either low biomass or sparse PP sampling. Predicted pixel-level values are overestimated at small observed values and underestimated at large ones. Accuracy measures are improved through the spatial aggregation of pixels to 1 km2 and beyond. Overall, these new products provide unique baseline information for strategic-level analyses of forests (https://nfi.nfis.org).","container-title":"Canadian Journal of Forest Research","DOI":"10.1139/cjfr-2013-0401","ISSN":"0045-5067","issue":"5","journalAbbreviation":"Can. J. For. Res.","note":"publisher: NRC Research Press","page":"521-532","source":"cdnsciencepub.com (Atypon)","title":"Mapping attributes of Canada’s forests at moderate resolution through kNN and MODIS imagery","volume":"44","author":[{"family":"Beaudoin","given":"A."},{"family":"Bernier","given":"P.Y."},{"family":"Guindon","given":"L."},{"family":"Villemaire","given":"P."},{"family":"Guo","given":"X.J."},{"family":"Stinson","given":"G."},{"family":"Bergeron","given":"T."},{"family":"Magnussen","given":"S."},{"family":"Hall","given":"R.J."}],"issued":{"date-parts":[["2014",5]]}}}],"schema":"https://github.com/citation-style-language/schema/raw/master/csl-citation.json"} </w:instrText>
      </w:r>
      <w:r w:rsidR="00157A5D">
        <w:rPr>
          <w:rFonts w:ascii="Times New Roman" w:eastAsia="Times New Roman" w:hAnsi="Times New Roman" w:cs="Times New Roman"/>
          <w:sz w:val="24"/>
          <w:szCs w:val="24"/>
        </w:rPr>
        <w:fldChar w:fldCharType="separate"/>
      </w:r>
      <w:r w:rsidR="00157A5D" w:rsidRPr="00157A5D">
        <w:rPr>
          <w:rFonts w:ascii="Times New Roman" w:hAnsi="Times New Roman" w:cs="Times New Roman"/>
          <w:sz w:val="24"/>
        </w:rPr>
        <w:t>(Beaudoin et al. 2014)</w:t>
      </w:r>
      <w:r w:rsidR="00157A5D">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resampled to 200-m resolution. After adding 9 to each pixel’s value to obtain the default stand age as of 2020, we rasterized and overlaid harvest shapefile data (</w:t>
      </w:r>
      <w:r w:rsidRPr="00F648A5">
        <w:rPr>
          <w:rFonts w:ascii="Times New Roman" w:eastAsia="Times New Roman" w:hAnsi="Times New Roman" w:cs="Times New Roman"/>
          <w:sz w:val="24"/>
          <w:szCs w:val="24"/>
        </w:rPr>
        <w:t xml:space="preserve">Ontario Ministry of Natural Resources’ Forest Research Institute 2021) to correct stand age within cut-blocks as of 2020. Similarly, we rasterized and overlaid insect outbreak and fire shapefile data (Ontario Forest Resource Inventory 2021) to correct stand age as of 2020 within outbreak areas described as tree mortality events and within burns. Finally, we used recent land cover layers for Ontario in 2020 (AAFC 2021) to correct stand age in areas where forests were replaced by non-forestry land uses since 2011 (wherever total forest cover = 0). </w:t>
      </w:r>
    </w:p>
    <w:p w14:paraId="5E67D7D2" w14:textId="77777777" w:rsidR="008634CB" w:rsidRPr="00F648A5"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 xml:space="preserve">We ran the ALCES Online scenario separately for each Ontario FMU within the Wood Thrush’s range in Ontario, since the entire range of the Wood Thrush in Ontario was too large to run scenarios at 200-m resolution. Part of the Wood Thrush’s southeastern Ontario range occurs outside of the FMUs in urban and agricultural landscapes. In this area, most forestry occurs on private woodlots. </w:t>
      </w:r>
    </w:p>
    <w:p w14:paraId="50CF863A" w14:textId="77777777" w:rsidR="008634CB" w:rsidRPr="00F648A5" w:rsidRDefault="00000000" w:rsidP="00FB5F35">
      <w:pPr>
        <w:ind w:firstLine="720"/>
        <w:rPr>
          <w:rFonts w:ascii="Times New Roman" w:eastAsia="Times New Roman" w:hAnsi="Times New Roman" w:cs="Times New Roman"/>
          <w:sz w:val="24"/>
          <w:szCs w:val="24"/>
        </w:rPr>
      </w:pPr>
      <w:bookmarkStart w:id="3" w:name="_heading=h.3znysh7" w:colFirst="0" w:colLast="0"/>
      <w:bookmarkEnd w:id="3"/>
      <w:r w:rsidRPr="00F648A5">
        <w:rPr>
          <w:rFonts w:ascii="Times New Roman" w:eastAsia="Times New Roman" w:hAnsi="Times New Roman" w:cs="Times New Roman"/>
          <w:sz w:val="24"/>
          <w:szCs w:val="24"/>
        </w:rPr>
        <w:t xml:space="preserve">Harvest on Crown lands was estimated from GIS data for FMUs from the Ontario Ministry of Natural Resources’ Forest Research Institute (OMNDMNRF 2021). In ArcGIS, separate shapefiles were compiled for clear-cut, shelterwood, and selective logging polygons representing cut-blocks harvested from 1990 – 2019, then intersected with an FMU boundary shapefile clipped to the Wood Thrush’s range in Ontario. The attribute table of each intersection was exported and in R, the harvest polygons were filtered to those harvested from 2010-2019. Total decadal harvest area, mean harvest size, and maximum harvest polygon size were summarized separately for each FMU and the Wood Thrush range in Ontario southeast of the </w:t>
      </w:r>
      <w:r w:rsidRPr="00F648A5">
        <w:rPr>
          <w:rFonts w:ascii="Times New Roman" w:eastAsia="Times New Roman" w:hAnsi="Times New Roman" w:cs="Times New Roman"/>
          <w:sz w:val="24"/>
          <w:szCs w:val="24"/>
        </w:rPr>
        <w:lastRenderedPageBreak/>
        <w:t xml:space="preserve">FMUs for each harvest type (clear-cutting, shelterwood, selective logging). Due to the large number of FMUs in which the scenario was separately run, mean harvest </w:t>
      </w:r>
      <w:proofErr w:type="gramStart"/>
      <w:r w:rsidRPr="00F648A5">
        <w:rPr>
          <w:rFonts w:ascii="Times New Roman" w:eastAsia="Times New Roman" w:hAnsi="Times New Roman" w:cs="Times New Roman"/>
          <w:sz w:val="24"/>
          <w:szCs w:val="24"/>
        </w:rPr>
        <w:t>size</w:t>
      </w:r>
      <w:proofErr w:type="gramEnd"/>
      <w:r w:rsidRPr="00F648A5">
        <w:rPr>
          <w:rFonts w:ascii="Times New Roman" w:eastAsia="Times New Roman" w:hAnsi="Times New Roman" w:cs="Times New Roman"/>
          <w:sz w:val="24"/>
          <w:szCs w:val="24"/>
        </w:rPr>
        <w:t xml:space="preserve"> and total area disturbed per decade were used rather than a size class distribution to model disturbances in each FMU, to make analyses more reproducible. </w:t>
      </w:r>
    </w:p>
    <w:p w14:paraId="445D5156" w14:textId="77777777" w:rsidR="008634CB" w:rsidRPr="00F648A5"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Clear-cutting from 2010-2019 was commonplace in FMUs in western Ontario but was negligible (~0%) in the easternmost FMUs. Simulated clear-cuts were assumed to remove up to 90 % of trees (36,000 m</w:t>
      </w:r>
      <w:r w:rsidRPr="00F648A5">
        <w:rPr>
          <w:rFonts w:ascii="Times New Roman" w:eastAsia="Times New Roman" w:hAnsi="Times New Roman" w:cs="Times New Roman"/>
          <w:sz w:val="24"/>
          <w:szCs w:val="24"/>
          <w:vertAlign w:val="superscript"/>
        </w:rPr>
        <w:t>2</w:t>
      </w:r>
      <w:r w:rsidRPr="00F648A5">
        <w:rPr>
          <w:rFonts w:ascii="Times New Roman" w:eastAsia="Times New Roman" w:hAnsi="Times New Roman" w:cs="Times New Roman"/>
          <w:sz w:val="24"/>
          <w:szCs w:val="24"/>
        </w:rPr>
        <w:t xml:space="preserve">) of a fully forested 200-m pixel, reset mean stand age to 10 years (since on-site shrubs and saplings up to 10 years old would remain), and be conducted in pixels with a minimum stand age of 60 years where total coniferous, deciduous, and undifferentiated tree cover was 50 % or more. Simulated clear-cuts did not occur in forested wetlands or mixed-wood forests. Clear-cutting is often recommended for boreal coniferous trees and some faster-growing, shade-intolerant deciduous trees (e. g. aspen, poplar), so would be likelier to be practiced in stands classified as coniferous or deciduous but not mixed-wood. </w:t>
      </w:r>
    </w:p>
    <w:p w14:paraId="4B062A28" w14:textId="77777777" w:rsidR="008634CB" w:rsidRPr="00F648A5"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Shelterwood harvesting was virtually confined to eastern FMUs. Simulated shelterwood harvest was assumed to remove up to 50 % trees (20,000 m</w:t>
      </w:r>
      <w:r w:rsidRPr="00F648A5">
        <w:rPr>
          <w:rFonts w:ascii="Times New Roman" w:eastAsia="Times New Roman" w:hAnsi="Times New Roman" w:cs="Times New Roman"/>
          <w:sz w:val="24"/>
          <w:szCs w:val="24"/>
          <w:vertAlign w:val="superscript"/>
        </w:rPr>
        <w:t>2</w:t>
      </w:r>
      <w:r w:rsidRPr="00F648A5">
        <w:rPr>
          <w:rFonts w:ascii="Times New Roman" w:eastAsia="Times New Roman" w:hAnsi="Times New Roman" w:cs="Times New Roman"/>
          <w:sz w:val="24"/>
          <w:szCs w:val="24"/>
        </w:rPr>
        <w:t>) within a fully forested pixel, reset mean stand age to 20 years due to the presence of remaining overstory trees, and be conducted in pixels with a minimum stand age of 60 years where total deciduous and mixed-wood tree cover was 50 % or more.</w:t>
      </w:r>
    </w:p>
    <w:p w14:paraId="468C192C" w14:textId="77777777" w:rsidR="008634CB" w:rsidRPr="00F648A5"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 xml:space="preserve">Selective logging on Crown Lands was virtually confined to eastern </w:t>
      </w:r>
      <w:proofErr w:type="gramStart"/>
      <w:r w:rsidRPr="00F648A5">
        <w:rPr>
          <w:rFonts w:ascii="Times New Roman" w:eastAsia="Times New Roman" w:hAnsi="Times New Roman" w:cs="Times New Roman"/>
          <w:sz w:val="24"/>
          <w:szCs w:val="24"/>
        </w:rPr>
        <w:t>FMUs, but</w:t>
      </w:r>
      <w:proofErr w:type="gramEnd"/>
      <w:r w:rsidRPr="00F648A5">
        <w:rPr>
          <w:rFonts w:ascii="Times New Roman" w:eastAsia="Times New Roman" w:hAnsi="Times New Roman" w:cs="Times New Roman"/>
          <w:sz w:val="24"/>
          <w:szCs w:val="24"/>
        </w:rPr>
        <w:t xml:space="preserve"> was assumed to be the harvest method used in private woodlots southeast of the FMUs. Simulated selective harvest was assumed to remove a maximum of 25 % trees (10,000 m</w:t>
      </w:r>
      <w:r w:rsidRPr="00F648A5">
        <w:rPr>
          <w:rFonts w:ascii="Times New Roman" w:eastAsia="Times New Roman" w:hAnsi="Times New Roman" w:cs="Times New Roman"/>
          <w:sz w:val="24"/>
          <w:szCs w:val="24"/>
          <w:vertAlign w:val="superscript"/>
        </w:rPr>
        <w:t>2</w:t>
      </w:r>
      <w:r w:rsidRPr="00F648A5">
        <w:rPr>
          <w:rFonts w:ascii="Times New Roman" w:eastAsia="Times New Roman" w:hAnsi="Times New Roman" w:cs="Times New Roman"/>
          <w:sz w:val="24"/>
          <w:szCs w:val="24"/>
        </w:rPr>
        <w:t xml:space="preserve">) within a fully forested pixel, reset mean stand age to 60 years, and be conducted in pixels with a minimum stand age of 80 years where deciduous tree cover was 50 % or more. We assumed that removing trees by selective logging reduced average stand age but keeping many older trees standing kept the average stand age well above 0. </w:t>
      </w:r>
    </w:p>
    <w:p w14:paraId="07AE8242" w14:textId="7A25DE43" w:rsidR="008634CB"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GIS-based harvest data were not available for most lands southeast of the FMUs, so harvest within woodlots was simulated based on summary data within reports. Harvest within private woodlots in southern Ontario was estimated using data from</w:t>
      </w:r>
      <w:r w:rsidR="00157A5D" w:rsidRPr="00F648A5">
        <w:rPr>
          <w:rFonts w:ascii="Times New Roman" w:eastAsia="Times New Roman" w:hAnsi="Times New Roman" w:cs="Times New Roman"/>
          <w:sz w:val="24"/>
          <w:szCs w:val="24"/>
        </w:rPr>
        <w:t xml:space="preserve"> </w:t>
      </w:r>
      <w:bookmarkStart w:id="4" w:name="_Hlk127868831"/>
      <w:r w:rsidR="00157A5D" w:rsidRPr="00F648A5">
        <w:rPr>
          <w:rFonts w:ascii="Times New Roman" w:eastAsia="Times New Roman" w:hAnsi="Times New Roman" w:cs="Times New Roman"/>
          <w:sz w:val="24"/>
          <w:szCs w:val="24"/>
        </w:rPr>
        <w:fldChar w:fldCharType="begin"/>
      </w:r>
      <w:r w:rsidR="00FC12C4" w:rsidRPr="00F648A5">
        <w:rPr>
          <w:rFonts w:ascii="Times New Roman" w:eastAsia="Times New Roman" w:hAnsi="Times New Roman" w:cs="Times New Roman"/>
          <w:sz w:val="24"/>
          <w:szCs w:val="24"/>
        </w:rPr>
        <w:instrText xml:space="preserve"> ADDIN ZOTERO_ITEM CSL_CITATION {"citationID":"08LAcDdl","properties":{"formattedCitation":"(Kim 2020)","plainCitation":"(Kim 2020)","dontUpdate":true,"noteIndex":0},"citationItems":[{"id":117,"uris":["http://zotero.org/groups/4916363/items/C6N3ZNXL"],"itemData":{"id":117,"type":"article-journal","abstract":"This study investigated various characteristics of private woodlots in southern Ontario and calculated their estimated economic value. More than 90% of southern Ontario forests are privately owned, which are small and fragmented. While many woodlots in the southwestern region are small parts of farmlands, the majority of owners in central and northern regions are non-farmers. The southwestern counties mostly have forest conservation by-laws allowing both diameter-limit cutting and good forestry practices, whereas most of the eastern municipalities do not have by-laws. It turned out that diameter-limit cutting is still the most common practice throughout southern Ontario, and the participation rate of the Managed Forest Tax Incentive Program in Ontario is only 10%. The geospatial analysis showed that 1.3 million hectares of southern Ontario private forests, located in the Mixedwood Plains ecozone, consist of 46% deciduous, 21% mixed, 18% coniferous, and 7% plantations. The economic value of deciduous forests was estimated to be about 1,089 million dollars, which can be increased by 91 million dollars through a complete conversion of diameter-limit cutting to good forestry practices. The private plantation was calculated to have a value of 170 million dollars, with increasing potential of 30 million dollars by increasing the thinning ratio of red pine plantations by 10%.","language":"en_ca","note":"Accepted: 2020-01-19T02:58:11Z","source":"tspace.library.utoronto.ca","title":"The Economic Value of Private Woodlots in Southern Ontario","URL":"https://tspace.library.utoronto.ca/handle/1807/99033","author":[{"family":"Kim","given":"Hyemin"}],"accessed":{"date-parts":[["2023",2,1]]},"issued":{"date-parts":[["2020"]]}}}],"schema":"https://github.com/citation-style-language/schema/raw/master/csl-citation.json"} </w:instrText>
      </w:r>
      <w:r w:rsidR="00157A5D" w:rsidRPr="00F648A5">
        <w:rPr>
          <w:rFonts w:ascii="Times New Roman" w:eastAsia="Times New Roman" w:hAnsi="Times New Roman" w:cs="Times New Roman"/>
          <w:sz w:val="24"/>
          <w:szCs w:val="24"/>
        </w:rPr>
        <w:fldChar w:fldCharType="separate"/>
      </w:r>
      <w:r w:rsidR="00157A5D" w:rsidRPr="00F648A5">
        <w:rPr>
          <w:rFonts w:ascii="Times New Roman" w:hAnsi="Times New Roman" w:cs="Times New Roman"/>
          <w:sz w:val="24"/>
        </w:rPr>
        <w:t>Kim (2020)</w:t>
      </w:r>
      <w:r w:rsidR="00157A5D" w:rsidRPr="00F648A5">
        <w:rPr>
          <w:rFonts w:ascii="Times New Roman" w:eastAsia="Times New Roman" w:hAnsi="Times New Roman" w:cs="Times New Roman"/>
          <w:sz w:val="24"/>
          <w:szCs w:val="24"/>
        </w:rPr>
        <w:fldChar w:fldCharType="end"/>
      </w:r>
      <w:bookmarkEnd w:id="4"/>
      <w:r w:rsidRPr="00F648A5">
        <w:rPr>
          <w:rFonts w:ascii="Times New Roman" w:eastAsia="Times New Roman" w:hAnsi="Times New Roman" w:cs="Times New Roman"/>
          <w:sz w:val="24"/>
          <w:szCs w:val="24"/>
        </w:rPr>
        <w:t xml:space="preserve">. Due to some overlap between the study area in </w:t>
      </w:r>
      <w:r w:rsidR="00157A5D" w:rsidRPr="00F648A5">
        <w:rPr>
          <w:rFonts w:ascii="Times New Roman" w:eastAsia="Times New Roman" w:hAnsi="Times New Roman" w:cs="Times New Roman"/>
          <w:sz w:val="24"/>
          <w:szCs w:val="24"/>
        </w:rPr>
        <w:fldChar w:fldCharType="begin"/>
      </w:r>
      <w:r w:rsidR="00FC12C4" w:rsidRPr="00F648A5">
        <w:rPr>
          <w:rFonts w:ascii="Times New Roman" w:eastAsia="Times New Roman" w:hAnsi="Times New Roman" w:cs="Times New Roman"/>
          <w:sz w:val="24"/>
          <w:szCs w:val="24"/>
        </w:rPr>
        <w:instrText xml:space="preserve"> ADDIN ZOTERO_ITEM CSL_CITATION {"citationID":"s2Epz2jq","properties":{"formattedCitation":"(Kim 2020)","plainCitation":"(Kim 2020)","dontUpdate":true,"noteIndex":0},"citationItems":[{"id":117,"uris":["http://zotero.org/groups/4916363/items/C6N3ZNXL"],"itemData":{"id":117,"type":"article-journal","abstract":"This study investigated various characteristics of private woodlots in southern Ontario and calculated their estimated economic value. More than 90% of southern Ontario forests are privately owned, which are small and fragmented. While many woodlots in the southwestern region are small parts of farmlands, the majority of owners in central and northern regions are non-farmers. The southwestern counties mostly have forest conservation by-laws allowing both diameter-limit cutting and good forestry practices, whereas most of the eastern municipalities do not have by-laws. It turned out that diameter-limit cutting is still the most common practice throughout southern Ontario, and the participation rate of the Managed Forest Tax Incentive Program in Ontario is only 10%. The geospatial analysis showed that 1.3 million hectares of southern Ontario private forests, located in the Mixedwood Plains ecozone, consist of 46% deciduous, 21% mixed, 18% coniferous, and 7% plantations. The economic value of deciduous forests was estimated to be about 1,089 million dollars, which can be increased by 91 million dollars through a complete conversion of diameter-limit cutting to good forestry practices. The private plantation was calculated to have a value of 170 million dollars, with increasing potential of 30 million dollars by increasing the thinning ratio of red pine plantations by 10%.","language":"en_ca","note":"Accepted: 2020-01-19T02:58:11Z","source":"tspace.library.utoronto.ca","title":"The Economic Value of Private Woodlots in Southern Ontario","URL":"https://tspace.library.utoronto.ca/handle/1807/99033","author":[{"family":"Kim","given":"Hyemin"}],"accessed":{"date-parts":[["2023",2,1]]},"issued":{"date-parts":[["2020"]]}}}],"schema":"https://github.com/citation-style-language/schema/raw/master/csl-citation.json"} </w:instrText>
      </w:r>
      <w:r w:rsidR="00157A5D" w:rsidRPr="00F648A5">
        <w:rPr>
          <w:rFonts w:ascii="Times New Roman" w:eastAsia="Times New Roman" w:hAnsi="Times New Roman" w:cs="Times New Roman"/>
          <w:sz w:val="24"/>
          <w:szCs w:val="24"/>
        </w:rPr>
        <w:fldChar w:fldCharType="separate"/>
      </w:r>
      <w:r w:rsidR="00157A5D" w:rsidRPr="00F648A5">
        <w:rPr>
          <w:rFonts w:ascii="Times New Roman" w:hAnsi="Times New Roman" w:cs="Times New Roman"/>
          <w:sz w:val="24"/>
        </w:rPr>
        <w:t>Kim (2020)</w:t>
      </w:r>
      <w:r w:rsidR="00157A5D" w:rsidRPr="00F648A5">
        <w:rPr>
          <w:rFonts w:ascii="Times New Roman" w:eastAsia="Times New Roman" w:hAnsi="Times New Roman" w:cs="Times New Roman"/>
          <w:sz w:val="24"/>
          <w:szCs w:val="24"/>
        </w:rPr>
        <w:fldChar w:fldCharType="end"/>
      </w:r>
      <w:r w:rsidRPr="00F648A5">
        <w:rPr>
          <w:rFonts w:ascii="Times New Roman" w:eastAsia="Times New Roman" w:hAnsi="Times New Roman" w:cs="Times New Roman"/>
          <w:sz w:val="24"/>
          <w:szCs w:val="24"/>
        </w:rPr>
        <w:t xml:space="preserve"> and the easternmost FMUs, the simulation of woodlot harvest was confined to southeastern Ontario outside of any FMUs. In contrast to the FMUs, size class distributions were used to set harvest within BCR 13 because there were existing estimates of proportion of total harvest area per decade (543,100 ha: diameter-limited cutting and good forestry practices methods combined) in different forest types (coniferous [18 %], deciduous [46 %], mixed-wood [21 %], plantations [7 %]). Separate harvest allocations were modelled for woodlots to maintain these proportions among future harvests in the baseline scenario. A size class distribution for woodlots was obtained from</w:t>
      </w:r>
      <w:r w:rsidR="00157A5D" w:rsidRPr="00F648A5">
        <w:rPr>
          <w:rFonts w:ascii="Times New Roman" w:eastAsia="Times New Roman" w:hAnsi="Times New Roman" w:cs="Times New Roman"/>
          <w:sz w:val="24"/>
          <w:szCs w:val="24"/>
        </w:rPr>
        <w:t xml:space="preserve"> </w:t>
      </w:r>
      <w:r w:rsidRPr="00F648A5">
        <w:rPr>
          <w:rFonts w:ascii="Times New Roman" w:eastAsia="Times New Roman" w:hAnsi="Times New Roman" w:cs="Times New Roman"/>
          <w:sz w:val="24"/>
          <w:szCs w:val="24"/>
        </w:rPr>
        <w:t>Watkins (2011): 0-10 ha (95.6 %), 10-99 ha (4.2 %), 100+ ha (0.2 %) and was used for each forest type. Selective</w:t>
      </w:r>
      <w:r>
        <w:rPr>
          <w:rFonts w:ascii="Times New Roman" w:eastAsia="Times New Roman" w:hAnsi="Times New Roman" w:cs="Times New Roman"/>
          <w:sz w:val="24"/>
          <w:szCs w:val="24"/>
        </w:rPr>
        <w:t xml:space="preserve"> forestry was used to maintain woodlots while harvesting, with up to a maximum of 10 % of a stand being removed by selective logging, stand age reset to 60 years, and a minimum stand age of 80 years for harvest to occur.</w:t>
      </w:r>
    </w:p>
    <w:p w14:paraId="4CC7C636" w14:textId="77777777" w:rsidR="008634CB" w:rsidRPr="00F648A5"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Spruce budworm outbreaks were simulated using shapefile data of insect outbreaks (1990 – 2020) in the Ontario Forest </w:t>
      </w:r>
      <w:r w:rsidRPr="00F648A5">
        <w:rPr>
          <w:rFonts w:ascii="Times New Roman" w:eastAsia="Times New Roman" w:hAnsi="Times New Roman" w:cs="Times New Roman"/>
          <w:sz w:val="24"/>
          <w:szCs w:val="24"/>
        </w:rPr>
        <w:t>Resource Inventory (FRI) from the Ontario Ministry of Natural Resources’ Forest Research Institute (Ontario Forest Resource Inventory 2021). Information contained in the shapefile included outbreak severity: we treated events described as a “Mortality” as removal of sufficient numbers of live trees to reset forest succession to 0. For each FMU, due to the large number of FMUs, we used mean outbreak size and total area disturbed per decade to simulate budworm outbreaks. In contrast, we used a</w:t>
      </w:r>
      <w:r w:rsidRPr="00F648A5">
        <w:t xml:space="preserve"> </w:t>
      </w:r>
      <w:r w:rsidRPr="00F648A5">
        <w:rPr>
          <w:rFonts w:ascii="Times New Roman" w:eastAsia="Times New Roman" w:hAnsi="Times New Roman" w:cs="Times New Roman"/>
          <w:sz w:val="24"/>
          <w:szCs w:val="24"/>
        </w:rPr>
        <w:t>size class distribution for simulating budworm outbreaks southeast of the FMUs.</w:t>
      </w:r>
    </w:p>
    <w:p w14:paraId="270BF437" w14:textId="0A0067C9" w:rsidR="008634CB" w:rsidRDefault="00000000" w:rsidP="00FB5F35">
      <w:pPr>
        <w:ind w:firstLine="720"/>
        <w:rPr>
          <w:rFonts w:ascii="Times New Roman" w:eastAsia="Times New Roman" w:hAnsi="Times New Roman" w:cs="Times New Roman"/>
          <w:sz w:val="24"/>
          <w:szCs w:val="24"/>
        </w:rPr>
      </w:pPr>
      <w:r w:rsidRPr="00F648A5">
        <w:rPr>
          <w:rFonts w:ascii="Times New Roman" w:eastAsia="Times New Roman" w:hAnsi="Times New Roman" w:cs="Times New Roman"/>
          <w:sz w:val="24"/>
          <w:szCs w:val="24"/>
        </w:rPr>
        <w:t>Fire was not considered to be a significant disturbance within the LANDIS coverage in the Wood Thrush’s Ontario range</w:t>
      </w:r>
      <w:r w:rsidR="00157A5D" w:rsidRPr="00F648A5">
        <w:rPr>
          <w:rFonts w:ascii="Times New Roman" w:eastAsia="Times New Roman" w:hAnsi="Times New Roman" w:cs="Times New Roman"/>
          <w:sz w:val="24"/>
          <w:szCs w:val="24"/>
        </w:rPr>
        <w:t xml:space="preserve"> </w:t>
      </w:r>
      <w:r w:rsidRPr="00F648A5">
        <w:rPr>
          <w:rFonts w:ascii="Times New Roman" w:eastAsia="Times New Roman" w:hAnsi="Times New Roman" w:cs="Times New Roman"/>
          <w:sz w:val="24"/>
          <w:szCs w:val="24"/>
        </w:rPr>
        <w:t xml:space="preserve">(Chao 2011) but was simulated in the Boundary Waters Forest, </w:t>
      </w:r>
      <w:proofErr w:type="spellStart"/>
      <w:r w:rsidRPr="00F648A5">
        <w:rPr>
          <w:rFonts w:ascii="Times New Roman" w:eastAsia="Times New Roman" w:hAnsi="Times New Roman" w:cs="Times New Roman"/>
          <w:sz w:val="24"/>
          <w:szCs w:val="24"/>
        </w:rPr>
        <w:t>Missinaibi</w:t>
      </w:r>
      <w:proofErr w:type="spellEnd"/>
      <w:r w:rsidRPr="00F648A5">
        <w:rPr>
          <w:rFonts w:ascii="Times New Roman" w:eastAsia="Times New Roman" w:hAnsi="Times New Roman" w:cs="Times New Roman"/>
          <w:sz w:val="24"/>
          <w:szCs w:val="24"/>
        </w:rPr>
        <w:t xml:space="preserve"> Forest, and Pic Forest FMUs so that forest age did not invariably and unrealistically increase in those FMUs throughout the scenario runs. Fire data was obtained and summarized by FMU in a similar way to budworm outbreak data, by intersecting shapefile data for recent fire disturbances (Ontario Forest Resource Inventory 2021)</w:t>
      </w:r>
      <w:r>
        <w:rPr>
          <w:rFonts w:ascii="Times New Roman" w:eastAsia="Times New Roman" w:hAnsi="Times New Roman" w:cs="Times New Roman"/>
          <w:sz w:val="24"/>
          <w:szCs w:val="24"/>
        </w:rPr>
        <w:t xml:space="preserve"> with an FMU shapefile clipped to the Wood Thrush’s Ontario range. In the exported attribute table of this intersected shapefile, the year of a given fire disturbance was used to filter to the most recent 10 years of fire, after which total decadal burn, mean burn size and maximum burn size were summarized for each FMU.</w:t>
      </w:r>
    </w:p>
    <w:p w14:paraId="10A4995B"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some forest is permanently converted to other habitats by urban or agricultural land (631 ha/year) and permanent roads (470 ha/year) (</w:t>
      </w:r>
      <w:hyperlink r:id="rId6">
        <w:r>
          <w:rPr>
            <w:rFonts w:ascii="Times New Roman" w:eastAsia="Times New Roman" w:hAnsi="Times New Roman" w:cs="Times New Roman"/>
            <w:color w:val="0563C1"/>
            <w:sz w:val="24"/>
            <w:szCs w:val="24"/>
            <w:u w:val="single"/>
          </w:rPr>
          <w:t>https://www.ontario.ca/page/deforestation</w:t>
        </w:r>
      </w:hyperlink>
      <w:r>
        <w:rPr>
          <w:rFonts w:ascii="Times New Roman" w:eastAsia="Times New Roman" w:hAnsi="Times New Roman" w:cs="Times New Roman"/>
          <w:sz w:val="24"/>
          <w:szCs w:val="24"/>
        </w:rPr>
        <w:t>), permanent habitat conversion was not simulated, to make the ALCES Online scenario more comparable to LANDIS scenarios run in eastern Canada. Unlike LANDIS, simulations in ALCES Online cannot be run for more than 50 years at the current time. Thus, there is not as much time to observe large effects of climate change in ALCES Online as in LANDIS. However, some disturbances that are projected to increase with global warming (e. g. fire, insect outbreaks) could be modelled within other scenarios by increasing the decadal amount of those disturbances, either evenly or increasing over time.</w:t>
      </w:r>
    </w:p>
    <w:p w14:paraId="159BF474"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single baseline scenario was run separately for each FMU within the Wood Thrush’s Ontario range and outside the FMUs, five times to obtain separate outputs to reduce the effect of any one set of random simulation events on results. Within each baseline scenario run in each FMU and outside the FMUs, there were separate, multiple actions, which are different types of simulated disturbances like harvest, fire, insect outbreaks, or human footprint. Forest cover was assumed to only be set back in age and disturbances were assumed to not change the pre-existing forest type. A given type of disturbance can have one or more actions associated with it. For example, there were separate “harvest” actions for clear-cut, shelterwood, and selective logging within FMUs and logging within private woodlots southeast of the FMUs. Separate actions were created for each harvest type in the FMUs because there was enough data to simulate each harvest type separately (area disturbed, distribution of disturbance size classes, in what forest type and at what forest stand age and where in Ontario the harvest type should occur). In contrast, a single harvest action was used southeast of the FMUs for woodlot harvest (Table S3.2). </w:t>
      </w:r>
    </w:p>
    <w:p w14:paraId="1AFDC90E"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different types of simulated harvest was specified for each decade of the simulation, as opposed to being based on “natural dynamics” (triggered by a condition, in which case the disturbance may or may not occur at all in a given time step or the amount is completely dependent on other conditions), and all disturbance actions in the baseline were added to the landscape rather than subtracted. Since harvest and outbreaks are only simulated as removing trees but allow forests to grow back, we reset forest age to 0 – 10 years in disturbed areas (age dependent on the harvest type: 0 for fire, 10 for clear-cutting, 20 for shelterwood or spruce budworm mortality, 60 for selective logging) and changed forest origin to “cut” after harvest, to “pest” after a spruce budworm outbreak, to “fire” after fire. </w:t>
      </w:r>
    </w:p>
    <w:p w14:paraId="1516D96F"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disturbance action, one or more disturbance allocations were set up, telling ALCES Online the size or size class distribution of that disturbance to simulate (in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how that disturbance is propagated in the landscape (e.g., random, clustered, linear), the maximum amount of a 200-m pixel (in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that can be affected by a disturbance, and any pixel conditions that determine whether a disturbance occurs in a pixel. A single allocation based on mean disturbance size was used for each harvest, fire, and/or budworm outbreak actions in the FMUs due to the number of FMUs. Usually, mean disturbance size was greater than a 200-m pixel so a clustered allocation was used. When mean disturbance size was smaller than a 200-m pixel, a random allocation was used for that disturbance action in a few FMUs. Outside of the FMUs, we used a size class distribution when simulating harvest and budworm outbreaks.</w:t>
      </w:r>
    </w:p>
    <w:p w14:paraId="28A02568" w14:textId="77777777" w:rsidR="008634CB" w:rsidRDefault="00000000" w:rsidP="00FB5F35">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kinds of harvest or other disturbances were negligible or not present in certain FMUs or outside of the FMUs, so they were not simulated as actions in those areas. Some actions were only likely to occur in certain kinds of forest (e.g., spruce budworm outbreaks in coniferous forest; clear-cutting in coniferous or deciduous forest; shelterwood logging in deciduous or mixed-wood forest; selective logging in deciduous forest only) or within forests of a minimum stand age (e.g., 60 years old for clear-cuts and shelterwood logging, 80 years old for selective logging). Some actions (e.g., fire in three of the FMUs) may vary in probability of occurrence (e.g., higher probability as % conifer or forest age increases). Within southeastern Ontario, disturbances were only simulated in the portion occurring outside the FMUs, since disturbances were already accounted for when running the baseline scenario in those FMUs. </w:t>
      </w:r>
    </w:p>
    <w:p w14:paraId="22C7D575" w14:textId="77777777" w:rsidR="008634CB" w:rsidRDefault="00000000" w:rsidP="00FB5F35">
      <w:pPr>
        <w:ind w:firstLine="720"/>
        <w:rPr>
          <w:rFonts w:ascii="Times New Roman" w:eastAsia="Times New Roman" w:hAnsi="Times New Roman" w:cs="Times New Roman"/>
          <w:color w:val="000000"/>
          <w:sz w:val="24"/>
          <w:szCs w:val="24"/>
        </w:rPr>
      </w:pPr>
      <w:bookmarkStart w:id="5" w:name="_heading=h.2et92p0" w:colFirst="0" w:colLast="0"/>
      <w:bookmarkEnd w:id="5"/>
      <w:r>
        <w:rPr>
          <w:rFonts w:ascii="Times New Roman" w:eastAsia="Times New Roman" w:hAnsi="Times New Roman" w:cs="Times New Roman"/>
          <w:sz w:val="24"/>
          <w:szCs w:val="24"/>
        </w:rPr>
        <w:t>The ALCES Online scenario was run five times within each</w:t>
      </w:r>
      <w:r>
        <w:t xml:space="preserve"> </w:t>
      </w:r>
      <w:r>
        <w:rPr>
          <w:rFonts w:ascii="Times New Roman" w:eastAsia="Times New Roman" w:hAnsi="Times New Roman" w:cs="Times New Roman"/>
          <w:sz w:val="24"/>
          <w:szCs w:val="24"/>
        </w:rPr>
        <w:t>FMUs and outside the FMUs, after which raster layers from each spatial unit, simulation run, and time step were downloaded and used to generate raster layers for predicting</w:t>
      </w:r>
      <w:r>
        <w:t xml:space="preserve"> </w:t>
      </w:r>
      <w:r>
        <w:rPr>
          <w:rFonts w:ascii="Times New Roman" w:eastAsia="Times New Roman" w:hAnsi="Times New Roman" w:cs="Times New Roman"/>
          <w:sz w:val="24"/>
          <w:szCs w:val="24"/>
        </w:rPr>
        <w:t xml:space="preserve">Wood Thrush abundance from the boosted regression tree (BRT) model developed for use with ALCES Online (Appendix S2). As with the LANDIS scenarios, </w:t>
      </w:r>
      <w:r>
        <w:rPr>
          <w:rFonts w:ascii="Times New Roman" w:eastAsia="Times New Roman" w:hAnsi="Times New Roman" w:cs="Times New Roman"/>
          <w:color w:val="000000"/>
          <w:sz w:val="24"/>
          <w:szCs w:val="24"/>
        </w:rPr>
        <w:t xml:space="preserve">density predictions &gt; 1 male/ha (&lt;&lt;&lt; 1 % of pixels in both ALCES Online study areas) were reset to 1 male/ha before generating mean density raster layers to use in conservation planning, based on Gauthier and </w:t>
      </w:r>
      <w:proofErr w:type="spellStart"/>
      <w:r>
        <w:rPr>
          <w:rFonts w:ascii="Times New Roman" w:eastAsia="Times New Roman" w:hAnsi="Times New Roman" w:cs="Times New Roman"/>
          <w:color w:val="000000"/>
          <w:sz w:val="24"/>
          <w:szCs w:val="24"/>
        </w:rPr>
        <w:t>Aubry</w:t>
      </w:r>
      <w:proofErr w:type="spellEnd"/>
      <w:r>
        <w:rPr>
          <w:rFonts w:ascii="Times New Roman" w:eastAsia="Times New Roman" w:hAnsi="Times New Roman" w:cs="Times New Roman"/>
          <w:color w:val="000000"/>
          <w:sz w:val="24"/>
          <w:szCs w:val="24"/>
        </w:rPr>
        <w:t xml:space="preserve"> (1995) and Evans et al. (2020). Further details of the ALCES Online simulations run for Wood Thrush are described in a technical report and appendix </w:t>
      </w:r>
      <w:r>
        <w:rPr>
          <w:rFonts w:ascii="Times New Roman" w:eastAsia="Times New Roman" w:hAnsi="Times New Roman" w:cs="Times New Roman"/>
          <w:sz w:val="24"/>
          <w:szCs w:val="24"/>
        </w:rPr>
        <w:t>(</w:t>
      </w:r>
      <w:r w:rsidRPr="00FB5F35">
        <w:rPr>
          <w:rFonts w:ascii="Times New Roman" w:eastAsia="Times New Roman" w:hAnsi="Times New Roman" w:cs="Times New Roman"/>
          <w:sz w:val="24"/>
          <w:szCs w:val="24"/>
        </w:rPr>
        <w:t>Leston 2022</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w:t>
      </w:r>
    </w:p>
    <w:p w14:paraId="6754B8B3" w14:textId="77777777" w:rsidR="008634CB" w:rsidRDefault="008634CB">
      <w:pPr>
        <w:ind w:firstLine="720"/>
        <w:rPr>
          <w:rFonts w:ascii="Times New Roman" w:eastAsia="Times New Roman" w:hAnsi="Times New Roman" w:cs="Times New Roman"/>
          <w:color w:val="000000"/>
          <w:sz w:val="24"/>
          <w:szCs w:val="24"/>
        </w:rPr>
      </w:pPr>
    </w:p>
    <w:p w14:paraId="383EAB01" w14:textId="77777777" w:rsidR="008634CB" w:rsidRPr="00FA6886" w:rsidRDefault="00000000">
      <w:pPr>
        <w:pStyle w:val="Heading1"/>
        <w:rPr>
          <w:rFonts w:ascii="Times New Roman" w:eastAsia="Times New Roman" w:hAnsi="Times New Roman" w:cs="Times New Roman"/>
          <w:bCs/>
          <w:sz w:val="24"/>
          <w:szCs w:val="24"/>
        </w:rPr>
      </w:pPr>
      <w:r w:rsidRPr="00FA6886">
        <w:rPr>
          <w:rFonts w:ascii="Times New Roman" w:eastAsia="Times New Roman" w:hAnsi="Times New Roman" w:cs="Times New Roman"/>
          <w:bCs/>
          <w:sz w:val="24"/>
          <w:szCs w:val="24"/>
        </w:rPr>
        <w:lastRenderedPageBreak/>
        <w:t>Results</w:t>
      </w:r>
    </w:p>
    <w:p w14:paraId="1E519845" w14:textId="17CC9FE9" w:rsidR="002209F9" w:rsidRPr="002209F9" w:rsidRDefault="002209F9" w:rsidP="002209F9">
      <w:pPr>
        <w:pStyle w:val="Heading2"/>
        <w:rPr>
          <w:rFonts w:ascii="Times New Roman" w:eastAsia="Times New Roman" w:hAnsi="Times New Roman" w:cs="Times New Roman"/>
          <w:bCs/>
          <w:sz w:val="24"/>
          <w:szCs w:val="24"/>
        </w:rPr>
      </w:pPr>
      <w:r w:rsidRPr="002209F9">
        <w:rPr>
          <w:rFonts w:ascii="Times New Roman" w:eastAsia="Times New Roman" w:hAnsi="Times New Roman" w:cs="Times New Roman"/>
          <w:bCs/>
          <w:sz w:val="24"/>
          <w:szCs w:val="24"/>
        </w:rPr>
        <w:t>LANDIS</w:t>
      </w:r>
    </w:p>
    <w:p w14:paraId="5733287E" w14:textId="57BD9031" w:rsidR="008634CB" w:rsidRPr="002209F9" w:rsidRDefault="00000000" w:rsidP="002209F9">
      <w:pPr>
        <w:pStyle w:val="Heading3"/>
        <w:rPr>
          <w:rFonts w:ascii="Times New Roman" w:hAnsi="Times New Roman" w:cs="Times New Roman"/>
          <w:sz w:val="24"/>
          <w:szCs w:val="24"/>
        </w:rPr>
      </w:pPr>
      <w:r w:rsidRPr="002209F9">
        <w:rPr>
          <w:rFonts w:ascii="Times New Roman" w:hAnsi="Times New Roman" w:cs="Times New Roman"/>
          <w:sz w:val="24"/>
          <w:szCs w:val="24"/>
        </w:rPr>
        <w:t xml:space="preserve">Trends in tree species biomass </w:t>
      </w:r>
    </w:p>
    <w:p w14:paraId="40E8BB25" w14:textId="675E291E"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Climate change explained more changes than harvest in the overall tree species biomass in the Canada Warbler’s Al-Pac FMA study area in Alberta. Small differences between forest management scenarios arose from the fact that the overall harvesting rate was rather low when considering both uplands, where harvesting was possible, and lowlands. Climate-induced increases in fire activity considerably reduced total biomass with increasing anthropogenic climate forcing. Biomass of all tree species was similarly and negatively impacted by climate change.</w:t>
      </w:r>
    </w:p>
    <w:p w14:paraId="4B4B6435" w14:textId="77777777" w:rsidR="00750104" w:rsidRDefault="00750104" w:rsidP="00750104">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in Alberta, climate change scenarios had the most important impacts on tree species biomass in the study areas in eastern Canada. In fact, very small differences scenarios were simulated between forest management, with lower harvesting scenarios generally resulting in slightly higher biomass, notwithstanding climate scenarios. One exception was red spruce for which biomass was most negatively affected by clear cut rates but mostly under high anthropogenic climate forcing. Climate change impacts were most important under the RCP 8.5 climate scenario which resulted in strong decrease in boreal conifer species such balsam fir and red spruce biomass while boosting </w:t>
      </w:r>
      <w:proofErr w:type="spellStart"/>
      <w:r>
        <w:rPr>
          <w:rFonts w:ascii="Times New Roman" w:eastAsia="Times New Roman" w:hAnsi="Times New Roman" w:cs="Times New Roman"/>
          <w:sz w:val="24"/>
          <w:szCs w:val="24"/>
        </w:rPr>
        <w:t>mesophytic</w:t>
      </w:r>
      <w:proofErr w:type="spellEnd"/>
      <w:r>
        <w:rPr>
          <w:rFonts w:ascii="Times New Roman" w:eastAsia="Times New Roman" w:hAnsi="Times New Roman" w:cs="Times New Roman"/>
          <w:sz w:val="24"/>
          <w:szCs w:val="24"/>
        </w:rPr>
        <w:t xml:space="preserve"> species such as red maple and </w:t>
      </w:r>
      <w:proofErr w:type="spellStart"/>
      <w:r>
        <w:rPr>
          <w:rFonts w:ascii="Times New Roman" w:eastAsia="Times New Roman" w:hAnsi="Times New Roman" w:cs="Times New Roman"/>
          <w:sz w:val="24"/>
          <w:szCs w:val="24"/>
        </w:rPr>
        <w:t>american</w:t>
      </w:r>
      <w:proofErr w:type="spellEnd"/>
      <w:r>
        <w:rPr>
          <w:rFonts w:ascii="Times New Roman" w:eastAsia="Times New Roman" w:hAnsi="Times New Roman" w:cs="Times New Roman"/>
          <w:sz w:val="24"/>
          <w:szCs w:val="24"/>
        </w:rPr>
        <w:t xml:space="preserve"> beech biomass. Gain in </w:t>
      </w:r>
      <w:proofErr w:type="spellStart"/>
      <w:r>
        <w:rPr>
          <w:rFonts w:ascii="Times New Roman" w:eastAsia="Times New Roman" w:hAnsi="Times New Roman" w:cs="Times New Roman"/>
          <w:sz w:val="24"/>
          <w:szCs w:val="24"/>
        </w:rPr>
        <w:t>mesophytic</w:t>
      </w:r>
      <w:proofErr w:type="spellEnd"/>
      <w:r>
        <w:rPr>
          <w:rFonts w:ascii="Times New Roman" w:eastAsia="Times New Roman" w:hAnsi="Times New Roman" w:cs="Times New Roman"/>
          <w:sz w:val="24"/>
          <w:szCs w:val="24"/>
        </w:rPr>
        <w:t xml:space="preserve"> species biomass did not compensate for boreal species biomass loss, resulting in net total biomass loss of 10-18% in 2100 under RCP 8.5 relative to biomass simulated under the baseline climate (Figures S3.2 – S3.4). While the scenarios from New Brunswick and Nova Scotia have not yet been published, their projected results for different tree species are consistent with existing published simulations from those regions (Taylor et al. 2017).</w:t>
      </w:r>
    </w:p>
    <w:p w14:paraId="225C5591" w14:textId="77777777" w:rsidR="00750104" w:rsidRDefault="00750104">
      <w:pPr>
        <w:rPr>
          <w:rFonts w:ascii="Times New Roman" w:eastAsia="Times New Roman" w:hAnsi="Times New Roman" w:cs="Times New Roman"/>
          <w:sz w:val="24"/>
          <w:szCs w:val="24"/>
        </w:rPr>
      </w:pPr>
    </w:p>
    <w:p w14:paraId="3B6050C2" w14:textId="725FBC23" w:rsidR="008634CB" w:rsidRDefault="00CE54AF" w:rsidP="00CE54AF">
      <w:r>
        <w:rPr>
          <w:noProof/>
          <w:color w:val="000000"/>
          <w:bdr w:val="none" w:sz="0" w:space="0" w:color="auto" w:frame="1"/>
        </w:rPr>
        <w:lastRenderedPageBreak/>
        <w:drawing>
          <wp:inline distT="0" distB="0" distL="0" distR="0" wp14:anchorId="5DC1806D" wp14:editId="790C5178">
            <wp:extent cx="5943600" cy="4953000"/>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953000"/>
                    </a:xfrm>
                    <a:prstGeom prst="rect">
                      <a:avLst/>
                    </a:prstGeom>
                    <a:noFill/>
                    <a:ln>
                      <a:noFill/>
                    </a:ln>
                  </pic:spPr>
                </pic:pic>
              </a:graphicData>
            </a:graphic>
          </wp:inline>
        </w:drawing>
      </w:r>
    </w:p>
    <w:p w14:paraId="790705E7" w14:textId="210B22B5" w:rsidR="008634CB" w:rsidRDefault="008634CB" w:rsidP="00CE54AF">
      <w:pPr>
        <w:rPr>
          <w:rFonts w:ascii="Times New Roman" w:eastAsia="Times New Roman" w:hAnsi="Times New Roman" w:cs="Times New Roman"/>
          <w:b/>
          <w:sz w:val="24"/>
          <w:szCs w:val="24"/>
        </w:rPr>
      </w:pPr>
      <w:bookmarkStart w:id="6" w:name="_heading=h.wq412j244wkt" w:colFirst="0" w:colLast="0"/>
      <w:bookmarkEnd w:id="6"/>
    </w:p>
    <w:p w14:paraId="1D7A708C" w14:textId="77777777" w:rsidR="008634CB" w:rsidRDefault="00000000">
      <w:r>
        <w:rPr>
          <w:rFonts w:ascii="Times New Roman" w:eastAsia="Times New Roman" w:hAnsi="Times New Roman" w:cs="Times New Roman"/>
          <w:sz w:val="24"/>
          <w:szCs w:val="24"/>
        </w:rPr>
        <w:t xml:space="preserve">Figure S3.1. Trends in tree species biomass in the ALPAC study area for Canada Warbler according to the </w:t>
      </w:r>
      <w:proofErr w:type="gramStart"/>
      <w:r>
        <w:rPr>
          <w:rFonts w:ascii="Times New Roman" w:eastAsia="Times New Roman" w:hAnsi="Times New Roman" w:cs="Times New Roman"/>
          <w:sz w:val="24"/>
          <w:szCs w:val="24"/>
        </w:rPr>
        <w:t>three climate</w:t>
      </w:r>
      <w:proofErr w:type="gramEnd"/>
      <w:r>
        <w:rPr>
          <w:rFonts w:ascii="Times New Roman" w:eastAsia="Times New Roman" w:hAnsi="Times New Roman" w:cs="Times New Roman"/>
          <w:sz w:val="24"/>
          <w:szCs w:val="24"/>
        </w:rPr>
        <w:t xml:space="preserve"> change (baseline, RCP 4.5 and RCP 8.5) and the three forest management scenarios. BETU.PAP: white birch; LARI.LAR: larch; PICE.GLA: white spruce; PICE.MAR: black spruce; PINU.BAN: jack pine; POPU.BAL: balsam poplar; POPU.TRE: trembling aspen. Note: the RCP 2.6 climate change scenarios were not used to predict Canada Warbler density and distribution in our study.</w:t>
      </w:r>
    </w:p>
    <w:p w14:paraId="362566FE" w14:textId="15DDBFD2" w:rsidR="008634CB" w:rsidRDefault="00CE54AF" w:rsidP="00CE54AF">
      <w:r>
        <w:rPr>
          <w:noProof/>
          <w:color w:val="000000"/>
          <w:bdr w:val="none" w:sz="0" w:space="0" w:color="auto" w:frame="1"/>
        </w:rPr>
        <w:lastRenderedPageBreak/>
        <w:drawing>
          <wp:inline distT="0" distB="0" distL="0" distR="0" wp14:anchorId="77148984" wp14:editId="4F72CFC6">
            <wp:extent cx="5943600" cy="3308350"/>
            <wp:effectExtent l="0" t="0" r="0" b="635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08350"/>
                    </a:xfrm>
                    <a:prstGeom prst="rect">
                      <a:avLst/>
                    </a:prstGeom>
                    <a:noFill/>
                    <a:ln>
                      <a:noFill/>
                    </a:ln>
                  </pic:spPr>
                </pic:pic>
              </a:graphicData>
            </a:graphic>
          </wp:inline>
        </w:drawing>
      </w:r>
    </w:p>
    <w:p w14:paraId="53ECDC2A"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S3.2. Trends in tree species biomass in the Nova Scotia study areas for Canada Warbler and Wood Thrush, according to the </w:t>
      </w:r>
      <w:proofErr w:type="gramStart"/>
      <w:r>
        <w:rPr>
          <w:rFonts w:ascii="Times New Roman" w:eastAsia="Times New Roman" w:hAnsi="Times New Roman" w:cs="Times New Roman"/>
          <w:sz w:val="24"/>
          <w:szCs w:val="24"/>
        </w:rPr>
        <w:t>three climate</w:t>
      </w:r>
      <w:proofErr w:type="gramEnd"/>
      <w:r>
        <w:rPr>
          <w:rFonts w:ascii="Times New Roman" w:eastAsia="Times New Roman" w:hAnsi="Times New Roman" w:cs="Times New Roman"/>
          <w:sz w:val="24"/>
          <w:szCs w:val="24"/>
        </w:rPr>
        <w:t xml:space="preserve"> change (baseline, RCP 4.5 and RCP 8.5) and the six forest management scenarios. ABIE.BAL: balsam fir; ACER.RUB: red maple; ACER.SAH: sugar maple; BETU.ALL: yellow birch; BETU.PAP: white birch; FAGU.GRA: American beech; FRAX.AME: white ash; LARI.LAR: larch; PICE.GLA: white spruce; PICE.MAR: black spruce; PICE.RUB: red spruce; PINU.BAN: jack pine; PINU.RES: red pine; PINU.STR: white pine; POPU.BAL: balsam poplar; POPU.TRE: trembling aspen; QUER.RUB: red oak; THUJ.SPP: white cedar; TSUG.CAN: eastern hemlock. Note: the RCP 2.6 climate change scenarios were not used to predict Canada Warbler or Wood Thrush density and distribution in our study.</w:t>
      </w:r>
    </w:p>
    <w:p w14:paraId="40C71272" w14:textId="77777777" w:rsidR="008634CB" w:rsidRDefault="008634CB">
      <w:pPr>
        <w:rPr>
          <w:rFonts w:ascii="Times New Roman" w:eastAsia="Times New Roman" w:hAnsi="Times New Roman" w:cs="Times New Roman"/>
          <w:sz w:val="26"/>
          <w:szCs w:val="26"/>
        </w:rPr>
      </w:pPr>
    </w:p>
    <w:p w14:paraId="301B7B6D" w14:textId="2CEB057D" w:rsidR="008634CB" w:rsidRDefault="00864A6C">
      <w:pPr>
        <w:rPr>
          <w:rFonts w:ascii="Times New Roman" w:eastAsia="Times New Roman" w:hAnsi="Times New Roman" w:cs="Times New Roman"/>
          <w:sz w:val="26"/>
          <w:szCs w:val="26"/>
        </w:rPr>
      </w:pPr>
      <w:r>
        <w:rPr>
          <w:noProof/>
        </w:rPr>
        <w:lastRenderedPageBreak/>
        <w:drawing>
          <wp:inline distT="0" distB="0" distL="0" distR="0" wp14:anchorId="791BF047" wp14:editId="0E6AA93B">
            <wp:extent cx="5943600" cy="42456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245610"/>
                    </a:xfrm>
                    <a:prstGeom prst="rect">
                      <a:avLst/>
                    </a:prstGeom>
                    <a:noFill/>
                    <a:ln>
                      <a:noFill/>
                    </a:ln>
                  </pic:spPr>
                </pic:pic>
              </a:graphicData>
            </a:graphic>
          </wp:inline>
        </w:drawing>
      </w:r>
    </w:p>
    <w:p w14:paraId="295AE089"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S3.3. Trends in tree species biomass in the Quebec study area for Wood Thrush according to the </w:t>
      </w:r>
      <w:proofErr w:type="gramStart"/>
      <w:r>
        <w:rPr>
          <w:rFonts w:ascii="Times New Roman" w:eastAsia="Times New Roman" w:hAnsi="Times New Roman" w:cs="Times New Roman"/>
          <w:sz w:val="24"/>
          <w:szCs w:val="24"/>
        </w:rPr>
        <w:t>three climate</w:t>
      </w:r>
      <w:proofErr w:type="gramEnd"/>
      <w:r>
        <w:rPr>
          <w:rFonts w:ascii="Times New Roman" w:eastAsia="Times New Roman" w:hAnsi="Times New Roman" w:cs="Times New Roman"/>
          <w:sz w:val="24"/>
          <w:szCs w:val="24"/>
        </w:rPr>
        <w:t xml:space="preserve"> change (baseline, RCP 4.5 and RCP 8.5) and the two forest management scenarios. ABIE.BAL: balsam fir; ACER.RUB: red maple; ACER.SAH: sugar maple; BETU.ALL: yellow birch; BETU.PAP: white birch; FAGU.GRA: American beech; FRAX.AME: white ash; LARI.LAR: larch; PICE.GLA: white spruce; PICE.MAR: black spruce; PICE.RUB: red spruce; PINU.BAN: jack pine; PINU.RES: red pine; PINU.STR: white pine; POPU.BAL: balsam poplar; POPU.TRE: trembling aspen; QUER.RUB: red oak; THUJ.SPP: white cedar; TSUG.CAN: eastern hemlock. Note: some of these scenarios (baseline fire X RCP 4.5; baseline fire X RCP 8.5) were not used to predict Wood Thrush density and distribution in our study.</w:t>
      </w:r>
    </w:p>
    <w:p w14:paraId="1E64BCBE" w14:textId="2AC50C77" w:rsidR="008634CB" w:rsidRDefault="00864A6C">
      <w:pPr>
        <w:rPr>
          <w:rFonts w:ascii="Times New Roman" w:eastAsia="Times New Roman" w:hAnsi="Times New Roman" w:cs="Times New Roman"/>
          <w:sz w:val="24"/>
          <w:szCs w:val="24"/>
        </w:rPr>
      </w:pPr>
      <w:r>
        <w:rPr>
          <w:noProof/>
        </w:rPr>
        <w:lastRenderedPageBreak/>
        <w:drawing>
          <wp:inline distT="0" distB="0" distL="0" distR="0" wp14:anchorId="502CAE4F" wp14:editId="0E6E782A">
            <wp:extent cx="4780280" cy="5975350"/>
            <wp:effectExtent l="0" t="0" r="127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0280" cy="5975350"/>
                    </a:xfrm>
                    <a:prstGeom prst="rect">
                      <a:avLst/>
                    </a:prstGeom>
                    <a:noFill/>
                    <a:ln>
                      <a:noFill/>
                    </a:ln>
                  </pic:spPr>
                </pic:pic>
              </a:graphicData>
            </a:graphic>
          </wp:inline>
        </w:drawing>
      </w:r>
    </w:p>
    <w:p w14:paraId="19A977C1"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S3.4. Trends in tree species biomass in the New Brunswick study area for Wood Thrush according to the </w:t>
      </w:r>
      <w:proofErr w:type="gramStart"/>
      <w:r>
        <w:rPr>
          <w:rFonts w:ascii="Times New Roman" w:eastAsia="Times New Roman" w:hAnsi="Times New Roman" w:cs="Times New Roman"/>
          <w:sz w:val="24"/>
          <w:szCs w:val="24"/>
        </w:rPr>
        <w:t>three climate</w:t>
      </w:r>
      <w:proofErr w:type="gramEnd"/>
      <w:r>
        <w:rPr>
          <w:rFonts w:ascii="Times New Roman" w:eastAsia="Times New Roman" w:hAnsi="Times New Roman" w:cs="Times New Roman"/>
          <w:sz w:val="24"/>
          <w:szCs w:val="24"/>
        </w:rPr>
        <w:t xml:space="preserve"> change (baseline, RCP 4.5 and RCP 8.5) and the one forest management scenario. ABIE.BAL: balsam fir; ACER.RUB: red maple; ACER.SAH: sugar maple; BETU.ALL: yellow birch; BETU.PAP: white birch; FAGU.GRA: American beech; FRAX.AME: white ash; LARI.LAR: larch; PICE.GLA: white spruce; PICE.MAR: black spruce; PICE.RUB: red spruce; PINU.BAN: jack pine; PINU.RES: red pine; PINU.STR: white pine; POPU.BAL: balsam poplar; POPU.TRE: trembling aspen; QUER.RUB: red oak; THUJ.SPP: white cedar; TSUG.CAN: eastern hemlock. Note: the RCP 2.6 climate change scenarios were not used to predict Wood Thrush density and distribution in our study.</w:t>
      </w:r>
    </w:p>
    <w:p w14:paraId="6D257412" w14:textId="4A00B6EC" w:rsidR="008634CB" w:rsidRPr="00606FBA" w:rsidRDefault="00606FBA" w:rsidP="00606FBA">
      <w:pPr>
        <w:pStyle w:val="Heading3"/>
        <w:rPr>
          <w:rFonts w:ascii="Times New Roman" w:hAnsi="Times New Roman" w:cs="Times New Roman"/>
          <w:sz w:val="24"/>
          <w:szCs w:val="24"/>
        </w:rPr>
      </w:pPr>
      <w:r w:rsidRPr="00606FBA">
        <w:rPr>
          <w:rFonts w:ascii="Times New Roman" w:hAnsi="Times New Roman" w:cs="Times New Roman"/>
          <w:sz w:val="24"/>
          <w:szCs w:val="24"/>
        </w:rPr>
        <w:lastRenderedPageBreak/>
        <w:t>Alberta LANDIS Scenarios (Canada Warbler)</w:t>
      </w:r>
    </w:p>
    <w:p w14:paraId="50E2C582" w14:textId="7F8EAB74" w:rsidR="008634CB" w:rsidRDefault="00000000" w:rsidP="00606FBA">
      <w:pPr>
        <w:rPr>
          <w:rFonts w:ascii="Times New Roman" w:eastAsia="Times New Roman" w:hAnsi="Times New Roman" w:cs="Times New Roman"/>
          <w:sz w:val="24"/>
          <w:szCs w:val="24"/>
        </w:rPr>
      </w:pPr>
      <w:bookmarkStart w:id="7" w:name="_heading=h.gjdgxs" w:colFirst="0" w:colLast="0"/>
      <w:bookmarkEnd w:id="7"/>
      <w:r>
        <w:rPr>
          <w:rFonts w:ascii="Times New Roman" w:eastAsia="Times New Roman" w:hAnsi="Times New Roman" w:cs="Times New Roman"/>
          <w:sz w:val="24"/>
          <w:szCs w:val="24"/>
        </w:rPr>
        <w:t>We estimated the 2019 population size for the LANDIS-simulated area in northeastern Alberta to be 38,466 Canada Warblers (90 % C. I.:</w:t>
      </w:r>
      <w:r>
        <w:t xml:space="preserve"> </w:t>
      </w:r>
      <w:r>
        <w:rPr>
          <w:rFonts w:ascii="Times New Roman" w:eastAsia="Times New Roman" w:hAnsi="Times New Roman" w:cs="Times New Roman"/>
          <w:sz w:val="24"/>
          <w:szCs w:val="24"/>
        </w:rPr>
        <w:t xml:space="preserve">24,597 — 59,886). Under the LANDIS scenarios run in northeastern Alberta, average forest age and relative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coniferous forests decreased over time with increasing global warming and with increasing annual harvest rates. Deciduous tree species cover was less affected by climate change or harvest than coniferous tree species, but open lands (i.e., shrublands) were projected to increase at the expense of total forest amount (Cadieux et al. 2020). In contrast to northern Nova Scotia, in the “best case scenario”, Canada Warbler decreased the least from 2019 – 2100 under a baseline climate with no new harvest. The median trend was observed for a baseline scenario with 6 % annual harvest (the highest simulated amount of harvest), which we then used for our “</w:t>
      </w:r>
      <w:proofErr w:type="gramStart"/>
      <w:r>
        <w:rPr>
          <w:rFonts w:ascii="Times New Roman" w:eastAsia="Times New Roman" w:hAnsi="Times New Roman" w:cs="Times New Roman"/>
          <w:sz w:val="24"/>
          <w:szCs w:val="24"/>
        </w:rPr>
        <w:t>medium-case</w:t>
      </w:r>
      <w:proofErr w:type="gramEnd"/>
      <w:r>
        <w:rPr>
          <w:rFonts w:ascii="Times New Roman" w:eastAsia="Times New Roman" w:hAnsi="Times New Roman" w:cs="Times New Roman"/>
          <w:sz w:val="24"/>
          <w:szCs w:val="24"/>
        </w:rPr>
        <w:t xml:space="preserve">” scenario. The “worst-case” scenario with the most negative Canada Warbler trend was an RCP 4.5 scenario with 6 % annual harvest. Populations in 2100 under the three scenarios were 14,785 (best case: 41.54 % of 2019 population), 12,597 (medium case: 35.39 % of current population), and 10,518 (worst case: 29.55 % of current population). Thus, both a warming climate and increasing rates of harvest are predicted to decrease habitat for and populations of Canada Warbler in Alberta (Figure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5, Table S3.3).</w:t>
      </w:r>
    </w:p>
    <w:p w14:paraId="26BFE684" w14:textId="77777777" w:rsidR="008634CB" w:rsidRDefault="00000000">
      <w:r>
        <w:t xml:space="preserve"> </w:t>
      </w:r>
    </w:p>
    <w:p w14:paraId="2AFB2B13" w14:textId="77F6FDEC"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59783C25" wp14:editId="74A8498E">
            <wp:extent cx="4502150" cy="6959600"/>
            <wp:effectExtent l="0" t="0" r="0" b="0"/>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p&#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02150" cy="6959600"/>
                    </a:xfrm>
                    <a:prstGeom prst="rect">
                      <a:avLst/>
                    </a:prstGeom>
                    <a:noFill/>
                    <a:ln>
                      <a:noFill/>
                    </a:ln>
                  </pic:spPr>
                </pic:pic>
              </a:graphicData>
            </a:graphic>
          </wp:inline>
        </w:drawing>
      </w:r>
    </w:p>
    <w:p w14:paraId="00B03892" w14:textId="5E3C9628"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5. Predicted distribution of Canada Warbler within the LANDIS-II scenarios in the Alberta-Pacific Forest Management Area (Al-Pac FMA), Alberta, Canada. A = current distribution, as of 2019. B = distribution in 2100 under the best-case scenario. C = distribution in 2100 under the medium-case scenario. D = distribution in 2100 under the worst-case scenario.</w:t>
      </w:r>
    </w:p>
    <w:p w14:paraId="165EADAB" w14:textId="4939348A" w:rsidR="00606FBA" w:rsidRDefault="00606FBA" w:rsidP="00606FBA"/>
    <w:p w14:paraId="32A16D8C" w14:textId="05377EA3" w:rsidR="00606FBA" w:rsidRPr="00606FBA" w:rsidRDefault="00606FBA" w:rsidP="00606FBA">
      <w:pPr>
        <w:pStyle w:val="Heading3"/>
        <w:rPr>
          <w:rFonts w:ascii="Times New Roman" w:hAnsi="Times New Roman" w:cs="Times New Roman"/>
          <w:sz w:val="24"/>
          <w:szCs w:val="24"/>
        </w:rPr>
      </w:pPr>
      <w:r w:rsidRPr="00606FBA">
        <w:rPr>
          <w:rFonts w:ascii="Times New Roman" w:hAnsi="Times New Roman" w:cs="Times New Roman"/>
          <w:sz w:val="24"/>
          <w:szCs w:val="24"/>
        </w:rPr>
        <w:lastRenderedPageBreak/>
        <w:t>Nova Scotia LANDIS Scenarios (Canada Warbler)</w:t>
      </w:r>
    </w:p>
    <w:p w14:paraId="0CEC0BAF" w14:textId="3F04AF3C" w:rsidR="008634CB" w:rsidRDefault="00000000" w:rsidP="00606FBA">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We estimated the 2019 population size for the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-simulated area in northern Nova Scotia to be 38,282 Canada Warblers (9</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xml:space="preserve"> % C. I.:</w:t>
      </w:r>
      <w:r>
        <w:t xml:space="preserve"> </w:t>
      </w:r>
      <w:r>
        <w:rPr>
          <w:rFonts w:ascii="Times New Roman" w:eastAsia="Times New Roman" w:hAnsi="Times New Roman" w:cs="Times New Roman"/>
          <w:color w:val="000000"/>
          <w:sz w:val="24"/>
          <w:szCs w:val="24"/>
        </w:rPr>
        <w:t xml:space="preserve">21,198 — 55,367).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scenarios predicted increasing Canada Warbler populations in 2050 relative to 2019 (Fig. 1), with projected populations increasing from RCP 8.5 through RCP 4.5 to baseline climate scenarios. </w:t>
      </w:r>
      <w:r>
        <w:rPr>
          <w:rFonts w:ascii="Times New Roman" w:eastAsia="Times New Roman" w:hAnsi="Times New Roman" w:cs="Times New Roman"/>
          <w:sz w:val="24"/>
          <w:szCs w:val="24"/>
        </w:rPr>
        <w:t>LANDIS</w:t>
      </w:r>
      <w:r>
        <w:rPr>
          <w:rFonts w:ascii="Times New Roman" w:eastAsia="Times New Roman" w:hAnsi="Times New Roman" w:cs="Times New Roman"/>
          <w:color w:val="000000"/>
          <w:sz w:val="24"/>
          <w:szCs w:val="24"/>
        </w:rPr>
        <w:t xml:space="preserve"> scenarios also generally predicted positive population trends from 2019 – 2100 for Canada Warbler in northern Nova Scotia, with higher probability of a positive trend for baseline climate scenarios. In the “best case scenario”, Canada Warbler increased with a large amount of clear-cutting from 2019 – 2100 under a baseline climate. The median trend was observed for an RCP 4.5 scenario with ecosystem-based forest management, which we then used for our “medium-case” scenario. The “worst-case” scenario with the least positive Canada Warbler trend was an RCP 8.5 scenario with ecosystem-based forest management. Populations in 2100 under the three scenarios were 64,430 (best case), 46,057 (medium case), and 38,220 (worst case). Thus, high amounts of harvest were associated with positive effects on future habitat for Canada Warbler under Nova Scotia’s current climate, but harvest effects became negative under global warming (Figure </w:t>
      </w:r>
      <w:r w:rsidR="00F16F48">
        <w:rPr>
          <w:rFonts w:ascii="Times New Roman" w:eastAsia="Times New Roman" w:hAnsi="Times New Roman" w:cs="Times New Roman"/>
          <w:color w:val="000000"/>
          <w:sz w:val="24"/>
          <w:szCs w:val="24"/>
        </w:rPr>
        <w:t>S3.</w:t>
      </w:r>
      <w:r>
        <w:rPr>
          <w:rFonts w:ascii="Times New Roman" w:eastAsia="Times New Roman" w:hAnsi="Times New Roman" w:cs="Times New Roman"/>
          <w:color w:val="000000"/>
          <w:sz w:val="24"/>
          <w:szCs w:val="24"/>
        </w:rPr>
        <w:t xml:space="preserve">6, Table </w:t>
      </w:r>
      <w:r>
        <w:rPr>
          <w:rFonts w:ascii="Times New Roman" w:eastAsia="Times New Roman" w:hAnsi="Times New Roman" w:cs="Times New Roman"/>
          <w:sz w:val="24"/>
          <w:szCs w:val="24"/>
        </w:rPr>
        <w:t>S3.3</w:t>
      </w:r>
      <w:r>
        <w:rPr>
          <w:rFonts w:ascii="Times New Roman" w:eastAsia="Times New Roman" w:hAnsi="Times New Roman" w:cs="Times New Roman"/>
          <w:color w:val="000000"/>
          <w:sz w:val="24"/>
          <w:szCs w:val="24"/>
        </w:rPr>
        <w:t xml:space="preserve">). </w:t>
      </w:r>
    </w:p>
    <w:p w14:paraId="5688DEFE" w14:textId="77777777" w:rsidR="008634CB" w:rsidRDefault="008634CB">
      <w:pPr>
        <w:rPr>
          <w:rFonts w:ascii="Times New Roman" w:eastAsia="Times New Roman" w:hAnsi="Times New Roman" w:cs="Times New Roman"/>
          <w:sz w:val="24"/>
          <w:szCs w:val="24"/>
        </w:rPr>
      </w:pPr>
    </w:p>
    <w:p w14:paraId="5BDF87EF" w14:textId="64C161AD"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69CD1179" wp14:editId="7B2430CF">
            <wp:extent cx="4476750" cy="6921500"/>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76750" cy="6921500"/>
                    </a:xfrm>
                    <a:prstGeom prst="rect">
                      <a:avLst/>
                    </a:prstGeom>
                    <a:noFill/>
                    <a:ln>
                      <a:noFill/>
                    </a:ln>
                  </pic:spPr>
                </pic:pic>
              </a:graphicData>
            </a:graphic>
          </wp:inline>
        </w:drawing>
      </w:r>
    </w:p>
    <w:p w14:paraId="296ECC4B" w14:textId="7B40D69F" w:rsidR="008634CB" w:rsidRDefault="00000000">
      <w:r>
        <w:rPr>
          <w:rFonts w:ascii="Times New Roman" w:eastAsia="Times New Roman" w:hAnsi="Times New Roman" w:cs="Times New Roman"/>
          <w:sz w:val="24"/>
          <w:szCs w:val="24"/>
        </w:rPr>
        <w:t xml:space="preserve">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6. Predicted distribution of Canada Warbler within the LANDIS-II scenarios in the northern Nova Scotia management unit used in regional modeling, Canada. A = current distribution, as of 2019. B = distribution in 2100 under the best-case scenario. C = distribution in 2100 under the medium-case scenario. D = distribution in 2100 under the worst-case scenario.</w:t>
      </w:r>
    </w:p>
    <w:p w14:paraId="1AA02560" w14:textId="43D85A0D" w:rsidR="008634CB" w:rsidRPr="00606FBA" w:rsidRDefault="00606FBA" w:rsidP="00606FBA">
      <w:pPr>
        <w:pStyle w:val="Heading3"/>
        <w:rPr>
          <w:rFonts w:ascii="Times New Roman" w:hAnsi="Times New Roman" w:cs="Times New Roman"/>
          <w:sz w:val="24"/>
          <w:szCs w:val="24"/>
        </w:rPr>
      </w:pPr>
      <w:r w:rsidRPr="00606FBA">
        <w:rPr>
          <w:rFonts w:ascii="Times New Roman" w:hAnsi="Times New Roman" w:cs="Times New Roman"/>
          <w:sz w:val="24"/>
          <w:szCs w:val="24"/>
        </w:rPr>
        <w:lastRenderedPageBreak/>
        <w:t>Quebec, New Brunswick, Nova Scotia LANDIS Scenarios (Wood Thrush)</w:t>
      </w:r>
    </w:p>
    <w:p w14:paraId="0CC69C56" w14:textId="6F074079" w:rsidR="008634CB" w:rsidRDefault="00000000" w:rsidP="00606FBA">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Wood Thrush was projected to double from 2019 – 2100 within its range in southern Quebec, New Brunswick, and Nova Scotia, under all LANDIS scenarios that were run. In its Quebec range, Wood Thrush increased from 612,380 (577,207 — 647,552) males in 2019 to 1,170,333 - 1,281,868 males in 2100, depending on the scenario, with smaller increases in harvest scenarios and greater increases with moderate amounts of climate change (RCP 45 scenarios). In its New Brunswick range, Wood Thrush increased from 169,926 (159,611 — 180,242) to 261,693 - 461,209 males, with greater projected increases in warmer climate change scenarios. In its Nova Scotia range, Wood Thrush increased from 71,533 (66,106 — 76,960</w:t>
      </w:r>
      <w:proofErr w:type="gramStart"/>
      <w:r>
        <w:rPr>
          <w:rFonts w:ascii="Times New Roman" w:eastAsia="Times New Roman" w:hAnsi="Times New Roman" w:cs="Times New Roman"/>
          <w:sz w:val="24"/>
          <w:szCs w:val="24"/>
        </w:rPr>
        <w:t>)  males</w:t>
      </w:r>
      <w:proofErr w:type="gramEnd"/>
      <w:r>
        <w:rPr>
          <w:rFonts w:ascii="Times New Roman" w:eastAsia="Times New Roman" w:hAnsi="Times New Roman" w:cs="Times New Roman"/>
          <w:sz w:val="24"/>
          <w:szCs w:val="24"/>
        </w:rPr>
        <w:t xml:space="preserve"> in 2019 to 199,405 – 268,721 males, with greater increases in warmer climate change scenarios and harvest scenarios (Figures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 xml:space="preserve">7 </w:t>
      </w:r>
      <w:r w:rsidR="00F16F4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9, Table S3.3).</w:t>
      </w:r>
    </w:p>
    <w:p w14:paraId="3A683528" w14:textId="77777777" w:rsidR="008634CB" w:rsidRDefault="008634CB">
      <w:pPr>
        <w:ind w:firstLine="720"/>
        <w:rPr>
          <w:rFonts w:ascii="Times New Roman" w:eastAsia="Times New Roman" w:hAnsi="Times New Roman" w:cs="Times New Roman"/>
          <w:sz w:val="24"/>
          <w:szCs w:val="24"/>
        </w:rPr>
      </w:pPr>
    </w:p>
    <w:p w14:paraId="4ACC15EC" w14:textId="7D239979"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59C3BC54" wp14:editId="451CC8A5">
            <wp:extent cx="4159250" cy="643890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59250" cy="6438900"/>
                    </a:xfrm>
                    <a:prstGeom prst="rect">
                      <a:avLst/>
                    </a:prstGeom>
                    <a:noFill/>
                    <a:ln>
                      <a:noFill/>
                    </a:ln>
                  </pic:spPr>
                </pic:pic>
              </a:graphicData>
            </a:graphic>
          </wp:inline>
        </w:drawing>
      </w:r>
    </w:p>
    <w:p w14:paraId="1271E923" w14:textId="7E495DBB"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7. Predicted distribution of Wood Thrush within the LANDIS-II scenarios within the Wood Thrush range in Quebec, Canada. A = current distribution, as of 2020. B = distribution in 2100 under the best-case scenario. C = distribution in 2100 under the medium-case scenario. D = distribution in 2100 under the worst-case scenario.</w:t>
      </w:r>
    </w:p>
    <w:p w14:paraId="3709947E" w14:textId="77777777" w:rsidR="008634CB" w:rsidRDefault="008634CB">
      <w:pPr>
        <w:rPr>
          <w:rFonts w:ascii="Times New Roman" w:eastAsia="Times New Roman" w:hAnsi="Times New Roman" w:cs="Times New Roman"/>
          <w:sz w:val="24"/>
          <w:szCs w:val="24"/>
        </w:rPr>
      </w:pPr>
    </w:p>
    <w:p w14:paraId="05928922" w14:textId="08694A4F"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4A545B04" wp14:editId="213489A3">
            <wp:extent cx="4400550" cy="6813550"/>
            <wp:effectExtent l="0" t="0" r="0" b="6350"/>
            <wp:docPr id="14" name="Picture 1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0" cy="6813550"/>
                    </a:xfrm>
                    <a:prstGeom prst="rect">
                      <a:avLst/>
                    </a:prstGeom>
                    <a:noFill/>
                    <a:ln>
                      <a:noFill/>
                    </a:ln>
                  </pic:spPr>
                </pic:pic>
              </a:graphicData>
            </a:graphic>
          </wp:inline>
        </w:drawing>
      </w:r>
    </w:p>
    <w:p w14:paraId="61A38B48"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Predicted distribution of Wood Thrush within the LANDIS-II scenarios within the Wood Thrush range in New Brunswick, Canada. A = current distribution, as of 2020. B = distribution in 2100 under the best-case scenario. C = distribution in 2100 under the medium-case scenario. D = distribution in 2100 under the worst-case scenario.</w:t>
      </w:r>
    </w:p>
    <w:p w14:paraId="5A233042" w14:textId="4D80918B"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585C691F" wp14:editId="6C39AC1E">
            <wp:extent cx="4495800" cy="6940550"/>
            <wp:effectExtent l="0" t="0" r="0" b="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Map&#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5800" cy="6940550"/>
                    </a:xfrm>
                    <a:prstGeom prst="rect">
                      <a:avLst/>
                    </a:prstGeom>
                    <a:noFill/>
                    <a:ln>
                      <a:noFill/>
                    </a:ln>
                  </pic:spPr>
                </pic:pic>
              </a:graphicData>
            </a:graphic>
          </wp:inline>
        </w:drawing>
      </w:r>
    </w:p>
    <w:p w14:paraId="12FF2B6C" w14:textId="4DF4F233"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9. Predicted distribution of Wood Thrush within the LANDIS-II scenarios within the Wood Thrush range in Nova Scotia, Canada. A = current distribution, as of 2020. B = distribution in 2100 under the best-case scenario. C = distribution in 2100 under the medium-case scenario. D = distribution in 2100 under the worst-case scenario.</w:t>
      </w:r>
    </w:p>
    <w:p w14:paraId="623180BC" w14:textId="77777777" w:rsidR="008634CB" w:rsidRDefault="008634CB">
      <w:pPr>
        <w:ind w:firstLine="720"/>
        <w:rPr>
          <w:rFonts w:ascii="Times New Roman" w:eastAsia="Times New Roman" w:hAnsi="Times New Roman" w:cs="Times New Roman"/>
          <w:sz w:val="24"/>
          <w:szCs w:val="24"/>
        </w:rPr>
      </w:pPr>
    </w:p>
    <w:p w14:paraId="4E3F916C" w14:textId="41FEFA3E" w:rsidR="00606FBA" w:rsidRPr="00606FBA" w:rsidRDefault="00606FBA" w:rsidP="00606FBA">
      <w:pPr>
        <w:pStyle w:val="Heading2"/>
        <w:rPr>
          <w:rFonts w:ascii="Times New Roman" w:hAnsi="Times New Roman" w:cs="Times New Roman"/>
          <w:sz w:val="24"/>
          <w:szCs w:val="24"/>
        </w:rPr>
      </w:pPr>
      <w:r w:rsidRPr="00606FBA">
        <w:rPr>
          <w:rFonts w:ascii="Times New Roman" w:hAnsi="Times New Roman" w:cs="Times New Roman"/>
          <w:sz w:val="24"/>
          <w:szCs w:val="24"/>
        </w:rPr>
        <w:lastRenderedPageBreak/>
        <w:t>ALCES Online</w:t>
      </w:r>
    </w:p>
    <w:p w14:paraId="6DD30113" w14:textId="4D3C3420" w:rsidR="00606FBA" w:rsidRPr="00606FBA" w:rsidRDefault="00606FBA" w:rsidP="00606FBA">
      <w:pPr>
        <w:pStyle w:val="Heading3"/>
        <w:rPr>
          <w:rFonts w:ascii="Times New Roman" w:hAnsi="Times New Roman" w:cs="Times New Roman"/>
          <w:sz w:val="24"/>
          <w:szCs w:val="24"/>
        </w:rPr>
      </w:pPr>
      <w:r w:rsidRPr="00606FBA">
        <w:rPr>
          <w:rFonts w:ascii="Times New Roman" w:hAnsi="Times New Roman" w:cs="Times New Roman"/>
          <w:sz w:val="24"/>
          <w:szCs w:val="24"/>
        </w:rPr>
        <w:t>Ontario ALCES Online Scenario (Wood Thrush)</w:t>
      </w:r>
    </w:p>
    <w:p w14:paraId="20249679" w14:textId="05F2CA17" w:rsidR="008634CB" w:rsidRDefault="00000000" w:rsidP="00606FB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Wood Thrush was projected to increase within its Ontario range, albeit non-significantly with high uncertainty, based on the ALCES Online scenario that was run. Wood Thrush increased from an estimated population of 547,548 (407,614 — 719,014) males in 2019 to 627,322 (12,678 — 1,365,852) males in 2070 (Figure </w:t>
      </w:r>
      <w:r w:rsidR="00F16F48">
        <w:rPr>
          <w:rFonts w:ascii="Times New Roman" w:eastAsia="Times New Roman" w:hAnsi="Times New Roman" w:cs="Times New Roman"/>
          <w:sz w:val="24"/>
          <w:szCs w:val="24"/>
        </w:rPr>
        <w:t>S3.</w:t>
      </w:r>
      <w:r>
        <w:rPr>
          <w:rFonts w:ascii="Times New Roman" w:eastAsia="Times New Roman" w:hAnsi="Times New Roman" w:cs="Times New Roman"/>
          <w:sz w:val="24"/>
          <w:szCs w:val="24"/>
        </w:rPr>
        <w:t xml:space="preserve">10, Table S3.3). </w:t>
      </w:r>
    </w:p>
    <w:p w14:paraId="36AD6232" w14:textId="77777777" w:rsidR="008634CB" w:rsidRDefault="008634CB">
      <w:pPr>
        <w:ind w:firstLine="720"/>
        <w:rPr>
          <w:rFonts w:ascii="Times New Roman" w:eastAsia="Times New Roman" w:hAnsi="Times New Roman" w:cs="Times New Roman"/>
          <w:sz w:val="24"/>
          <w:szCs w:val="24"/>
        </w:rPr>
      </w:pPr>
    </w:p>
    <w:p w14:paraId="349CE185" w14:textId="3BFCA1F1" w:rsidR="008634CB" w:rsidRDefault="00CE54AF">
      <w:pPr>
        <w:rPr>
          <w:rFonts w:ascii="Times New Roman" w:eastAsia="Times New Roman" w:hAnsi="Times New Roman" w:cs="Times New Roman"/>
          <w:sz w:val="24"/>
          <w:szCs w:val="24"/>
        </w:rPr>
      </w:pPr>
      <w:r>
        <w:rPr>
          <w:noProof/>
          <w:color w:val="000000"/>
          <w:bdr w:val="none" w:sz="0" w:space="0" w:color="auto" w:frame="1"/>
        </w:rPr>
        <w:lastRenderedPageBreak/>
        <w:drawing>
          <wp:inline distT="0" distB="0" distL="0" distR="0" wp14:anchorId="65DD6AB9" wp14:editId="7A5422AE">
            <wp:extent cx="4267200" cy="6597650"/>
            <wp:effectExtent l="0" t="0" r="0" b="0"/>
            <wp:docPr id="16" name="Picture 1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67200" cy="6597650"/>
                    </a:xfrm>
                    <a:prstGeom prst="rect">
                      <a:avLst/>
                    </a:prstGeom>
                    <a:noFill/>
                    <a:ln>
                      <a:noFill/>
                    </a:ln>
                  </pic:spPr>
                </pic:pic>
              </a:graphicData>
            </a:graphic>
          </wp:inline>
        </w:drawing>
      </w:r>
    </w:p>
    <w:p w14:paraId="01847E7E" w14:textId="33E6AB62"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w:t>
      </w:r>
      <w:r w:rsidR="00F16F48">
        <w:rPr>
          <w:rFonts w:ascii="Times New Roman" w:eastAsia="Times New Roman" w:hAnsi="Times New Roman" w:cs="Times New Roman"/>
          <w:sz w:val="24"/>
          <w:szCs w:val="24"/>
        </w:rPr>
        <w:t>S3.10</w:t>
      </w:r>
      <w:r>
        <w:rPr>
          <w:rFonts w:ascii="Times New Roman" w:eastAsia="Times New Roman" w:hAnsi="Times New Roman" w:cs="Times New Roman"/>
          <w:sz w:val="24"/>
          <w:szCs w:val="24"/>
        </w:rPr>
        <w:t>. Predicted distribution of Wood Thrush within the ALCES Online scenario within the Wood Thrush range in Ontario, Canada. A = current distribution, as of 2020. B = distribution in 2070 under the ALCES Online scenario.</w:t>
      </w:r>
    </w:p>
    <w:p w14:paraId="52F54CB6" w14:textId="77777777" w:rsidR="008634CB" w:rsidRDefault="008634CB">
      <w:pPr>
        <w:ind w:firstLine="720"/>
        <w:rPr>
          <w:rFonts w:ascii="Times New Roman" w:eastAsia="Times New Roman" w:hAnsi="Times New Roman" w:cs="Times New Roman"/>
          <w:sz w:val="24"/>
          <w:szCs w:val="24"/>
        </w:rPr>
      </w:pPr>
    </w:p>
    <w:p w14:paraId="69C8B8C5" w14:textId="77777777" w:rsidR="00750104" w:rsidRDefault="00750104">
      <w:pPr>
        <w:rPr>
          <w:rFonts w:ascii="Times New Roman" w:eastAsia="Times New Roman" w:hAnsi="Times New Roman" w:cs="Times New Roman"/>
          <w:sz w:val="24"/>
          <w:szCs w:val="24"/>
        </w:rPr>
      </w:pPr>
    </w:p>
    <w:p w14:paraId="278CD104" w14:textId="123AFB71"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S3.1. Annual harvest area (ha/</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under different LANDIS scenarios for Canada Warbler (CAWA) in northern Nova Scotia and Alberta, and for Wood Thrush (WOTH) in southern Quebec, New Brunswick, and southern Nova Scotia.</w:t>
      </w:r>
      <w:r w:rsidR="0088333B">
        <w:rPr>
          <w:rFonts w:ascii="Times New Roman" w:eastAsia="Times New Roman" w:hAnsi="Times New Roman" w:cs="Times New Roman"/>
          <w:sz w:val="24"/>
          <w:szCs w:val="24"/>
        </w:rPr>
        <w:t xml:space="preserve"> EBFM = </w:t>
      </w:r>
      <w:proofErr w:type="gramStart"/>
      <w:r w:rsidR="0088333B">
        <w:rPr>
          <w:rFonts w:ascii="Times New Roman" w:eastAsia="Times New Roman" w:hAnsi="Times New Roman" w:cs="Times New Roman"/>
          <w:sz w:val="24"/>
          <w:szCs w:val="24"/>
        </w:rPr>
        <w:t>Ecosystem-based forest</w:t>
      </w:r>
      <w:proofErr w:type="gramEnd"/>
      <w:r w:rsidR="0088333B">
        <w:rPr>
          <w:rFonts w:ascii="Times New Roman" w:eastAsia="Times New Roman" w:hAnsi="Times New Roman" w:cs="Times New Roman"/>
          <w:sz w:val="24"/>
          <w:szCs w:val="24"/>
        </w:rPr>
        <w:t xml:space="preserve"> management.</w:t>
      </w:r>
      <w:r w:rsidR="00750104">
        <w:rPr>
          <w:rFonts w:ascii="Times New Roman" w:eastAsia="Times New Roman" w:hAnsi="Times New Roman" w:cs="Times New Roman"/>
          <w:sz w:val="24"/>
          <w:szCs w:val="24"/>
        </w:rPr>
        <w:t xml:space="preserve"> AB = Alberta. NS = Nova Scotia. NB = New Brunswick. QUE = Quebec.</w:t>
      </w:r>
    </w:p>
    <w:p w14:paraId="603B3ECC" w14:textId="77777777" w:rsidR="008634CB" w:rsidRDefault="008634CB">
      <w:pPr>
        <w:rPr>
          <w:rFonts w:ascii="Times New Roman" w:eastAsia="Times New Roman" w:hAnsi="Times New Roman" w:cs="Times New Roman"/>
          <w:sz w:val="24"/>
          <w:szCs w:val="24"/>
        </w:rPr>
      </w:pPr>
    </w:p>
    <w:tbl>
      <w:tblPr>
        <w:tblStyle w:val="ae"/>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22"/>
        <w:gridCol w:w="898"/>
        <w:gridCol w:w="931"/>
        <w:gridCol w:w="888"/>
        <w:gridCol w:w="851"/>
        <w:gridCol w:w="850"/>
        <w:gridCol w:w="709"/>
        <w:gridCol w:w="850"/>
        <w:gridCol w:w="679"/>
        <w:gridCol w:w="1022"/>
        <w:gridCol w:w="860"/>
      </w:tblGrid>
      <w:tr w:rsidR="008634CB" w:rsidRPr="0088333B" w14:paraId="62D71AB8" w14:textId="77777777" w:rsidTr="0088333B">
        <w:trPr>
          <w:trHeight w:val="425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508BA"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Species</w:t>
            </w:r>
          </w:p>
        </w:tc>
        <w:tc>
          <w:tcPr>
            <w:tcW w:w="8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CA1A1"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Region</w:t>
            </w:r>
          </w:p>
        </w:tc>
        <w:tc>
          <w:tcPr>
            <w:tcW w:w="93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21AA6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Region Area</w:t>
            </w:r>
          </w:p>
        </w:tc>
        <w:tc>
          <w:tcPr>
            <w:tcW w:w="88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40B1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 Harvest</w:t>
            </w:r>
          </w:p>
        </w:tc>
        <w:tc>
          <w:tcPr>
            <w:tcW w:w="85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793B22" w14:textId="7CC06262"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Partial</w:t>
            </w:r>
            <w:r w:rsidR="0088333B">
              <w:rPr>
                <w:rFonts w:ascii="Times New Roman" w:eastAsia="Times New Roman" w:hAnsi="Times New Roman" w:cs="Times New Roman"/>
                <w:sz w:val="20"/>
                <w:szCs w:val="20"/>
              </w:rPr>
              <w:t>-cut</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E446C" w14:textId="190ACD62"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Partial</w:t>
            </w:r>
            <w:r w:rsidR="0088333B">
              <w:rPr>
                <w:rFonts w:ascii="Times New Roman" w:eastAsia="Times New Roman" w:hAnsi="Times New Roman" w:cs="Times New Roman"/>
                <w:sz w:val="20"/>
                <w:szCs w:val="20"/>
              </w:rPr>
              <w:t>-cut</w:t>
            </w:r>
          </w:p>
        </w:tc>
        <w:tc>
          <w:tcPr>
            <w:tcW w:w="70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F3982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Clear-cut</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0335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w:t>
            </w:r>
          </w:p>
        </w:tc>
        <w:tc>
          <w:tcPr>
            <w:tcW w:w="67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5E1BB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Clear-cut</w:t>
            </w:r>
          </w:p>
        </w:tc>
        <w:tc>
          <w:tcPr>
            <w:tcW w:w="1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59510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Moderate Clear-cut (AB) (0.3%)</w:t>
            </w:r>
          </w:p>
        </w:tc>
        <w:tc>
          <w:tcPr>
            <w:tcW w:w="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858F4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Clear-cut (AB) (0.6%)</w:t>
            </w:r>
          </w:p>
        </w:tc>
      </w:tr>
      <w:tr w:rsidR="008634CB" w:rsidRPr="0088333B" w14:paraId="0F78941D" w14:textId="77777777" w:rsidTr="0088333B">
        <w:trPr>
          <w:trHeight w:val="74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28E2F3"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CAWA</w:t>
            </w:r>
          </w:p>
        </w:tc>
        <w:tc>
          <w:tcPr>
            <w:tcW w:w="898" w:type="dxa"/>
            <w:tcMar>
              <w:top w:w="100" w:type="dxa"/>
              <w:left w:w="100" w:type="dxa"/>
              <w:bottom w:w="100" w:type="dxa"/>
              <w:right w:w="100" w:type="dxa"/>
            </w:tcMar>
          </w:tcPr>
          <w:p w14:paraId="489789E0"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AB</w:t>
            </w:r>
          </w:p>
        </w:tc>
        <w:tc>
          <w:tcPr>
            <w:tcW w:w="931" w:type="dxa"/>
            <w:tcMar>
              <w:top w:w="100" w:type="dxa"/>
              <w:left w:w="100" w:type="dxa"/>
              <w:bottom w:w="100" w:type="dxa"/>
              <w:right w:w="100" w:type="dxa"/>
            </w:tcMar>
          </w:tcPr>
          <w:p w14:paraId="78912B1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5,103,581</w:t>
            </w:r>
          </w:p>
        </w:tc>
        <w:tc>
          <w:tcPr>
            <w:tcW w:w="888" w:type="dxa"/>
            <w:tcMar>
              <w:top w:w="100" w:type="dxa"/>
              <w:left w:w="100" w:type="dxa"/>
              <w:bottom w:w="100" w:type="dxa"/>
              <w:right w:w="100" w:type="dxa"/>
            </w:tcMar>
          </w:tcPr>
          <w:p w14:paraId="7430087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851" w:type="dxa"/>
            <w:tcMar>
              <w:top w:w="100" w:type="dxa"/>
              <w:left w:w="100" w:type="dxa"/>
              <w:bottom w:w="100" w:type="dxa"/>
              <w:right w:w="100" w:type="dxa"/>
            </w:tcMar>
          </w:tcPr>
          <w:p w14:paraId="71C0E2A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0FC396B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709" w:type="dxa"/>
            <w:tcMar>
              <w:top w:w="100" w:type="dxa"/>
              <w:left w:w="100" w:type="dxa"/>
              <w:bottom w:w="100" w:type="dxa"/>
              <w:right w:w="100" w:type="dxa"/>
            </w:tcMar>
          </w:tcPr>
          <w:p w14:paraId="5D794B3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1148207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679" w:type="dxa"/>
            <w:tcMar>
              <w:top w:w="100" w:type="dxa"/>
              <w:left w:w="100" w:type="dxa"/>
              <w:bottom w:w="100" w:type="dxa"/>
              <w:right w:w="100" w:type="dxa"/>
            </w:tcMar>
          </w:tcPr>
          <w:p w14:paraId="1711CBF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1022" w:type="dxa"/>
            <w:tcMar>
              <w:top w:w="100" w:type="dxa"/>
              <w:left w:w="100" w:type="dxa"/>
              <w:bottom w:w="100" w:type="dxa"/>
              <w:right w:w="100" w:type="dxa"/>
            </w:tcMar>
          </w:tcPr>
          <w:p w14:paraId="20C9D989" w14:textId="10570D66"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000</w:t>
            </w:r>
          </w:p>
        </w:tc>
        <w:tc>
          <w:tcPr>
            <w:tcW w:w="860" w:type="dxa"/>
            <w:tcMar>
              <w:top w:w="100" w:type="dxa"/>
              <w:left w:w="100" w:type="dxa"/>
              <w:bottom w:w="100" w:type="dxa"/>
              <w:right w:w="100" w:type="dxa"/>
            </w:tcMar>
          </w:tcPr>
          <w:p w14:paraId="7AAB0F58" w14:textId="76A9A9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000</w:t>
            </w:r>
          </w:p>
        </w:tc>
      </w:tr>
      <w:tr w:rsidR="008634CB" w:rsidRPr="0088333B" w14:paraId="6206E850" w14:textId="77777777" w:rsidTr="0088333B">
        <w:trPr>
          <w:trHeight w:val="101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6DACE"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CAWA</w:t>
            </w:r>
          </w:p>
        </w:tc>
        <w:tc>
          <w:tcPr>
            <w:tcW w:w="898" w:type="dxa"/>
            <w:tcMar>
              <w:top w:w="100" w:type="dxa"/>
              <w:left w:w="100" w:type="dxa"/>
              <w:bottom w:w="100" w:type="dxa"/>
              <w:right w:w="100" w:type="dxa"/>
            </w:tcMar>
          </w:tcPr>
          <w:p w14:paraId="1094C224"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NS</w:t>
            </w:r>
          </w:p>
        </w:tc>
        <w:tc>
          <w:tcPr>
            <w:tcW w:w="931" w:type="dxa"/>
            <w:tcMar>
              <w:top w:w="100" w:type="dxa"/>
              <w:left w:w="100" w:type="dxa"/>
              <w:bottom w:w="100" w:type="dxa"/>
              <w:right w:w="100" w:type="dxa"/>
            </w:tcMar>
          </w:tcPr>
          <w:p w14:paraId="35E8A67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2,610,300</w:t>
            </w:r>
          </w:p>
        </w:tc>
        <w:tc>
          <w:tcPr>
            <w:tcW w:w="888" w:type="dxa"/>
            <w:tcMar>
              <w:top w:w="100" w:type="dxa"/>
              <w:left w:w="100" w:type="dxa"/>
              <w:bottom w:w="100" w:type="dxa"/>
              <w:right w:w="100" w:type="dxa"/>
            </w:tcMar>
          </w:tcPr>
          <w:p w14:paraId="3947C0D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851" w:type="dxa"/>
            <w:tcMar>
              <w:top w:w="100" w:type="dxa"/>
              <w:left w:w="100" w:type="dxa"/>
              <w:bottom w:w="100" w:type="dxa"/>
              <w:right w:w="100" w:type="dxa"/>
            </w:tcMar>
          </w:tcPr>
          <w:p w14:paraId="10BE7B49" w14:textId="68FEF9E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7</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786</w:t>
            </w:r>
          </w:p>
        </w:tc>
        <w:tc>
          <w:tcPr>
            <w:tcW w:w="850" w:type="dxa"/>
            <w:tcMar>
              <w:top w:w="100" w:type="dxa"/>
              <w:left w:w="100" w:type="dxa"/>
              <w:bottom w:w="100" w:type="dxa"/>
              <w:right w:w="100" w:type="dxa"/>
            </w:tcMar>
          </w:tcPr>
          <w:p w14:paraId="768C5E4E" w14:textId="18C4E37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15</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571</w:t>
            </w:r>
          </w:p>
        </w:tc>
        <w:tc>
          <w:tcPr>
            <w:tcW w:w="709" w:type="dxa"/>
            <w:tcMar>
              <w:top w:w="100" w:type="dxa"/>
              <w:left w:w="100" w:type="dxa"/>
              <w:bottom w:w="100" w:type="dxa"/>
              <w:right w:w="100" w:type="dxa"/>
            </w:tcMar>
          </w:tcPr>
          <w:p w14:paraId="020ADEC9" w14:textId="54560A1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17</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517</w:t>
            </w:r>
          </w:p>
        </w:tc>
        <w:tc>
          <w:tcPr>
            <w:tcW w:w="850" w:type="dxa"/>
            <w:tcMar>
              <w:top w:w="100" w:type="dxa"/>
              <w:left w:w="100" w:type="dxa"/>
              <w:bottom w:w="100" w:type="dxa"/>
              <w:right w:w="100" w:type="dxa"/>
            </w:tcMar>
          </w:tcPr>
          <w:p w14:paraId="76116FA7" w14:textId="03CDFC5C"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156</w:t>
            </w:r>
          </w:p>
        </w:tc>
        <w:tc>
          <w:tcPr>
            <w:tcW w:w="679" w:type="dxa"/>
            <w:tcMar>
              <w:top w:w="100" w:type="dxa"/>
              <w:left w:w="100" w:type="dxa"/>
              <w:bottom w:w="100" w:type="dxa"/>
              <w:right w:w="100" w:type="dxa"/>
            </w:tcMar>
          </w:tcPr>
          <w:p w14:paraId="15F54113" w14:textId="12307B83"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35</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035</w:t>
            </w:r>
          </w:p>
        </w:tc>
        <w:tc>
          <w:tcPr>
            <w:tcW w:w="1022" w:type="dxa"/>
            <w:tcMar>
              <w:top w:w="100" w:type="dxa"/>
              <w:left w:w="100" w:type="dxa"/>
              <w:bottom w:w="100" w:type="dxa"/>
              <w:right w:w="100" w:type="dxa"/>
            </w:tcMar>
          </w:tcPr>
          <w:p w14:paraId="7CCE339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60" w:type="dxa"/>
            <w:tcMar>
              <w:top w:w="100" w:type="dxa"/>
              <w:left w:w="100" w:type="dxa"/>
              <w:bottom w:w="100" w:type="dxa"/>
              <w:right w:w="100" w:type="dxa"/>
            </w:tcMar>
          </w:tcPr>
          <w:p w14:paraId="0D9D2E5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r>
      <w:tr w:rsidR="008634CB" w:rsidRPr="0088333B" w14:paraId="4F4FD5BE" w14:textId="77777777" w:rsidTr="0088333B">
        <w:trPr>
          <w:trHeight w:val="101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0B2DD0"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WOTH</w:t>
            </w:r>
          </w:p>
        </w:tc>
        <w:tc>
          <w:tcPr>
            <w:tcW w:w="898" w:type="dxa"/>
            <w:tcMar>
              <w:top w:w="100" w:type="dxa"/>
              <w:left w:w="100" w:type="dxa"/>
              <w:bottom w:w="100" w:type="dxa"/>
              <w:right w:w="100" w:type="dxa"/>
            </w:tcMar>
          </w:tcPr>
          <w:p w14:paraId="4DE95BDA"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NB</w:t>
            </w:r>
          </w:p>
        </w:tc>
        <w:tc>
          <w:tcPr>
            <w:tcW w:w="931" w:type="dxa"/>
            <w:tcMar>
              <w:top w:w="100" w:type="dxa"/>
              <w:left w:w="100" w:type="dxa"/>
              <w:bottom w:w="100" w:type="dxa"/>
              <w:right w:w="100" w:type="dxa"/>
            </w:tcMar>
          </w:tcPr>
          <w:p w14:paraId="0C75AB7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6,431,194</w:t>
            </w:r>
          </w:p>
        </w:tc>
        <w:tc>
          <w:tcPr>
            <w:tcW w:w="888" w:type="dxa"/>
            <w:tcMar>
              <w:top w:w="100" w:type="dxa"/>
              <w:left w:w="100" w:type="dxa"/>
              <w:bottom w:w="100" w:type="dxa"/>
              <w:right w:w="100" w:type="dxa"/>
            </w:tcMar>
          </w:tcPr>
          <w:p w14:paraId="1940A67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1" w:type="dxa"/>
            <w:tcMar>
              <w:top w:w="100" w:type="dxa"/>
              <w:left w:w="100" w:type="dxa"/>
              <w:bottom w:w="100" w:type="dxa"/>
              <w:right w:w="100" w:type="dxa"/>
            </w:tcMar>
          </w:tcPr>
          <w:p w14:paraId="603EE4B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67D9373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709" w:type="dxa"/>
            <w:tcMar>
              <w:top w:w="100" w:type="dxa"/>
              <w:left w:w="100" w:type="dxa"/>
              <w:bottom w:w="100" w:type="dxa"/>
              <w:right w:w="100" w:type="dxa"/>
            </w:tcMar>
          </w:tcPr>
          <w:p w14:paraId="13291B8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2B126B0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679" w:type="dxa"/>
            <w:tcMar>
              <w:top w:w="100" w:type="dxa"/>
              <w:left w:w="100" w:type="dxa"/>
              <w:bottom w:w="100" w:type="dxa"/>
              <w:right w:w="100" w:type="dxa"/>
            </w:tcMar>
          </w:tcPr>
          <w:p w14:paraId="7CA1BD77" w14:textId="775EFD83"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403</w:t>
            </w:r>
          </w:p>
        </w:tc>
        <w:tc>
          <w:tcPr>
            <w:tcW w:w="1022" w:type="dxa"/>
            <w:tcMar>
              <w:top w:w="100" w:type="dxa"/>
              <w:left w:w="100" w:type="dxa"/>
              <w:bottom w:w="100" w:type="dxa"/>
              <w:right w:w="100" w:type="dxa"/>
            </w:tcMar>
          </w:tcPr>
          <w:p w14:paraId="63EE861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60" w:type="dxa"/>
            <w:tcMar>
              <w:top w:w="100" w:type="dxa"/>
              <w:left w:w="100" w:type="dxa"/>
              <w:bottom w:w="100" w:type="dxa"/>
              <w:right w:w="100" w:type="dxa"/>
            </w:tcMar>
          </w:tcPr>
          <w:p w14:paraId="509A6CE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r>
      <w:tr w:rsidR="008634CB" w:rsidRPr="0088333B" w14:paraId="38C3B479" w14:textId="77777777" w:rsidTr="0088333B">
        <w:trPr>
          <w:trHeight w:val="101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C7CA57"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WOTH</w:t>
            </w:r>
          </w:p>
        </w:tc>
        <w:tc>
          <w:tcPr>
            <w:tcW w:w="898" w:type="dxa"/>
            <w:tcMar>
              <w:top w:w="100" w:type="dxa"/>
              <w:left w:w="100" w:type="dxa"/>
              <w:bottom w:w="100" w:type="dxa"/>
              <w:right w:w="100" w:type="dxa"/>
            </w:tcMar>
          </w:tcPr>
          <w:p w14:paraId="3FAA5029"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NS</w:t>
            </w:r>
          </w:p>
        </w:tc>
        <w:tc>
          <w:tcPr>
            <w:tcW w:w="931" w:type="dxa"/>
            <w:tcMar>
              <w:top w:w="100" w:type="dxa"/>
              <w:left w:w="100" w:type="dxa"/>
              <w:bottom w:w="100" w:type="dxa"/>
              <w:right w:w="100" w:type="dxa"/>
            </w:tcMar>
          </w:tcPr>
          <w:p w14:paraId="03D2059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5,085,488</w:t>
            </w:r>
          </w:p>
        </w:tc>
        <w:tc>
          <w:tcPr>
            <w:tcW w:w="888" w:type="dxa"/>
            <w:tcMar>
              <w:top w:w="100" w:type="dxa"/>
              <w:left w:w="100" w:type="dxa"/>
              <w:bottom w:w="100" w:type="dxa"/>
              <w:right w:w="100" w:type="dxa"/>
            </w:tcMar>
          </w:tcPr>
          <w:p w14:paraId="2B2D63C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851" w:type="dxa"/>
            <w:tcMar>
              <w:top w:w="100" w:type="dxa"/>
              <w:left w:w="100" w:type="dxa"/>
              <w:bottom w:w="100" w:type="dxa"/>
              <w:right w:w="100" w:type="dxa"/>
            </w:tcMar>
          </w:tcPr>
          <w:p w14:paraId="075873D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67602C8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709" w:type="dxa"/>
            <w:tcMar>
              <w:top w:w="100" w:type="dxa"/>
              <w:left w:w="100" w:type="dxa"/>
              <w:bottom w:w="100" w:type="dxa"/>
              <w:right w:w="100" w:type="dxa"/>
            </w:tcMar>
          </w:tcPr>
          <w:p w14:paraId="6F99572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68B1C677" w14:textId="65D728E6"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40</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572</w:t>
            </w:r>
          </w:p>
        </w:tc>
        <w:tc>
          <w:tcPr>
            <w:tcW w:w="679" w:type="dxa"/>
            <w:tcMar>
              <w:top w:w="100" w:type="dxa"/>
              <w:left w:w="100" w:type="dxa"/>
              <w:bottom w:w="100" w:type="dxa"/>
              <w:right w:w="100" w:type="dxa"/>
            </w:tcMar>
          </w:tcPr>
          <w:p w14:paraId="0717A5C4" w14:textId="28E514E2"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343</w:t>
            </w:r>
          </w:p>
        </w:tc>
        <w:tc>
          <w:tcPr>
            <w:tcW w:w="1022" w:type="dxa"/>
            <w:tcMar>
              <w:top w:w="100" w:type="dxa"/>
              <w:left w:w="100" w:type="dxa"/>
              <w:bottom w:w="100" w:type="dxa"/>
              <w:right w:w="100" w:type="dxa"/>
            </w:tcMar>
          </w:tcPr>
          <w:p w14:paraId="313EFE3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60" w:type="dxa"/>
            <w:tcMar>
              <w:top w:w="100" w:type="dxa"/>
              <w:left w:w="100" w:type="dxa"/>
              <w:bottom w:w="100" w:type="dxa"/>
              <w:right w:w="100" w:type="dxa"/>
            </w:tcMar>
          </w:tcPr>
          <w:p w14:paraId="58AB255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r>
      <w:tr w:rsidR="008634CB" w:rsidRPr="0088333B" w14:paraId="11BF5CAB" w14:textId="77777777" w:rsidTr="0088333B">
        <w:trPr>
          <w:trHeight w:val="740"/>
        </w:trPr>
        <w:tc>
          <w:tcPr>
            <w:tcW w:w="8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EF5F32"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WOTH</w:t>
            </w:r>
          </w:p>
        </w:tc>
        <w:tc>
          <w:tcPr>
            <w:tcW w:w="898" w:type="dxa"/>
            <w:tcMar>
              <w:top w:w="100" w:type="dxa"/>
              <w:left w:w="100" w:type="dxa"/>
              <w:bottom w:w="100" w:type="dxa"/>
              <w:right w:w="100" w:type="dxa"/>
            </w:tcMar>
          </w:tcPr>
          <w:p w14:paraId="6823E7D0"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QUE</w:t>
            </w:r>
          </w:p>
        </w:tc>
        <w:tc>
          <w:tcPr>
            <w:tcW w:w="931" w:type="dxa"/>
            <w:tcMar>
              <w:top w:w="100" w:type="dxa"/>
              <w:left w:w="100" w:type="dxa"/>
              <w:bottom w:w="100" w:type="dxa"/>
              <w:right w:w="100" w:type="dxa"/>
            </w:tcMar>
          </w:tcPr>
          <w:p w14:paraId="448110E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12,258,363</w:t>
            </w:r>
          </w:p>
        </w:tc>
        <w:tc>
          <w:tcPr>
            <w:tcW w:w="888" w:type="dxa"/>
            <w:tcMar>
              <w:top w:w="100" w:type="dxa"/>
              <w:left w:w="100" w:type="dxa"/>
              <w:bottom w:w="100" w:type="dxa"/>
              <w:right w:w="100" w:type="dxa"/>
            </w:tcMar>
          </w:tcPr>
          <w:p w14:paraId="2672F8F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1" w:type="dxa"/>
            <w:tcMar>
              <w:top w:w="100" w:type="dxa"/>
              <w:left w:w="100" w:type="dxa"/>
              <w:bottom w:w="100" w:type="dxa"/>
              <w:right w:w="100" w:type="dxa"/>
            </w:tcMar>
          </w:tcPr>
          <w:p w14:paraId="23C5DD4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78C75D9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709" w:type="dxa"/>
            <w:tcMar>
              <w:top w:w="100" w:type="dxa"/>
              <w:left w:w="100" w:type="dxa"/>
              <w:bottom w:w="100" w:type="dxa"/>
              <w:right w:w="100" w:type="dxa"/>
            </w:tcMar>
          </w:tcPr>
          <w:p w14:paraId="135F21E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50" w:type="dxa"/>
            <w:tcMar>
              <w:top w:w="100" w:type="dxa"/>
              <w:left w:w="100" w:type="dxa"/>
              <w:bottom w:w="100" w:type="dxa"/>
              <w:right w:w="100" w:type="dxa"/>
            </w:tcMar>
          </w:tcPr>
          <w:p w14:paraId="43A595D5" w14:textId="0A48E456" w:rsidR="008634CB" w:rsidRPr="0088333B" w:rsidRDefault="00000000" w:rsidP="00750104">
            <w:pPr>
              <w:widowControl w:val="0"/>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160</w:t>
            </w:r>
          </w:p>
        </w:tc>
        <w:tc>
          <w:tcPr>
            <w:tcW w:w="679" w:type="dxa"/>
            <w:tcMar>
              <w:top w:w="100" w:type="dxa"/>
              <w:left w:w="100" w:type="dxa"/>
              <w:bottom w:w="100" w:type="dxa"/>
              <w:right w:w="100" w:type="dxa"/>
            </w:tcMar>
          </w:tcPr>
          <w:p w14:paraId="4271D53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1022" w:type="dxa"/>
            <w:tcMar>
              <w:top w:w="100" w:type="dxa"/>
              <w:left w:w="100" w:type="dxa"/>
              <w:bottom w:w="100" w:type="dxa"/>
              <w:right w:w="100" w:type="dxa"/>
            </w:tcMar>
          </w:tcPr>
          <w:p w14:paraId="240D416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c>
          <w:tcPr>
            <w:tcW w:w="860" w:type="dxa"/>
            <w:tcMar>
              <w:top w:w="100" w:type="dxa"/>
              <w:left w:w="100" w:type="dxa"/>
              <w:bottom w:w="100" w:type="dxa"/>
              <w:right w:w="100" w:type="dxa"/>
            </w:tcMar>
          </w:tcPr>
          <w:p w14:paraId="2B91C1A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t>
            </w:r>
          </w:p>
        </w:tc>
      </w:tr>
    </w:tbl>
    <w:p w14:paraId="7552D1A7" w14:textId="77777777" w:rsidR="008634CB" w:rsidRDefault="008634CB">
      <w:pPr>
        <w:rPr>
          <w:rFonts w:ascii="Times New Roman" w:eastAsia="Times New Roman" w:hAnsi="Times New Roman" w:cs="Times New Roman"/>
          <w:sz w:val="24"/>
          <w:szCs w:val="24"/>
        </w:rPr>
      </w:pPr>
    </w:p>
    <w:p w14:paraId="0541E317" w14:textId="77777777" w:rsidR="008634CB" w:rsidRDefault="008634CB">
      <w:pPr>
        <w:rPr>
          <w:rFonts w:ascii="Times New Roman" w:eastAsia="Times New Roman" w:hAnsi="Times New Roman" w:cs="Times New Roman"/>
          <w:sz w:val="24"/>
          <w:szCs w:val="24"/>
        </w:rPr>
      </w:pPr>
    </w:p>
    <w:p w14:paraId="4BB1A0BA"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S3.2. Annual harvest area (ha/</w:t>
      </w:r>
      <w:proofErr w:type="spellStart"/>
      <w:r>
        <w:rPr>
          <w:rFonts w:ascii="Times New Roman" w:eastAsia="Times New Roman" w:hAnsi="Times New Roman" w:cs="Times New Roman"/>
          <w:sz w:val="24"/>
          <w:szCs w:val="24"/>
        </w:rPr>
        <w:t>yr</w:t>
      </w:r>
      <w:proofErr w:type="spellEnd"/>
      <w:r>
        <w:rPr>
          <w:rFonts w:ascii="Times New Roman" w:eastAsia="Times New Roman" w:hAnsi="Times New Roman" w:cs="Times New Roman"/>
          <w:sz w:val="24"/>
          <w:szCs w:val="24"/>
        </w:rPr>
        <w:t>) simulated within different Forest Management Units (FMUs) and outside FMUs in Ontario in the ALCES Online scenario for Wood Thrush.</w:t>
      </w:r>
    </w:p>
    <w:p w14:paraId="786FE253" w14:textId="77777777" w:rsidR="008634CB" w:rsidRDefault="008634CB">
      <w:pPr>
        <w:rPr>
          <w:rFonts w:ascii="Times New Roman" w:eastAsia="Times New Roman" w:hAnsi="Times New Roman" w:cs="Times New Roman"/>
          <w:sz w:val="24"/>
          <w:szCs w:val="24"/>
        </w:rPr>
      </w:pPr>
    </w:p>
    <w:tbl>
      <w:tblPr>
        <w:tblStyle w:val="af"/>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36"/>
        <w:gridCol w:w="892"/>
        <w:gridCol w:w="754"/>
        <w:gridCol w:w="1089"/>
        <w:gridCol w:w="1227"/>
        <w:gridCol w:w="1276"/>
        <w:gridCol w:w="709"/>
        <w:gridCol w:w="1134"/>
        <w:gridCol w:w="1143"/>
      </w:tblGrid>
      <w:tr w:rsidR="008634CB" w14:paraId="2A9CB475" w14:textId="77777777" w:rsidTr="00750104">
        <w:trPr>
          <w:trHeight w:val="3170"/>
        </w:trPr>
        <w:tc>
          <w:tcPr>
            <w:tcW w:w="1136" w:type="dxa"/>
            <w:tcMar>
              <w:top w:w="100" w:type="dxa"/>
              <w:left w:w="100" w:type="dxa"/>
              <w:bottom w:w="100" w:type="dxa"/>
              <w:right w:w="100" w:type="dxa"/>
            </w:tcMar>
          </w:tcPr>
          <w:p w14:paraId="774A736C"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Forest Management Unit</w:t>
            </w:r>
          </w:p>
        </w:tc>
        <w:tc>
          <w:tcPr>
            <w:tcW w:w="892" w:type="dxa"/>
            <w:tcMar>
              <w:top w:w="100" w:type="dxa"/>
              <w:left w:w="100" w:type="dxa"/>
              <w:bottom w:w="100" w:type="dxa"/>
              <w:right w:w="100" w:type="dxa"/>
            </w:tcMar>
          </w:tcPr>
          <w:p w14:paraId="7E3AFE60"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FMU Area (within Wood Thrush range)</w:t>
            </w:r>
          </w:p>
        </w:tc>
        <w:tc>
          <w:tcPr>
            <w:tcW w:w="754" w:type="dxa"/>
            <w:tcMar>
              <w:top w:w="100" w:type="dxa"/>
              <w:left w:w="100" w:type="dxa"/>
              <w:bottom w:w="100" w:type="dxa"/>
              <w:right w:w="100" w:type="dxa"/>
            </w:tcMar>
          </w:tcPr>
          <w:p w14:paraId="383DAABA"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Clear-</w:t>
            </w:r>
            <w:proofErr w:type="gramStart"/>
            <w:r w:rsidRPr="0088333B">
              <w:rPr>
                <w:rFonts w:ascii="Times New Roman" w:eastAsia="Times New Roman" w:hAnsi="Times New Roman" w:cs="Times New Roman"/>
                <w:sz w:val="20"/>
                <w:szCs w:val="20"/>
              </w:rPr>
              <w:t>cut  Harvest</w:t>
            </w:r>
            <w:proofErr w:type="gramEnd"/>
            <w:r w:rsidRPr="0088333B">
              <w:rPr>
                <w:rFonts w:ascii="Times New Roman" w:eastAsia="Times New Roman" w:hAnsi="Times New Roman" w:cs="Times New Roman"/>
                <w:sz w:val="20"/>
                <w:szCs w:val="20"/>
              </w:rPr>
              <w:t xml:space="preserve">  Rate </w:t>
            </w:r>
          </w:p>
        </w:tc>
        <w:tc>
          <w:tcPr>
            <w:tcW w:w="1089" w:type="dxa"/>
            <w:tcMar>
              <w:top w:w="100" w:type="dxa"/>
              <w:left w:w="100" w:type="dxa"/>
              <w:bottom w:w="100" w:type="dxa"/>
              <w:right w:w="100" w:type="dxa"/>
            </w:tcMar>
          </w:tcPr>
          <w:p w14:paraId="30CB732B"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gramStart"/>
            <w:r w:rsidRPr="0088333B">
              <w:rPr>
                <w:rFonts w:ascii="Times New Roman" w:eastAsia="Times New Roman" w:hAnsi="Times New Roman" w:cs="Times New Roman"/>
                <w:sz w:val="20"/>
                <w:szCs w:val="20"/>
              </w:rPr>
              <w:t>Shelterwood  Harvest</w:t>
            </w:r>
            <w:proofErr w:type="gramEnd"/>
            <w:r w:rsidRPr="0088333B">
              <w:rPr>
                <w:rFonts w:ascii="Times New Roman" w:eastAsia="Times New Roman" w:hAnsi="Times New Roman" w:cs="Times New Roman"/>
                <w:sz w:val="20"/>
                <w:szCs w:val="20"/>
              </w:rPr>
              <w:t xml:space="preserve">  Rate </w:t>
            </w:r>
          </w:p>
        </w:tc>
        <w:tc>
          <w:tcPr>
            <w:tcW w:w="1227" w:type="dxa"/>
            <w:tcMar>
              <w:top w:w="100" w:type="dxa"/>
              <w:left w:w="100" w:type="dxa"/>
              <w:bottom w:w="100" w:type="dxa"/>
              <w:right w:w="100" w:type="dxa"/>
            </w:tcMar>
          </w:tcPr>
          <w:p w14:paraId="080E0B0C"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gramStart"/>
            <w:r w:rsidRPr="0088333B">
              <w:rPr>
                <w:rFonts w:ascii="Times New Roman" w:eastAsia="Times New Roman" w:hAnsi="Times New Roman" w:cs="Times New Roman"/>
                <w:sz w:val="20"/>
                <w:szCs w:val="20"/>
              </w:rPr>
              <w:t>Selective  Forestry</w:t>
            </w:r>
            <w:proofErr w:type="gramEnd"/>
            <w:r w:rsidRPr="0088333B">
              <w:rPr>
                <w:rFonts w:ascii="Times New Roman" w:eastAsia="Times New Roman" w:hAnsi="Times New Roman" w:cs="Times New Roman"/>
                <w:sz w:val="20"/>
                <w:szCs w:val="20"/>
              </w:rPr>
              <w:t xml:space="preserve">  Harvest  Rate </w:t>
            </w:r>
          </w:p>
        </w:tc>
        <w:tc>
          <w:tcPr>
            <w:tcW w:w="1276" w:type="dxa"/>
            <w:tcMar>
              <w:top w:w="100" w:type="dxa"/>
              <w:left w:w="100" w:type="dxa"/>
              <w:bottom w:w="100" w:type="dxa"/>
              <w:right w:w="100" w:type="dxa"/>
            </w:tcMar>
          </w:tcPr>
          <w:p w14:paraId="1DCA7758"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gramStart"/>
            <w:r w:rsidRPr="0088333B">
              <w:rPr>
                <w:rFonts w:ascii="Times New Roman" w:eastAsia="Times New Roman" w:hAnsi="Times New Roman" w:cs="Times New Roman"/>
                <w:sz w:val="20"/>
                <w:szCs w:val="20"/>
              </w:rPr>
              <w:t>Budworm  Mortality</w:t>
            </w:r>
            <w:proofErr w:type="gramEnd"/>
            <w:r w:rsidRPr="0088333B">
              <w:rPr>
                <w:rFonts w:ascii="Times New Roman" w:eastAsia="Times New Roman" w:hAnsi="Times New Roman" w:cs="Times New Roman"/>
                <w:sz w:val="20"/>
                <w:szCs w:val="20"/>
              </w:rPr>
              <w:t xml:space="preserve"> Rate</w:t>
            </w:r>
          </w:p>
        </w:tc>
        <w:tc>
          <w:tcPr>
            <w:tcW w:w="709" w:type="dxa"/>
            <w:tcMar>
              <w:top w:w="100" w:type="dxa"/>
              <w:left w:w="100" w:type="dxa"/>
              <w:bottom w:w="100" w:type="dxa"/>
              <w:right w:w="100" w:type="dxa"/>
            </w:tcMar>
          </w:tcPr>
          <w:p w14:paraId="7B513658"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Burn   Rate</w:t>
            </w:r>
          </w:p>
        </w:tc>
        <w:tc>
          <w:tcPr>
            <w:tcW w:w="1134" w:type="dxa"/>
            <w:tcMar>
              <w:top w:w="100" w:type="dxa"/>
              <w:left w:w="100" w:type="dxa"/>
              <w:bottom w:w="100" w:type="dxa"/>
              <w:right w:w="100" w:type="dxa"/>
            </w:tcMar>
          </w:tcPr>
          <w:p w14:paraId="759EC3D4"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Total Harvest</w:t>
            </w:r>
          </w:p>
        </w:tc>
        <w:tc>
          <w:tcPr>
            <w:tcW w:w="1143" w:type="dxa"/>
            <w:tcMar>
              <w:top w:w="100" w:type="dxa"/>
              <w:left w:w="100" w:type="dxa"/>
              <w:bottom w:w="100" w:type="dxa"/>
              <w:right w:w="100" w:type="dxa"/>
            </w:tcMar>
          </w:tcPr>
          <w:p w14:paraId="66CB9193"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Percent Harvested Annually</w:t>
            </w:r>
          </w:p>
        </w:tc>
      </w:tr>
      <w:tr w:rsidR="008634CB" w14:paraId="54461D9A" w14:textId="77777777" w:rsidTr="00750104">
        <w:trPr>
          <w:trHeight w:val="740"/>
        </w:trPr>
        <w:tc>
          <w:tcPr>
            <w:tcW w:w="1136" w:type="dxa"/>
            <w:tcMar>
              <w:top w:w="100" w:type="dxa"/>
              <w:left w:w="100" w:type="dxa"/>
              <w:bottom w:w="100" w:type="dxa"/>
              <w:right w:w="100" w:type="dxa"/>
            </w:tcMar>
          </w:tcPr>
          <w:p w14:paraId="58C3B03D"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Abitibi Forest</w:t>
            </w:r>
          </w:p>
        </w:tc>
        <w:tc>
          <w:tcPr>
            <w:tcW w:w="892" w:type="dxa"/>
            <w:tcMar>
              <w:top w:w="100" w:type="dxa"/>
              <w:left w:w="100" w:type="dxa"/>
              <w:bottom w:w="100" w:type="dxa"/>
              <w:right w:w="100" w:type="dxa"/>
            </w:tcMar>
          </w:tcPr>
          <w:p w14:paraId="664CF5CA" w14:textId="2BF5829B"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999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361</w:t>
            </w:r>
          </w:p>
        </w:tc>
        <w:tc>
          <w:tcPr>
            <w:tcW w:w="754" w:type="dxa"/>
            <w:tcMar>
              <w:top w:w="100" w:type="dxa"/>
              <w:left w:w="100" w:type="dxa"/>
              <w:bottom w:w="100" w:type="dxa"/>
              <w:right w:w="100" w:type="dxa"/>
            </w:tcMar>
          </w:tcPr>
          <w:p w14:paraId="317E3A39" w14:textId="2EA337E5"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317</w:t>
            </w:r>
          </w:p>
        </w:tc>
        <w:tc>
          <w:tcPr>
            <w:tcW w:w="1089" w:type="dxa"/>
            <w:tcMar>
              <w:top w:w="100" w:type="dxa"/>
              <w:left w:w="100" w:type="dxa"/>
              <w:bottom w:w="100" w:type="dxa"/>
              <w:right w:w="100" w:type="dxa"/>
            </w:tcMar>
          </w:tcPr>
          <w:p w14:paraId="528C6F8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709E76A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0A3C1B1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p>
        </w:tc>
        <w:tc>
          <w:tcPr>
            <w:tcW w:w="709" w:type="dxa"/>
            <w:tcMar>
              <w:top w:w="100" w:type="dxa"/>
              <w:left w:w="100" w:type="dxa"/>
              <w:bottom w:w="100" w:type="dxa"/>
              <w:right w:w="100" w:type="dxa"/>
            </w:tcMar>
          </w:tcPr>
          <w:p w14:paraId="3EE7795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5127362E" w14:textId="7BCCCC81"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317</w:t>
            </w:r>
          </w:p>
        </w:tc>
        <w:tc>
          <w:tcPr>
            <w:tcW w:w="1143" w:type="dxa"/>
            <w:tcMar>
              <w:top w:w="100" w:type="dxa"/>
              <w:left w:w="100" w:type="dxa"/>
              <w:bottom w:w="100" w:type="dxa"/>
              <w:right w:w="100" w:type="dxa"/>
            </w:tcMar>
          </w:tcPr>
          <w:p w14:paraId="68565D4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0.3319</w:t>
            </w:r>
          </w:p>
        </w:tc>
      </w:tr>
      <w:tr w:rsidR="008634CB" w14:paraId="3FBD87E7" w14:textId="77777777" w:rsidTr="00750104">
        <w:trPr>
          <w:trHeight w:val="740"/>
        </w:trPr>
        <w:tc>
          <w:tcPr>
            <w:tcW w:w="1136" w:type="dxa"/>
            <w:tcMar>
              <w:top w:w="100" w:type="dxa"/>
              <w:left w:w="100" w:type="dxa"/>
              <w:bottom w:w="100" w:type="dxa"/>
              <w:right w:w="100" w:type="dxa"/>
            </w:tcMar>
          </w:tcPr>
          <w:p w14:paraId="20EA737D"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Algoma Forest</w:t>
            </w:r>
          </w:p>
        </w:tc>
        <w:tc>
          <w:tcPr>
            <w:tcW w:w="892" w:type="dxa"/>
            <w:tcMar>
              <w:top w:w="100" w:type="dxa"/>
              <w:left w:w="100" w:type="dxa"/>
              <w:bottom w:w="100" w:type="dxa"/>
              <w:right w:w="100" w:type="dxa"/>
            </w:tcMar>
          </w:tcPr>
          <w:p w14:paraId="5D5D5461" w14:textId="13F1645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220</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467</w:t>
            </w:r>
          </w:p>
        </w:tc>
        <w:tc>
          <w:tcPr>
            <w:tcW w:w="754" w:type="dxa"/>
            <w:tcMar>
              <w:top w:w="100" w:type="dxa"/>
              <w:left w:w="100" w:type="dxa"/>
              <w:bottom w:w="100" w:type="dxa"/>
              <w:right w:w="100" w:type="dxa"/>
            </w:tcMar>
          </w:tcPr>
          <w:p w14:paraId="607B028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515</w:t>
            </w:r>
          </w:p>
        </w:tc>
        <w:tc>
          <w:tcPr>
            <w:tcW w:w="1089" w:type="dxa"/>
            <w:tcMar>
              <w:top w:w="100" w:type="dxa"/>
              <w:left w:w="100" w:type="dxa"/>
              <w:bottom w:w="100" w:type="dxa"/>
              <w:right w:w="100" w:type="dxa"/>
            </w:tcMar>
          </w:tcPr>
          <w:p w14:paraId="6A1BCC9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977</w:t>
            </w:r>
          </w:p>
        </w:tc>
        <w:tc>
          <w:tcPr>
            <w:tcW w:w="1227" w:type="dxa"/>
            <w:tcMar>
              <w:top w:w="100" w:type="dxa"/>
              <w:left w:w="100" w:type="dxa"/>
              <w:bottom w:w="100" w:type="dxa"/>
              <w:right w:w="100" w:type="dxa"/>
            </w:tcMar>
          </w:tcPr>
          <w:p w14:paraId="4785238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1573</w:t>
            </w:r>
          </w:p>
        </w:tc>
        <w:tc>
          <w:tcPr>
            <w:tcW w:w="1276" w:type="dxa"/>
            <w:tcMar>
              <w:top w:w="100" w:type="dxa"/>
              <w:left w:w="100" w:type="dxa"/>
              <w:bottom w:w="100" w:type="dxa"/>
              <w:right w:w="100" w:type="dxa"/>
            </w:tcMar>
          </w:tcPr>
          <w:p w14:paraId="59B2093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w:t>
            </w:r>
          </w:p>
        </w:tc>
        <w:tc>
          <w:tcPr>
            <w:tcW w:w="709" w:type="dxa"/>
            <w:tcMar>
              <w:top w:w="100" w:type="dxa"/>
              <w:left w:w="100" w:type="dxa"/>
              <w:bottom w:w="100" w:type="dxa"/>
              <w:right w:w="100" w:type="dxa"/>
            </w:tcMar>
          </w:tcPr>
          <w:p w14:paraId="1E17EB1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16A23A48" w14:textId="7ACE626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065</w:t>
            </w:r>
          </w:p>
        </w:tc>
        <w:tc>
          <w:tcPr>
            <w:tcW w:w="1143" w:type="dxa"/>
            <w:tcMar>
              <w:top w:w="100" w:type="dxa"/>
              <w:left w:w="100" w:type="dxa"/>
              <w:bottom w:w="100" w:type="dxa"/>
              <w:right w:w="100" w:type="dxa"/>
            </w:tcMar>
          </w:tcPr>
          <w:p w14:paraId="68A291B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0.2512</w:t>
            </w:r>
          </w:p>
        </w:tc>
      </w:tr>
      <w:tr w:rsidR="008634CB" w14:paraId="198860A7" w14:textId="77777777" w:rsidTr="00750104">
        <w:trPr>
          <w:trHeight w:val="740"/>
        </w:trPr>
        <w:tc>
          <w:tcPr>
            <w:tcW w:w="1136" w:type="dxa"/>
            <w:tcMar>
              <w:top w:w="100" w:type="dxa"/>
              <w:left w:w="100" w:type="dxa"/>
              <w:bottom w:w="100" w:type="dxa"/>
              <w:right w:w="100" w:type="dxa"/>
            </w:tcMar>
          </w:tcPr>
          <w:p w14:paraId="65138201"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Algonquin Forest</w:t>
            </w:r>
          </w:p>
        </w:tc>
        <w:tc>
          <w:tcPr>
            <w:tcW w:w="892" w:type="dxa"/>
            <w:tcMar>
              <w:top w:w="100" w:type="dxa"/>
              <w:left w:w="100" w:type="dxa"/>
              <w:bottom w:w="100" w:type="dxa"/>
              <w:right w:w="100" w:type="dxa"/>
            </w:tcMar>
          </w:tcPr>
          <w:p w14:paraId="386F5F71" w14:textId="13BBFBC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784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466</w:t>
            </w:r>
          </w:p>
        </w:tc>
        <w:tc>
          <w:tcPr>
            <w:tcW w:w="754" w:type="dxa"/>
            <w:tcMar>
              <w:top w:w="100" w:type="dxa"/>
              <w:left w:w="100" w:type="dxa"/>
              <w:bottom w:w="100" w:type="dxa"/>
              <w:right w:w="100" w:type="dxa"/>
            </w:tcMar>
          </w:tcPr>
          <w:p w14:paraId="23AD4E4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199</w:t>
            </w:r>
          </w:p>
        </w:tc>
        <w:tc>
          <w:tcPr>
            <w:tcW w:w="1089" w:type="dxa"/>
            <w:tcMar>
              <w:top w:w="100" w:type="dxa"/>
              <w:left w:w="100" w:type="dxa"/>
              <w:bottom w:w="100" w:type="dxa"/>
              <w:right w:w="100" w:type="dxa"/>
            </w:tcMar>
          </w:tcPr>
          <w:p w14:paraId="4AA1375C" w14:textId="2DB6C52E"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744</w:t>
            </w:r>
          </w:p>
        </w:tc>
        <w:tc>
          <w:tcPr>
            <w:tcW w:w="1227" w:type="dxa"/>
            <w:tcMar>
              <w:top w:w="100" w:type="dxa"/>
              <w:left w:w="100" w:type="dxa"/>
              <w:bottom w:w="100" w:type="dxa"/>
              <w:right w:w="100" w:type="dxa"/>
            </w:tcMar>
          </w:tcPr>
          <w:p w14:paraId="25D5B365" w14:textId="57B73EEA"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758</w:t>
            </w:r>
          </w:p>
        </w:tc>
        <w:tc>
          <w:tcPr>
            <w:tcW w:w="1276" w:type="dxa"/>
            <w:tcMar>
              <w:top w:w="100" w:type="dxa"/>
              <w:left w:w="100" w:type="dxa"/>
              <w:bottom w:w="100" w:type="dxa"/>
              <w:right w:w="100" w:type="dxa"/>
            </w:tcMar>
          </w:tcPr>
          <w:p w14:paraId="124FDD8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1CF2EBA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2E470417" w14:textId="5AA10445"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700</w:t>
            </w:r>
          </w:p>
        </w:tc>
        <w:tc>
          <w:tcPr>
            <w:tcW w:w="1143" w:type="dxa"/>
            <w:tcMar>
              <w:top w:w="100" w:type="dxa"/>
              <w:left w:w="100" w:type="dxa"/>
              <w:bottom w:w="100" w:type="dxa"/>
              <w:right w:w="100" w:type="dxa"/>
            </w:tcMar>
          </w:tcPr>
          <w:p w14:paraId="7574B67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0.7266</w:t>
            </w:r>
          </w:p>
        </w:tc>
      </w:tr>
      <w:tr w:rsidR="008634CB" w14:paraId="6F9CD248" w14:textId="77777777" w:rsidTr="00750104">
        <w:trPr>
          <w:trHeight w:val="1010"/>
        </w:trPr>
        <w:tc>
          <w:tcPr>
            <w:tcW w:w="1136" w:type="dxa"/>
            <w:tcMar>
              <w:top w:w="100" w:type="dxa"/>
              <w:left w:w="100" w:type="dxa"/>
              <w:bottom w:w="100" w:type="dxa"/>
              <w:right w:w="100" w:type="dxa"/>
            </w:tcMar>
          </w:tcPr>
          <w:p w14:paraId="1FF09859"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Bancroft-Minden Forest</w:t>
            </w:r>
          </w:p>
        </w:tc>
        <w:tc>
          <w:tcPr>
            <w:tcW w:w="892" w:type="dxa"/>
            <w:tcMar>
              <w:top w:w="100" w:type="dxa"/>
              <w:left w:w="100" w:type="dxa"/>
              <w:bottom w:w="100" w:type="dxa"/>
              <w:right w:w="100" w:type="dxa"/>
            </w:tcMar>
          </w:tcPr>
          <w:p w14:paraId="6C115237" w14:textId="0DB27EED"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026</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007</w:t>
            </w:r>
          </w:p>
        </w:tc>
        <w:tc>
          <w:tcPr>
            <w:tcW w:w="754" w:type="dxa"/>
            <w:tcMar>
              <w:top w:w="100" w:type="dxa"/>
              <w:left w:w="100" w:type="dxa"/>
              <w:bottom w:w="100" w:type="dxa"/>
              <w:right w:w="100" w:type="dxa"/>
            </w:tcMar>
          </w:tcPr>
          <w:p w14:paraId="6F8BF78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662</w:t>
            </w:r>
          </w:p>
        </w:tc>
        <w:tc>
          <w:tcPr>
            <w:tcW w:w="1089" w:type="dxa"/>
            <w:tcMar>
              <w:top w:w="100" w:type="dxa"/>
              <w:left w:w="100" w:type="dxa"/>
              <w:bottom w:w="100" w:type="dxa"/>
              <w:right w:w="100" w:type="dxa"/>
            </w:tcMar>
          </w:tcPr>
          <w:p w14:paraId="67A4A18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659</w:t>
            </w:r>
          </w:p>
        </w:tc>
        <w:tc>
          <w:tcPr>
            <w:tcW w:w="1227" w:type="dxa"/>
            <w:tcMar>
              <w:top w:w="100" w:type="dxa"/>
              <w:left w:w="100" w:type="dxa"/>
              <w:bottom w:w="100" w:type="dxa"/>
              <w:right w:w="100" w:type="dxa"/>
            </w:tcMar>
          </w:tcPr>
          <w:p w14:paraId="31D5B8F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912</w:t>
            </w:r>
          </w:p>
        </w:tc>
        <w:tc>
          <w:tcPr>
            <w:tcW w:w="1276" w:type="dxa"/>
            <w:tcMar>
              <w:top w:w="100" w:type="dxa"/>
              <w:left w:w="100" w:type="dxa"/>
              <w:bottom w:w="100" w:type="dxa"/>
              <w:right w:w="100" w:type="dxa"/>
            </w:tcMar>
          </w:tcPr>
          <w:p w14:paraId="6F26D94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4069DC3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38332EEF" w14:textId="6E2DAD9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234</w:t>
            </w:r>
          </w:p>
        </w:tc>
        <w:tc>
          <w:tcPr>
            <w:tcW w:w="1143" w:type="dxa"/>
            <w:tcMar>
              <w:top w:w="100" w:type="dxa"/>
              <w:left w:w="100" w:type="dxa"/>
              <w:bottom w:w="100" w:type="dxa"/>
              <w:right w:w="100" w:type="dxa"/>
            </w:tcMar>
          </w:tcPr>
          <w:p w14:paraId="1E9C5CB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0.2177</w:t>
            </w:r>
          </w:p>
        </w:tc>
      </w:tr>
      <w:tr w:rsidR="008634CB" w14:paraId="4B3C3866" w14:textId="77777777" w:rsidTr="00750104">
        <w:trPr>
          <w:trHeight w:val="1010"/>
        </w:trPr>
        <w:tc>
          <w:tcPr>
            <w:tcW w:w="1136" w:type="dxa"/>
            <w:tcMar>
              <w:top w:w="100" w:type="dxa"/>
              <w:left w:w="100" w:type="dxa"/>
              <w:bottom w:w="100" w:type="dxa"/>
              <w:right w:w="100" w:type="dxa"/>
            </w:tcMar>
          </w:tcPr>
          <w:p w14:paraId="6E3C0825"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Black Spruce Forest</w:t>
            </w:r>
          </w:p>
        </w:tc>
        <w:tc>
          <w:tcPr>
            <w:tcW w:w="892" w:type="dxa"/>
            <w:tcMar>
              <w:top w:w="100" w:type="dxa"/>
              <w:left w:w="100" w:type="dxa"/>
              <w:bottom w:w="100" w:type="dxa"/>
              <w:right w:w="100" w:type="dxa"/>
            </w:tcMar>
          </w:tcPr>
          <w:p w14:paraId="1011542D" w14:textId="6733DB2C"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28</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475</w:t>
            </w:r>
          </w:p>
        </w:tc>
        <w:tc>
          <w:tcPr>
            <w:tcW w:w="754" w:type="dxa"/>
            <w:tcMar>
              <w:top w:w="100" w:type="dxa"/>
              <w:left w:w="100" w:type="dxa"/>
              <w:bottom w:w="100" w:type="dxa"/>
              <w:right w:w="100" w:type="dxa"/>
            </w:tcMar>
          </w:tcPr>
          <w:p w14:paraId="03D7090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245</w:t>
            </w:r>
          </w:p>
        </w:tc>
        <w:tc>
          <w:tcPr>
            <w:tcW w:w="1089" w:type="dxa"/>
            <w:tcMar>
              <w:top w:w="100" w:type="dxa"/>
              <w:left w:w="100" w:type="dxa"/>
              <w:bottom w:w="100" w:type="dxa"/>
              <w:right w:w="100" w:type="dxa"/>
            </w:tcMar>
          </w:tcPr>
          <w:p w14:paraId="6B81503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5AEF3A8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26A614B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4C75234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44D7CF4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245</w:t>
            </w:r>
          </w:p>
        </w:tc>
        <w:tc>
          <w:tcPr>
            <w:tcW w:w="1143" w:type="dxa"/>
            <w:tcMar>
              <w:top w:w="100" w:type="dxa"/>
              <w:left w:w="100" w:type="dxa"/>
              <w:bottom w:w="100" w:type="dxa"/>
              <w:right w:w="100" w:type="dxa"/>
            </w:tcMar>
          </w:tcPr>
          <w:p w14:paraId="2637F19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0.8621</w:t>
            </w:r>
          </w:p>
        </w:tc>
      </w:tr>
      <w:tr w:rsidR="008634CB" w14:paraId="0382F550" w14:textId="77777777" w:rsidTr="00750104">
        <w:trPr>
          <w:trHeight w:val="1010"/>
        </w:trPr>
        <w:tc>
          <w:tcPr>
            <w:tcW w:w="1136" w:type="dxa"/>
            <w:tcMar>
              <w:top w:w="100" w:type="dxa"/>
              <w:left w:w="100" w:type="dxa"/>
              <w:bottom w:w="100" w:type="dxa"/>
              <w:right w:w="100" w:type="dxa"/>
            </w:tcMar>
          </w:tcPr>
          <w:p w14:paraId="604C7546"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Boundary Waters Forest</w:t>
            </w:r>
          </w:p>
        </w:tc>
        <w:tc>
          <w:tcPr>
            <w:tcW w:w="892" w:type="dxa"/>
            <w:tcMar>
              <w:top w:w="100" w:type="dxa"/>
              <w:left w:w="100" w:type="dxa"/>
              <w:bottom w:w="100" w:type="dxa"/>
              <w:right w:w="100" w:type="dxa"/>
            </w:tcMar>
          </w:tcPr>
          <w:p w14:paraId="703BDE8F" w14:textId="39A0C1B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766</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832</w:t>
            </w:r>
          </w:p>
        </w:tc>
        <w:tc>
          <w:tcPr>
            <w:tcW w:w="754" w:type="dxa"/>
            <w:tcMar>
              <w:top w:w="100" w:type="dxa"/>
              <w:left w:w="100" w:type="dxa"/>
              <w:bottom w:w="100" w:type="dxa"/>
              <w:right w:w="100" w:type="dxa"/>
            </w:tcMar>
          </w:tcPr>
          <w:p w14:paraId="43D615E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089" w:type="dxa"/>
            <w:tcMar>
              <w:top w:w="100" w:type="dxa"/>
              <w:left w:w="100" w:type="dxa"/>
              <w:bottom w:w="100" w:type="dxa"/>
              <w:right w:w="100" w:type="dxa"/>
            </w:tcMar>
          </w:tcPr>
          <w:p w14:paraId="07120B0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5A3D6DB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01A720D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03A26D6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w:t>
            </w:r>
          </w:p>
        </w:tc>
        <w:tc>
          <w:tcPr>
            <w:tcW w:w="1134" w:type="dxa"/>
            <w:tcMar>
              <w:top w:w="100" w:type="dxa"/>
              <w:left w:w="100" w:type="dxa"/>
              <w:bottom w:w="100" w:type="dxa"/>
              <w:right w:w="100" w:type="dxa"/>
            </w:tcMar>
          </w:tcPr>
          <w:p w14:paraId="094CF2B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43" w:type="dxa"/>
            <w:tcMar>
              <w:top w:w="100" w:type="dxa"/>
              <w:left w:w="100" w:type="dxa"/>
              <w:bottom w:w="100" w:type="dxa"/>
              <w:right w:w="100" w:type="dxa"/>
            </w:tcMar>
          </w:tcPr>
          <w:p w14:paraId="680784E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0.0000</w:t>
            </w:r>
          </w:p>
        </w:tc>
      </w:tr>
      <w:tr w:rsidR="008634CB" w14:paraId="744D8170" w14:textId="77777777" w:rsidTr="00750104">
        <w:trPr>
          <w:trHeight w:val="1010"/>
        </w:trPr>
        <w:tc>
          <w:tcPr>
            <w:tcW w:w="1136" w:type="dxa"/>
            <w:tcMar>
              <w:top w:w="100" w:type="dxa"/>
              <w:left w:w="100" w:type="dxa"/>
              <w:bottom w:w="100" w:type="dxa"/>
              <w:right w:w="100" w:type="dxa"/>
            </w:tcMar>
          </w:tcPr>
          <w:p w14:paraId="52099DC2"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French-Severn Forest</w:t>
            </w:r>
          </w:p>
        </w:tc>
        <w:tc>
          <w:tcPr>
            <w:tcW w:w="892" w:type="dxa"/>
            <w:tcMar>
              <w:top w:w="100" w:type="dxa"/>
              <w:left w:w="100" w:type="dxa"/>
              <w:bottom w:w="100" w:type="dxa"/>
              <w:right w:w="100" w:type="dxa"/>
            </w:tcMar>
          </w:tcPr>
          <w:p w14:paraId="55F5EEF2" w14:textId="22E2CB1D"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314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277</w:t>
            </w:r>
          </w:p>
        </w:tc>
        <w:tc>
          <w:tcPr>
            <w:tcW w:w="754" w:type="dxa"/>
            <w:tcMar>
              <w:top w:w="100" w:type="dxa"/>
              <w:left w:w="100" w:type="dxa"/>
              <w:bottom w:w="100" w:type="dxa"/>
              <w:right w:w="100" w:type="dxa"/>
            </w:tcMar>
          </w:tcPr>
          <w:p w14:paraId="56DCA11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109</w:t>
            </w:r>
          </w:p>
        </w:tc>
        <w:tc>
          <w:tcPr>
            <w:tcW w:w="1089" w:type="dxa"/>
            <w:tcMar>
              <w:top w:w="100" w:type="dxa"/>
              <w:left w:w="100" w:type="dxa"/>
              <w:bottom w:w="100" w:type="dxa"/>
              <w:right w:w="100" w:type="dxa"/>
            </w:tcMar>
          </w:tcPr>
          <w:p w14:paraId="691CCDC3" w14:textId="7196D712"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185</w:t>
            </w:r>
          </w:p>
        </w:tc>
        <w:tc>
          <w:tcPr>
            <w:tcW w:w="1227" w:type="dxa"/>
            <w:tcMar>
              <w:top w:w="100" w:type="dxa"/>
              <w:left w:w="100" w:type="dxa"/>
              <w:bottom w:w="100" w:type="dxa"/>
              <w:right w:w="100" w:type="dxa"/>
            </w:tcMar>
          </w:tcPr>
          <w:p w14:paraId="110EACF3" w14:textId="42C5CEF1"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576</w:t>
            </w:r>
          </w:p>
        </w:tc>
        <w:tc>
          <w:tcPr>
            <w:tcW w:w="1276" w:type="dxa"/>
            <w:tcMar>
              <w:top w:w="100" w:type="dxa"/>
              <w:left w:w="100" w:type="dxa"/>
              <w:bottom w:w="100" w:type="dxa"/>
              <w:right w:w="100" w:type="dxa"/>
            </w:tcMar>
          </w:tcPr>
          <w:p w14:paraId="7B0DAA7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126</w:t>
            </w:r>
          </w:p>
        </w:tc>
        <w:tc>
          <w:tcPr>
            <w:tcW w:w="709" w:type="dxa"/>
            <w:tcMar>
              <w:top w:w="100" w:type="dxa"/>
              <w:left w:w="100" w:type="dxa"/>
              <w:bottom w:w="100" w:type="dxa"/>
              <w:right w:w="100" w:type="dxa"/>
            </w:tcMar>
          </w:tcPr>
          <w:p w14:paraId="565155F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95B001B" w14:textId="69699AF3"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870</w:t>
            </w:r>
          </w:p>
        </w:tc>
        <w:tc>
          <w:tcPr>
            <w:tcW w:w="1143" w:type="dxa"/>
            <w:tcMar>
              <w:top w:w="100" w:type="dxa"/>
              <w:left w:w="100" w:type="dxa"/>
              <w:bottom w:w="100" w:type="dxa"/>
              <w:right w:w="100" w:type="dxa"/>
            </w:tcMar>
          </w:tcPr>
          <w:p w14:paraId="031FC17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0.2944</w:t>
            </w:r>
          </w:p>
        </w:tc>
      </w:tr>
      <w:tr w:rsidR="008634CB" w14:paraId="4B30F292" w14:textId="77777777" w:rsidTr="00750104">
        <w:trPr>
          <w:trHeight w:val="1010"/>
        </w:trPr>
        <w:tc>
          <w:tcPr>
            <w:tcW w:w="1136" w:type="dxa"/>
            <w:tcMar>
              <w:top w:w="100" w:type="dxa"/>
              <w:left w:w="100" w:type="dxa"/>
              <w:bottom w:w="100" w:type="dxa"/>
              <w:right w:w="100" w:type="dxa"/>
            </w:tcMar>
          </w:tcPr>
          <w:p w14:paraId="5C6BA105"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spellStart"/>
            <w:r w:rsidRPr="0088333B">
              <w:rPr>
                <w:rFonts w:ascii="Times New Roman" w:eastAsia="Times New Roman" w:hAnsi="Times New Roman" w:cs="Times New Roman"/>
                <w:sz w:val="20"/>
                <w:szCs w:val="20"/>
              </w:rPr>
              <w:lastRenderedPageBreak/>
              <w:t>Gorden</w:t>
            </w:r>
            <w:proofErr w:type="spellEnd"/>
            <w:r w:rsidRPr="0088333B">
              <w:rPr>
                <w:rFonts w:ascii="Times New Roman" w:eastAsia="Times New Roman" w:hAnsi="Times New Roman" w:cs="Times New Roman"/>
                <w:sz w:val="20"/>
                <w:szCs w:val="20"/>
              </w:rPr>
              <w:t xml:space="preserve"> Cosens Forest</w:t>
            </w:r>
          </w:p>
        </w:tc>
        <w:tc>
          <w:tcPr>
            <w:tcW w:w="892" w:type="dxa"/>
            <w:tcMar>
              <w:top w:w="100" w:type="dxa"/>
              <w:left w:w="100" w:type="dxa"/>
              <w:bottom w:w="100" w:type="dxa"/>
              <w:right w:w="100" w:type="dxa"/>
            </w:tcMar>
          </w:tcPr>
          <w:p w14:paraId="280D2CFC" w14:textId="1E15584F"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154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157</w:t>
            </w:r>
          </w:p>
        </w:tc>
        <w:tc>
          <w:tcPr>
            <w:tcW w:w="754" w:type="dxa"/>
            <w:tcMar>
              <w:top w:w="100" w:type="dxa"/>
              <w:left w:w="100" w:type="dxa"/>
              <w:bottom w:w="100" w:type="dxa"/>
              <w:right w:w="100" w:type="dxa"/>
            </w:tcMar>
          </w:tcPr>
          <w:p w14:paraId="1C83962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992</w:t>
            </w:r>
          </w:p>
        </w:tc>
        <w:tc>
          <w:tcPr>
            <w:tcW w:w="1089" w:type="dxa"/>
            <w:tcMar>
              <w:top w:w="100" w:type="dxa"/>
              <w:left w:w="100" w:type="dxa"/>
              <w:bottom w:w="100" w:type="dxa"/>
              <w:right w:w="100" w:type="dxa"/>
            </w:tcMar>
          </w:tcPr>
          <w:p w14:paraId="7F24A23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3B6F494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375C19F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280</w:t>
            </w:r>
          </w:p>
        </w:tc>
        <w:tc>
          <w:tcPr>
            <w:tcW w:w="709" w:type="dxa"/>
            <w:tcMar>
              <w:top w:w="100" w:type="dxa"/>
              <w:left w:w="100" w:type="dxa"/>
              <w:bottom w:w="100" w:type="dxa"/>
              <w:right w:w="100" w:type="dxa"/>
            </w:tcMar>
          </w:tcPr>
          <w:p w14:paraId="635CF06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7F7F407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992</w:t>
            </w:r>
          </w:p>
        </w:tc>
        <w:tc>
          <w:tcPr>
            <w:tcW w:w="1143" w:type="dxa"/>
            <w:tcMar>
              <w:top w:w="100" w:type="dxa"/>
              <w:left w:w="100" w:type="dxa"/>
              <w:bottom w:w="100" w:type="dxa"/>
              <w:right w:w="100" w:type="dxa"/>
            </w:tcMar>
          </w:tcPr>
          <w:p w14:paraId="4FD8CCA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0.6433</w:t>
            </w:r>
          </w:p>
        </w:tc>
      </w:tr>
      <w:tr w:rsidR="008634CB" w14:paraId="79E30A53" w14:textId="77777777" w:rsidTr="00750104">
        <w:trPr>
          <w:trHeight w:val="740"/>
        </w:trPr>
        <w:tc>
          <w:tcPr>
            <w:tcW w:w="1136" w:type="dxa"/>
            <w:tcMar>
              <w:top w:w="100" w:type="dxa"/>
              <w:left w:w="100" w:type="dxa"/>
              <w:bottom w:w="100" w:type="dxa"/>
              <w:right w:w="100" w:type="dxa"/>
            </w:tcMar>
          </w:tcPr>
          <w:p w14:paraId="2FD6B032"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Hearst Forest</w:t>
            </w:r>
          </w:p>
        </w:tc>
        <w:tc>
          <w:tcPr>
            <w:tcW w:w="892" w:type="dxa"/>
            <w:tcMar>
              <w:top w:w="100" w:type="dxa"/>
              <w:left w:w="100" w:type="dxa"/>
              <w:bottom w:w="100" w:type="dxa"/>
              <w:right w:w="100" w:type="dxa"/>
            </w:tcMar>
          </w:tcPr>
          <w:p w14:paraId="5A3229E1" w14:textId="44E847C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103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928</w:t>
            </w:r>
          </w:p>
        </w:tc>
        <w:tc>
          <w:tcPr>
            <w:tcW w:w="754" w:type="dxa"/>
            <w:tcMar>
              <w:top w:w="100" w:type="dxa"/>
              <w:left w:w="100" w:type="dxa"/>
              <w:bottom w:w="100" w:type="dxa"/>
              <w:right w:w="100" w:type="dxa"/>
            </w:tcMar>
          </w:tcPr>
          <w:p w14:paraId="517D940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564</w:t>
            </w:r>
          </w:p>
        </w:tc>
        <w:tc>
          <w:tcPr>
            <w:tcW w:w="1089" w:type="dxa"/>
            <w:tcMar>
              <w:top w:w="100" w:type="dxa"/>
              <w:left w:w="100" w:type="dxa"/>
              <w:bottom w:w="100" w:type="dxa"/>
              <w:right w:w="100" w:type="dxa"/>
            </w:tcMar>
          </w:tcPr>
          <w:p w14:paraId="59A48A9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18667A1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2E674C2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4BE2498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432C224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564</w:t>
            </w:r>
          </w:p>
        </w:tc>
        <w:tc>
          <w:tcPr>
            <w:tcW w:w="1143" w:type="dxa"/>
            <w:tcMar>
              <w:top w:w="100" w:type="dxa"/>
              <w:left w:w="100" w:type="dxa"/>
              <w:bottom w:w="100" w:type="dxa"/>
              <w:right w:w="100" w:type="dxa"/>
            </w:tcMar>
          </w:tcPr>
          <w:p w14:paraId="0F2AD96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0.5431</w:t>
            </w:r>
          </w:p>
        </w:tc>
      </w:tr>
      <w:tr w:rsidR="008634CB" w14:paraId="50825EBB" w14:textId="77777777" w:rsidTr="00750104">
        <w:trPr>
          <w:trHeight w:val="740"/>
        </w:trPr>
        <w:tc>
          <w:tcPr>
            <w:tcW w:w="1136" w:type="dxa"/>
            <w:tcMar>
              <w:top w:w="100" w:type="dxa"/>
              <w:left w:w="100" w:type="dxa"/>
              <w:bottom w:w="100" w:type="dxa"/>
              <w:right w:w="100" w:type="dxa"/>
            </w:tcMar>
          </w:tcPr>
          <w:p w14:paraId="160FFE0D"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Kenora Forest</w:t>
            </w:r>
          </w:p>
        </w:tc>
        <w:tc>
          <w:tcPr>
            <w:tcW w:w="892" w:type="dxa"/>
            <w:tcMar>
              <w:top w:w="100" w:type="dxa"/>
              <w:left w:w="100" w:type="dxa"/>
              <w:bottom w:w="100" w:type="dxa"/>
              <w:right w:w="100" w:type="dxa"/>
            </w:tcMar>
          </w:tcPr>
          <w:p w14:paraId="7E9201C6" w14:textId="168D46F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153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448</w:t>
            </w:r>
          </w:p>
        </w:tc>
        <w:tc>
          <w:tcPr>
            <w:tcW w:w="754" w:type="dxa"/>
            <w:tcMar>
              <w:top w:w="100" w:type="dxa"/>
              <w:left w:w="100" w:type="dxa"/>
              <w:bottom w:w="100" w:type="dxa"/>
              <w:right w:w="100" w:type="dxa"/>
            </w:tcMar>
          </w:tcPr>
          <w:p w14:paraId="425B0CF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17</w:t>
            </w:r>
          </w:p>
        </w:tc>
        <w:tc>
          <w:tcPr>
            <w:tcW w:w="1089" w:type="dxa"/>
            <w:tcMar>
              <w:top w:w="100" w:type="dxa"/>
              <w:left w:w="100" w:type="dxa"/>
              <w:bottom w:w="100" w:type="dxa"/>
              <w:right w:w="100" w:type="dxa"/>
            </w:tcMar>
          </w:tcPr>
          <w:p w14:paraId="3A0CC89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1777AAB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64DDC76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2B36F9A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7715647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17</w:t>
            </w:r>
          </w:p>
        </w:tc>
        <w:tc>
          <w:tcPr>
            <w:tcW w:w="1143" w:type="dxa"/>
            <w:tcMar>
              <w:top w:w="100" w:type="dxa"/>
              <w:left w:w="100" w:type="dxa"/>
              <w:bottom w:w="100" w:type="dxa"/>
              <w:right w:w="100" w:type="dxa"/>
            </w:tcMar>
          </w:tcPr>
          <w:p w14:paraId="0ABB5A4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0.0109</w:t>
            </w:r>
          </w:p>
        </w:tc>
      </w:tr>
      <w:tr w:rsidR="008634CB" w14:paraId="13A34529" w14:textId="77777777" w:rsidTr="00750104">
        <w:trPr>
          <w:trHeight w:val="740"/>
        </w:trPr>
        <w:tc>
          <w:tcPr>
            <w:tcW w:w="1136" w:type="dxa"/>
            <w:tcMar>
              <w:top w:w="100" w:type="dxa"/>
              <w:left w:w="100" w:type="dxa"/>
              <w:bottom w:w="100" w:type="dxa"/>
              <w:right w:w="100" w:type="dxa"/>
            </w:tcMar>
          </w:tcPr>
          <w:p w14:paraId="34791416"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Lakehead Forest</w:t>
            </w:r>
          </w:p>
        </w:tc>
        <w:tc>
          <w:tcPr>
            <w:tcW w:w="892" w:type="dxa"/>
            <w:tcMar>
              <w:top w:w="100" w:type="dxa"/>
              <w:left w:w="100" w:type="dxa"/>
              <w:bottom w:w="100" w:type="dxa"/>
              <w:right w:w="100" w:type="dxa"/>
            </w:tcMar>
          </w:tcPr>
          <w:p w14:paraId="240455E7" w14:textId="50BDA5C5"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387</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925</w:t>
            </w:r>
          </w:p>
        </w:tc>
        <w:tc>
          <w:tcPr>
            <w:tcW w:w="754" w:type="dxa"/>
            <w:tcMar>
              <w:top w:w="100" w:type="dxa"/>
              <w:left w:w="100" w:type="dxa"/>
              <w:bottom w:w="100" w:type="dxa"/>
              <w:right w:w="100" w:type="dxa"/>
            </w:tcMar>
          </w:tcPr>
          <w:p w14:paraId="5560447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501</w:t>
            </w:r>
          </w:p>
        </w:tc>
        <w:tc>
          <w:tcPr>
            <w:tcW w:w="1089" w:type="dxa"/>
            <w:tcMar>
              <w:top w:w="100" w:type="dxa"/>
              <w:left w:w="100" w:type="dxa"/>
              <w:bottom w:w="100" w:type="dxa"/>
              <w:right w:w="100" w:type="dxa"/>
            </w:tcMar>
          </w:tcPr>
          <w:p w14:paraId="692EDF3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46355ED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0883A07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3CAED61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1A57C4F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501</w:t>
            </w:r>
          </w:p>
        </w:tc>
        <w:tc>
          <w:tcPr>
            <w:tcW w:w="1143" w:type="dxa"/>
            <w:tcMar>
              <w:top w:w="100" w:type="dxa"/>
              <w:left w:w="100" w:type="dxa"/>
              <w:bottom w:w="100" w:type="dxa"/>
              <w:right w:w="100" w:type="dxa"/>
            </w:tcMar>
          </w:tcPr>
          <w:p w14:paraId="342BE95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0.1291</w:t>
            </w:r>
          </w:p>
        </w:tc>
      </w:tr>
      <w:tr w:rsidR="008634CB" w14:paraId="5E2256E4" w14:textId="77777777" w:rsidTr="00750104">
        <w:trPr>
          <w:trHeight w:val="1010"/>
        </w:trPr>
        <w:tc>
          <w:tcPr>
            <w:tcW w:w="1136" w:type="dxa"/>
            <w:tcMar>
              <w:top w:w="100" w:type="dxa"/>
              <w:left w:w="100" w:type="dxa"/>
              <w:bottom w:w="100" w:type="dxa"/>
              <w:right w:w="100" w:type="dxa"/>
            </w:tcMar>
          </w:tcPr>
          <w:p w14:paraId="79A10338"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Mazinaw-Lanark Forest</w:t>
            </w:r>
          </w:p>
        </w:tc>
        <w:tc>
          <w:tcPr>
            <w:tcW w:w="892" w:type="dxa"/>
            <w:tcMar>
              <w:top w:w="100" w:type="dxa"/>
              <w:left w:w="100" w:type="dxa"/>
              <w:bottom w:w="100" w:type="dxa"/>
              <w:right w:w="100" w:type="dxa"/>
            </w:tcMar>
          </w:tcPr>
          <w:p w14:paraId="31056691" w14:textId="12A4A0E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009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794</w:t>
            </w:r>
          </w:p>
        </w:tc>
        <w:tc>
          <w:tcPr>
            <w:tcW w:w="754" w:type="dxa"/>
            <w:tcMar>
              <w:top w:w="100" w:type="dxa"/>
              <w:left w:w="100" w:type="dxa"/>
              <w:bottom w:w="100" w:type="dxa"/>
              <w:right w:w="100" w:type="dxa"/>
            </w:tcMar>
          </w:tcPr>
          <w:p w14:paraId="373C9FD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125</w:t>
            </w:r>
          </w:p>
        </w:tc>
        <w:tc>
          <w:tcPr>
            <w:tcW w:w="1089" w:type="dxa"/>
            <w:tcMar>
              <w:top w:w="100" w:type="dxa"/>
              <w:left w:w="100" w:type="dxa"/>
              <w:bottom w:w="100" w:type="dxa"/>
              <w:right w:w="100" w:type="dxa"/>
            </w:tcMar>
          </w:tcPr>
          <w:p w14:paraId="2BCBF84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662</w:t>
            </w:r>
          </w:p>
        </w:tc>
        <w:tc>
          <w:tcPr>
            <w:tcW w:w="1227" w:type="dxa"/>
            <w:tcMar>
              <w:top w:w="100" w:type="dxa"/>
              <w:left w:w="100" w:type="dxa"/>
              <w:bottom w:w="100" w:type="dxa"/>
              <w:right w:w="100" w:type="dxa"/>
            </w:tcMar>
          </w:tcPr>
          <w:p w14:paraId="4B00B67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450</w:t>
            </w:r>
          </w:p>
        </w:tc>
        <w:tc>
          <w:tcPr>
            <w:tcW w:w="1276" w:type="dxa"/>
            <w:tcMar>
              <w:top w:w="100" w:type="dxa"/>
              <w:left w:w="100" w:type="dxa"/>
              <w:bottom w:w="100" w:type="dxa"/>
              <w:right w:w="100" w:type="dxa"/>
            </w:tcMar>
          </w:tcPr>
          <w:p w14:paraId="756440E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2219CF2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532DF0A6" w14:textId="136A4A8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237</w:t>
            </w:r>
          </w:p>
        </w:tc>
        <w:tc>
          <w:tcPr>
            <w:tcW w:w="1143" w:type="dxa"/>
            <w:tcMar>
              <w:top w:w="100" w:type="dxa"/>
              <w:left w:w="100" w:type="dxa"/>
              <w:bottom w:w="100" w:type="dxa"/>
              <w:right w:w="100" w:type="dxa"/>
            </w:tcMar>
          </w:tcPr>
          <w:p w14:paraId="2476017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0.1225</w:t>
            </w:r>
          </w:p>
        </w:tc>
      </w:tr>
      <w:tr w:rsidR="008634CB" w14:paraId="0329A35F" w14:textId="77777777" w:rsidTr="00750104">
        <w:trPr>
          <w:trHeight w:val="740"/>
        </w:trPr>
        <w:tc>
          <w:tcPr>
            <w:tcW w:w="1136" w:type="dxa"/>
            <w:tcMar>
              <w:top w:w="100" w:type="dxa"/>
              <w:left w:w="100" w:type="dxa"/>
              <w:bottom w:w="100" w:type="dxa"/>
              <w:right w:w="100" w:type="dxa"/>
            </w:tcMar>
          </w:tcPr>
          <w:p w14:paraId="666C58EB"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spellStart"/>
            <w:r w:rsidRPr="0088333B">
              <w:rPr>
                <w:rFonts w:ascii="Times New Roman" w:eastAsia="Times New Roman" w:hAnsi="Times New Roman" w:cs="Times New Roman"/>
                <w:sz w:val="20"/>
                <w:szCs w:val="20"/>
              </w:rPr>
              <w:t>Missinaibi</w:t>
            </w:r>
            <w:proofErr w:type="spellEnd"/>
            <w:r w:rsidRPr="0088333B">
              <w:rPr>
                <w:rFonts w:ascii="Times New Roman" w:eastAsia="Times New Roman" w:hAnsi="Times New Roman" w:cs="Times New Roman"/>
                <w:sz w:val="20"/>
                <w:szCs w:val="20"/>
              </w:rPr>
              <w:t xml:space="preserve"> Forest</w:t>
            </w:r>
          </w:p>
        </w:tc>
        <w:tc>
          <w:tcPr>
            <w:tcW w:w="892" w:type="dxa"/>
            <w:tcMar>
              <w:top w:w="100" w:type="dxa"/>
              <w:left w:w="100" w:type="dxa"/>
              <w:bottom w:w="100" w:type="dxa"/>
              <w:right w:w="100" w:type="dxa"/>
            </w:tcMar>
          </w:tcPr>
          <w:p w14:paraId="659C2562" w14:textId="7C5AF65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269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679</w:t>
            </w:r>
          </w:p>
        </w:tc>
        <w:tc>
          <w:tcPr>
            <w:tcW w:w="754" w:type="dxa"/>
            <w:tcMar>
              <w:top w:w="100" w:type="dxa"/>
              <w:left w:w="100" w:type="dxa"/>
              <w:bottom w:w="100" w:type="dxa"/>
              <w:right w:w="100" w:type="dxa"/>
            </w:tcMar>
          </w:tcPr>
          <w:p w14:paraId="3252FDA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089" w:type="dxa"/>
            <w:tcMar>
              <w:top w:w="100" w:type="dxa"/>
              <w:left w:w="100" w:type="dxa"/>
              <w:bottom w:w="100" w:type="dxa"/>
              <w:right w:w="100" w:type="dxa"/>
            </w:tcMar>
          </w:tcPr>
          <w:p w14:paraId="34DA2D2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310365E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6A68E08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547A68D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172</w:t>
            </w:r>
          </w:p>
        </w:tc>
        <w:tc>
          <w:tcPr>
            <w:tcW w:w="1134" w:type="dxa"/>
            <w:tcMar>
              <w:top w:w="100" w:type="dxa"/>
              <w:left w:w="100" w:type="dxa"/>
              <w:bottom w:w="100" w:type="dxa"/>
              <w:right w:w="100" w:type="dxa"/>
            </w:tcMar>
          </w:tcPr>
          <w:p w14:paraId="7714089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43" w:type="dxa"/>
            <w:tcMar>
              <w:top w:w="100" w:type="dxa"/>
              <w:left w:w="100" w:type="dxa"/>
              <w:bottom w:w="100" w:type="dxa"/>
              <w:right w:w="100" w:type="dxa"/>
            </w:tcMar>
          </w:tcPr>
          <w:p w14:paraId="569A93E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0.0000</w:t>
            </w:r>
          </w:p>
        </w:tc>
      </w:tr>
      <w:tr w:rsidR="008634CB" w14:paraId="372B3DA8" w14:textId="77777777" w:rsidTr="00750104">
        <w:trPr>
          <w:trHeight w:val="740"/>
        </w:trPr>
        <w:tc>
          <w:tcPr>
            <w:tcW w:w="1136" w:type="dxa"/>
            <w:tcMar>
              <w:top w:w="100" w:type="dxa"/>
              <w:left w:w="100" w:type="dxa"/>
              <w:bottom w:w="100" w:type="dxa"/>
              <w:right w:w="100" w:type="dxa"/>
            </w:tcMar>
          </w:tcPr>
          <w:p w14:paraId="6F6D36CB"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roofErr w:type="spellStart"/>
            <w:r w:rsidRPr="0088333B">
              <w:rPr>
                <w:rFonts w:ascii="Times New Roman" w:eastAsia="Times New Roman" w:hAnsi="Times New Roman" w:cs="Times New Roman"/>
                <w:sz w:val="20"/>
                <w:szCs w:val="20"/>
              </w:rPr>
              <w:t>Nagagami</w:t>
            </w:r>
            <w:proofErr w:type="spellEnd"/>
            <w:r w:rsidRPr="0088333B">
              <w:rPr>
                <w:rFonts w:ascii="Times New Roman" w:eastAsia="Times New Roman" w:hAnsi="Times New Roman" w:cs="Times New Roman"/>
                <w:sz w:val="20"/>
                <w:szCs w:val="20"/>
              </w:rPr>
              <w:t xml:space="preserve"> Forest</w:t>
            </w:r>
          </w:p>
        </w:tc>
        <w:tc>
          <w:tcPr>
            <w:tcW w:w="892" w:type="dxa"/>
            <w:tcMar>
              <w:top w:w="100" w:type="dxa"/>
              <w:left w:w="100" w:type="dxa"/>
              <w:bottom w:w="100" w:type="dxa"/>
              <w:right w:w="100" w:type="dxa"/>
            </w:tcMar>
          </w:tcPr>
          <w:p w14:paraId="4BDC0E4C" w14:textId="1926B0D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342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234</w:t>
            </w:r>
          </w:p>
        </w:tc>
        <w:tc>
          <w:tcPr>
            <w:tcW w:w="754" w:type="dxa"/>
            <w:tcMar>
              <w:top w:w="100" w:type="dxa"/>
              <w:left w:w="100" w:type="dxa"/>
              <w:bottom w:w="100" w:type="dxa"/>
              <w:right w:w="100" w:type="dxa"/>
            </w:tcMar>
          </w:tcPr>
          <w:p w14:paraId="541D5073" w14:textId="22CC7810"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942</w:t>
            </w:r>
          </w:p>
        </w:tc>
        <w:tc>
          <w:tcPr>
            <w:tcW w:w="1089" w:type="dxa"/>
            <w:tcMar>
              <w:top w:w="100" w:type="dxa"/>
              <w:left w:w="100" w:type="dxa"/>
              <w:bottom w:w="100" w:type="dxa"/>
              <w:right w:w="100" w:type="dxa"/>
            </w:tcMar>
          </w:tcPr>
          <w:p w14:paraId="03A439A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4E436D8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0BCE2CB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7F970DD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60FA3636" w14:textId="6FB8CB6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942</w:t>
            </w:r>
          </w:p>
        </w:tc>
        <w:tc>
          <w:tcPr>
            <w:tcW w:w="1143" w:type="dxa"/>
            <w:tcMar>
              <w:top w:w="100" w:type="dxa"/>
              <w:left w:w="100" w:type="dxa"/>
              <w:bottom w:w="100" w:type="dxa"/>
              <w:right w:w="100" w:type="dxa"/>
            </w:tcMar>
          </w:tcPr>
          <w:p w14:paraId="79FE987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0.5675</w:t>
            </w:r>
          </w:p>
        </w:tc>
      </w:tr>
      <w:tr w:rsidR="008634CB" w14:paraId="53CECCDB" w14:textId="77777777" w:rsidTr="00750104">
        <w:trPr>
          <w:trHeight w:val="740"/>
        </w:trPr>
        <w:tc>
          <w:tcPr>
            <w:tcW w:w="1136" w:type="dxa"/>
            <w:tcMar>
              <w:top w:w="100" w:type="dxa"/>
              <w:left w:w="100" w:type="dxa"/>
              <w:bottom w:w="100" w:type="dxa"/>
              <w:right w:w="100" w:type="dxa"/>
            </w:tcMar>
          </w:tcPr>
          <w:p w14:paraId="10E933C5"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Nipissing Forest</w:t>
            </w:r>
          </w:p>
        </w:tc>
        <w:tc>
          <w:tcPr>
            <w:tcW w:w="892" w:type="dxa"/>
            <w:tcMar>
              <w:top w:w="100" w:type="dxa"/>
              <w:left w:w="100" w:type="dxa"/>
              <w:bottom w:w="100" w:type="dxa"/>
              <w:right w:w="100" w:type="dxa"/>
            </w:tcMar>
          </w:tcPr>
          <w:p w14:paraId="5D73C8F5" w14:textId="0BB4D309"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101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993</w:t>
            </w:r>
          </w:p>
        </w:tc>
        <w:tc>
          <w:tcPr>
            <w:tcW w:w="754" w:type="dxa"/>
            <w:tcMar>
              <w:top w:w="100" w:type="dxa"/>
              <w:left w:w="100" w:type="dxa"/>
              <w:bottom w:w="100" w:type="dxa"/>
              <w:right w:w="100" w:type="dxa"/>
            </w:tcMar>
          </w:tcPr>
          <w:p w14:paraId="3DF14847" w14:textId="2352A15A"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793</w:t>
            </w:r>
          </w:p>
        </w:tc>
        <w:tc>
          <w:tcPr>
            <w:tcW w:w="1089" w:type="dxa"/>
            <w:tcMar>
              <w:top w:w="100" w:type="dxa"/>
              <w:left w:w="100" w:type="dxa"/>
              <w:bottom w:w="100" w:type="dxa"/>
              <w:right w:w="100" w:type="dxa"/>
            </w:tcMar>
          </w:tcPr>
          <w:p w14:paraId="6C6EAD7F" w14:textId="3404AF7F"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060</w:t>
            </w:r>
          </w:p>
        </w:tc>
        <w:tc>
          <w:tcPr>
            <w:tcW w:w="1227" w:type="dxa"/>
            <w:tcMar>
              <w:top w:w="100" w:type="dxa"/>
              <w:left w:w="100" w:type="dxa"/>
              <w:bottom w:w="100" w:type="dxa"/>
              <w:right w:w="100" w:type="dxa"/>
            </w:tcMar>
          </w:tcPr>
          <w:p w14:paraId="6D02DBF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164</w:t>
            </w:r>
          </w:p>
        </w:tc>
        <w:tc>
          <w:tcPr>
            <w:tcW w:w="1276" w:type="dxa"/>
            <w:tcMar>
              <w:top w:w="100" w:type="dxa"/>
              <w:left w:w="100" w:type="dxa"/>
              <w:bottom w:w="100" w:type="dxa"/>
              <w:right w:w="100" w:type="dxa"/>
            </w:tcMar>
          </w:tcPr>
          <w:p w14:paraId="21BCA1AA" w14:textId="3310B3BF"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758</w:t>
            </w:r>
          </w:p>
        </w:tc>
        <w:tc>
          <w:tcPr>
            <w:tcW w:w="709" w:type="dxa"/>
            <w:tcMar>
              <w:top w:w="100" w:type="dxa"/>
              <w:left w:w="100" w:type="dxa"/>
              <w:bottom w:w="100" w:type="dxa"/>
              <w:right w:w="100" w:type="dxa"/>
            </w:tcMar>
          </w:tcPr>
          <w:p w14:paraId="5C92CD0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6CF5577" w14:textId="1F5FB2B1"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017</w:t>
            </w:r>
          </w:p>
        </w:tc>
        <w:tc>
          <w:tcPr>
            <w:tcW w:w="1143" w:type="dxa"/>
            <w:tcMar>
              <w:top w:w="100" w:type="dxa"/>
              <w:left w:w="100" w:type="dxa"/>
              <w:bottom w:w="100" w:type="dxa"/>
              <w:right w:w="100" w:type="dxa"/>
            </w:tcMar>
          </w:tcPr>
          <w:p w14:paraId="5B0E6F4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0.2738</w:t>
            </w:r>
          </w:p>
        </w:tc>
      </w:tr>
      <w:tr w:rsidR="008634CB" w14:paraId="2CDD446B" w14:textId="77777777" w:rsidTr="00750104">
        <w:trPr>
          <w:trHeight w:val="740"/>
        </w:trPr>
        <w:tc>
          <w:tcPr>
            <w:tcW w:w="1136" w:type="dxa"/>
            <w:tcMar>
              <w:top w:w="100" w:type="dxa"/>
              <w:left w:w="100" w:type="dxa"/>
              <w:bottom w:w="100" w:type="dxa"/>
              <w:right w:w="100" w:type="dxa"/>
            </w:tcMar>
          </w:tcPr>
          <w:p w14:paraId="3F95C8E6"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Northshore Forest</w:t>
            </w:r>
          </w:p>
        </w:tc>
        <w:tc>
          <w:tcPr>
            <w:tcW w:w="892" w:type="dxa"/>
            <w:tcMar>
              <w:top w:w="100" w:type="dxa"/>
              <w:left w:w="100" w:type="dxa"/>
              <w:bottom w:w="100" w:type="dxa"/>
              <w:right w:w="100" w:type="dxa"/>
            </w:tcMar>
          </w:tcPr>
          <w:p w14:paraId="7048E323" w14:textId="37160119"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260</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135</w:t>
            </w:r>
          </w:p>
        </w:tc>
        <w:tc>
          <w:tcPr>
            <w:tcW w:w="754" w:type="dxa"/>
            <w:tcMar>
              <w:top w:w="100" w:type="dxa"/>
              <w:left w:w="100" w:type="dxa"/>
              <w:bottom w:w="100" w:type="dxa"/>
              <w:right w:w="100" w:type="dxa"/>
            </w:tcMar>
          </w:tcPr>
          <w:p w14:paraId="373EAFC6" w14:textId="6234EC1B"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278</w:t>
            </w:r>
          </w:p>
        </w:tc>
        <w:tc>
          <w:tcPr>
            <w:tcW w:w="1089" w:type="dxa"/>
            <w:tcMar>
              <w:top w:w="100" w:type="dxa"/>
              <w:left w:w="100" w:type="dxa"/>
              <w:bottom w:w="100" w:type="dxa"/>
              <w:right w:w="100" w:type="dxa"/>
            </w:tcMar>
          </w:tcPr>
          <w:p w14:paraId="7AEA14B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834</w:t>
            </w:r>
          </w:p>
        </w:tc>
        <w:tc>
          <w:tcPr>
            <w:tcW w:w="1227" w:type="dxa"/>
            <w:tcMar>
              <w:top w:w="100" w:type="dxa"/>
              <w:left w:w="100" w:type="dxa"/>
              <w:bottom w:w="100" w:type="dxa"/>
              <w:right w:w="100" w:type="dxa"/>
            </w:tcMar>
          </w:tcPr>
          <w:p w14:paraId="0129D63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116</w:t>
            </w:r>
          </w:p>
        </w:tc>
        <w:tc>
          <w:tcPr>
            <w:tcW w:w="1276" w:type="dxa"/>
            <w:tcMar>
              <w:top w:w="100" w:type="dxa"/>
              <w:left w:w="100" w:type="dxa"/>
              <w:bottom w:w="100" w:type="dxa"/>
              <w:right w:w="100" w:type="dxa"/>
            </w:tcMar>
          </w:tcPr>
          <w:p w14:paraId="3D0C1A7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w:t>
            </w:r>
          </w:p>
        </w:tc>
        <w:tc>
          <w:tcPr>
            <w:tcW w:w="709" w:type="dxa"/>
            <w:tcMar>
              <w:top w:w="100" w:type="dxa"/>
              <w:left w:w="100" w:type="dxa"/>
              <w:bottom w:w="100" w:type="dxa"/>
              <w:right w:w="100" w:type="dxa"/>
            </w:tcMar>
          </w:tcPr>
          <w:p w14:paraId="145FB48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369C6812" w14:textId="3556F16A"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227</w:t>
            </w:r>
          </w:p>
        </w:tc>
        <w:tc>
          <w:tcPr>
            <w:tcW w:w="1143" w:type="dxa"/>
            <w:tcMar>
              <w:top w:w="100" w:type="dxa"/>
              <w:left w:w="100" w:type="dxa"/>
              <w:bottom w:w="100" w:type="dxa"/>
              <w:right w:w="100" w:type="dxa"/>
            </w:tcMar>
          </w:tcPr>
          <w:p w14:paraId="29513EA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0.2561</w:t>
            </w:r>
          </w:p>
        </w:tc>
      </w:tr>
      <w:tr w:rsidR="008634CB" w14:paraId="11452AC5" w14:textId="77777777" w:rsidTr="00750104">
        <w:trPr>
          <w:trHeight w:val="740"/>
        </w:trPr>
        <w:tc>
          <w:tcPr>
            <w:tcW w:w="1136" w:type="dxa"/>
            <w:tcMar>
              <w:top w:w="100" w:type="dxa"/>
              <w:left w:w="100" w:type="dxa"/>
              <w:bottom w:w="100" w:type="dxa"/>
              <w:right w:w="100" w:type="dxa"/>
            </w:tcMar>
          </w:tcPr>
          <w:p w14:paraId="3F9675BE"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Ottawa Forest</w:t>
            </w:r>
          </w:p>
        </w:tc>
        <w:tc>
          <w:tcPr>
            <w:tcW w:w="892" w:type="dxa"/>
            <w:tcMar>
              <w:top w:w="100" w:type="dxa"/>
              <w:left w:w="100" w:type="dxa"/>
              <w:bottom w:w="100" w:type="dxa"/>
              <w:right w:w="100" w:type="dxa"/>
            </w:tcMar>
          </w:tcPr>
          <w:p w14:paraId="0A2FCEB2" w14:textId="3533BE0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827</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497</w:t>
            </w:r>
          </w:p>
        </w:tc>
        <w:tc>
          <w:tcPr>
            <w:tcW w:w="754" w:type="dxa"/>
            <w:tcMar>
              <w:top w:w="100" w:type="dxa"/>
              <w:left w:w="100" w:type="dxa"/>
              <w:bottom w:w="100" w:type="dxa"/>
              <w:right w:w="100" w:type="dxa"/>
            </w:tcMar>
          </w:tcPr>
          <w:p w14:paraId="67193FE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895</w:t>
            </w:r>
          </w:p>
        </w:tc>
        <w:tc>
          <w:tcPr>
            <w:tcW w:w="1089" w:type="dxa"/>
            <w:tcMar>
              <w:top w:w="100" w:type="dxa"/>
              <w:left w:w="100" w:type="dxa"/>
              <w:bottom w:w="100" w:type="dxa"/>
              <w:right w:w="100" w:type="dxa"/>
            </w:tcMar>
          </w:tcPr>
          <w:p w14:paraId="4EB483F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705</w:t>
            </w:r>
          </w:p>
        </w:tc>
        <w:tc>
          <w:tcPr>
            <w:tcW w:w="1227" w:type="dxa"/>
            <w:tcMar>
              <w:top w:w="100" w:type="dxa"/>
              <w:left w:w="100" w:type="dxa"/>
              <w:bottom w:w="100" w:type="dxa"/>
              <w:right w:w="100" w:type="dxa"/>
            </w:tcMar>
          </w:tcPr>
          <w:p w14:paraId="7E3668E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204</w:t>
            </w:r>
          </w:p>
        </w:tc>
        <w:tc>
          <w:tcPr>
            <w:tcW w:w="1276" w:type="dxa"/>
            <w:tcMar>
              <w:top w:w="100" w:type="dxa"/>
              <w:left w:w="100" w:type="dxa"/>
              <w:bottom w:w="100" w:type="dxa"/>
              <w:right w:w="100" w:type="dxa"/>
            </w:tcMar>
          </w:tcPr>
          <w:p w14:paraId="086424A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04DF5C3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7E13DEA" w14:textId="6378436D"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804</w:t>
            </w:r>
          </w:p>
        </w:tc>
        <w:tc>
          <w:tcPr>
            <w:tcW w:w="1143" w:type="dxa"/>
            <w:tcMar>
              <w:top w:w="100" w:type="dxa"/>
              <w:left w:w="100" w:type="dxa"/>
              <w:bottom w:w="100" w:type="dxa"/>
              <w:right w:w="100" w:type="dxa"/>
            </w:tcMar>
          </w:tcPr>
          <w:p w14:paraId="6710F99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0.2180</w:t>
            </w:r>
          </w:p>
        </w:tc>
      </w:tr>
      <w:tr w:rsidR="008634CB" w14:paraId="6AC46709" w14:textId="77777777" w:rsidTr="00750104">
        <w:trPr>
          <w:trHeight w:val="485"/>
        </w:trPr>
        <w:tc>
          <w:tcPr>
            <w:tcW w:w="1136" w:type="dxa"/>
            <w:tcMar>
              <w:top w:w="100" w:type="dxa"/>
              <w:left w:w="100" w:type="dxa"/>
              <w:bottom w:w="100" w:type="dxa"/>
              <w:right w:w="100" w:type="dxa"/>
            </w:tcMar>
          </w:tcPr>
          <w:p w14:paraId="25869186"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Pic Forest</w:t>
            </w:r>
          </w:p>
        </w:tc>
        <w:tc>
          <w:tcPr>
            <w:tcW w:w="892" w:type="dxa"/>
            <w:tcMar>
              <w:top w:w="100" w:type="dxa"/>
              <w:left w:w="100" w:type="dxa"/>
              <w:bottom w:w="100" w:type="dxa"/>
              <w:right w:w="100" w:type="dxa"/>
            </w:tcMar>
          </w:tcPr>
          <w:p w14:paraId="36897FDF" w14:textId="24DFB51C"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194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680</w:t>
            </w:r>
          </w:p>
        </w:tc>
        <w:tc>
          <w:tcPr>
            <w:tcW w:w="754" w:type="dxa"/>
            <w:tcMar>
              <w:top w:w="100" w:type="dxa"/>
              <w:left w:w="100" w:type="dxa"/>
              <w:bottom w:w="100" w:type="dxa"/>
              <w:right w:w="100" w:type="dxa"/>
            </w:tcMar>
          </w:tcPr>
          <w:p w14:paraId="53FB5EB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089" w:type="dxa"/>
            <w:tcMar>
              <w:top w:w="100" w:type="dxa"/>
              <w:left w:w="100" w:type="dxa"/>
              <w:bottom w:w="100" w:type="dxa"/>
              <w:right w:w="100" w:type="dxa"/>
            </w:tcMar>
          </w:tcPr>
          <w:p w14:paraId="6D6D37A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11FC926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21885A3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06F90A8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27</w:t>
            </w:r>
          </w:p>
        </w:tc>
        <w:tc>
          <w:tcPr>
            <w:tcW w:w="1134" w:type="dxa"/>
            <w:tcMar>
              <w:top w:w="100" w:type="dxa"/>
              <w:left w:w="100" w:type="dxa"/>
              <w:bottom w:w="100" w:type="dxa"/>
              <w:right w:w="100" w:type="dxa"/>
            </w:tcMar>
          </w:tcPr>
          <w:p w14:paraId="1B15B92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43" w:type="dxa"/>
            <w:tcMar>
              <w:top w:w="100" w:type="dxa"/>
              <w:left w:w="100" w:type="dxa"/>
              <w:bottom w:w="100" w:type="dxa"/>
              <w:right w:w="100" w:type="dxa"/>
            </w:tcMar>
          </w:tcPr>
          <w:p w14:paraId="2B6C09E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0.0000</w:t>
            </w:r>
          </w:p>
        </w:tc>
      </w:tr>
      <w:tr w:rsidR="008634CB" w14:paraId="077CCC1F" w14:textId="77777777" w:rsidTr="00750104">
        <w:trPr>
          <w:trHeight w:val="740"/>
        </w:trPr>
        <w:tc>
          <w:tcPr>
            <w:tcW w:w="1136" w:type="dxa"/>
            <w:tcMar>
              <w:top w:w="100" w:type="dxa"/>
              <w:left w:w="100" w:type="dxa"/>
              <w:bottom w:w="100" w:type="dxa"/>
              <w:right w:w="100" w:type="dxa"/>
            </w:tcMar>
          </w:tcPr>
          <w:p w14:paraId="0BB1C41A"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Pineland Forest</w:t>
            </w:r>
          </w:p>
        </w:tc>
        <w:tc>
          <w:tcPr>
            <w:tcW w:w="892" w:type="dxa"/>
            <w:tcMar>
              <w:top w:w="100" w:type="dxa"/>
              <w:left w:w="100" w:type="dxa"/>
              <w:bottom w:w="100" w:type="dxa"/>
              <w:right w:w="100" w:type="dxa"/>
            </w:tcMar>
          </w:tcPr>
          <w:p w14:paraId="3DBCC847" w14:textId="04D2C51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237</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084</w:t>
            </w:r>
          </w:p>
        </w:tc>
        <w:tc>
          <w:tcPr>
            <w:tcW w:w="754" w:type="dxa"/>
            <w:tcMar>
              <w:top w:w="100" w:type="dxa"/>
              <w:left w:w="100" w:type="dxa"/>
              <w:bottom w:w="100" w:type="dxa"/>
              <w:right w:w="100" w:type="dxa"/>
            </w:tcMar>
          </w:tcPr>
          <w:p w14:paraId="0E5C136E"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999</w:t>
            </w:r>
          </w:p>
        </w:tc>
        <w:tc>
          <w:tcPr>
            <w:tcW w:w="1089" w:type="dxa"/>
            <w:tcMar>
              <w:top w:w="100" w:type="dxa"/>
              <w:left w:w="100" w:type="dxa"/>
              <w:bottom w:w="100" w:type="dxa"/>
              <w:right w:w="100" w:type="dxa"/>
            </w:tcMar>
          </w:tcPr>
          <w:p w14:paraId="7D6208F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p>
        </w:tc>
        <w:tc>
          <w:tcPr>
            <w:tcW w:w="1227" w:type="dxa"/>
            <w:tcMar>
              <w:top w:w="100" w:type="dxa"/>
              <w:left w:w="100" w:type="dxa"/>
              <w:bottom w:w="100" w:type="dxa"/>
              <w:right w:w="100" w:type="dxa"/>
            </w:tcMar>
          </w:tcPr>
          <w:p w14:paraId="34FE2FA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167666A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18</w:t>
            </w:r>
          </w:p>
        </w:tc>
        <w:tc>
          <w:tcPr>
            <w:tcW w:w="709" w:type="dxa"/>
            <w:tcMar>
              <w:top w:w="100" w:type="dxa"/>
              <w:left w:w="100" w:type="dxa"/>
              <w:bottom w:w="100" w:type="dxa"/>
              <w:right w:w="100" w:type="dxa"/>
            </w:tcMar>
          </w:tcPr>
          <w:p w14:paraId="574C870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2DE51580" w14:textId="17BF9739"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002</w:t>
            </w:r>
          </w:p>
        </w:tc>
        <w:tc>
          <w:tcPr>
            <w:tcW w:w="1143" w:type="dxa"/>
            <w:tcMar>
              <w:top w:w="100" w:type="dxa"/>
              <w:left w:w="100" w:type="dxa"/>
              <w:bottom w:w="100" w:type="dxa"/>
              <w:right w:w="100" w:type="dxa"/>
            </w:tcMar>
          </w:tcPr>
          <w:p w14:paraId="48768FF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0.4225</w:t>
            </w:r>
          </w:p>
        </w:tc>
      </w:tr>
      <w:tr w:rsidR="008634CB" w14:paraId="4F003393" w14:textId="77777777" w:rsidTr="00750104">
        <w:trPr>
          <w:trHeight w:val="1010"/>
        </w:trPr>
        <w:tc>
          <w:tcPr>
            <w:tcW w:w="1136" w:type="dxa"/>
            <w:tcMar>
              <w:top w:w="100" w:type="dxa"/>
              <w:left w:w="100" w:type="dxa"/>
              <w:bottom w:w="100" w:type="dxa"/>
              <w:right w:w="100" w:type="dxa"/>
            </w:tcMar>
          </w:tcPr>
          <w:p w14:paraId="59AF843F"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 xml:space="preserve">Romeo </w:t>
            </w:r>
            <w:proofErr w:type="spellStart"/>
            <w:r w:rsidRPr="0088333B">
              <w:rPr>
                <w:rFonts w:ascii="Times New Roman" w:eastAsia="Times New Roman" w:hAnsi="Times New Roman" w:cs="Times New Roman"/>
                <w:sz w:val="20"/>
                <w:szCs w:val="20"/>
              </w:rPr>
              <w:t>Malette</w:t>
            </w:r>
            <w:proofErr w:type="spellEnd"/>
            <w:r w:rsidRPr="0088333B">
              <w:rPr>
                <w:rFonts w:ascii="Times New Roman" w:eastAsia="Times New Roman" w:hAnsi="Times New Roman" w:cs="Times New Roman"/>
                <w:sz w:val="20"/>
                <w:szCs w:val="20"/>
              </w:rPr>
              <w:t xml:space="preserve"> Forest</w:t>
            </w:r>
          </w:p>
        </w:tc>
        <w:tc>
          <w:tcPr>
            <w:tcW w:w="892" w:type="dxa"/>
            <w:tcMar>
              <w:top w:w="100" w:type="dxa"/>
              <w:left w:w="100" w:type="dxa"/>
              <w:bottom w:w="100" w:type="dxa"/>
              <w:right w:w="100" w:type="dxa"/>
            </w:tcMar>
          </w:tcPr>
          <w:p w14:paraId="3D714D90" w14:textId="54CB4A7D"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409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366</w:t>
            </w:r>
          </w:p>
        </w:tc>
        <w:tc>
          <w:tcPr>
            <w:tcW w:w="754" w:type="dxa"/>
            <w:tcMar>
              <w:top w:w="100" w:type="dxa"/>
              <w:left w:w="100" w:type="dxa"/>
              <w:bottom w:w="100" w:type="dxa"/>
              <w:right w:w="100" w:type="dxa"/>
            </w:tcMar>
          </w:tcPr>
          <w:p w14:paraId="3EB95DA3" w14:textId="15F5769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229</w:t>
            </w:r>
          </w:p>
        </w:tc>
        <w:tc>
          <w:tcPr>
            <w:tcW w:w="1089" w:type="dxa"/>
            <w:tcMar>
              <w:top w:w="100" w:type="dxa"/>
              <w:left w:w="100" w:type="dxa"/>
              <w:bottom w:w="100" w:type="dxa"/>
              <w:right w:w="100" w:type="dxa"/>
            </w:tcMar>
          </w:tcPr>
          <w:p w14:paraId="684A054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7AB8CD6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1EABED9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w:t>
            </w:r>
          </w:p>
        </w:tc>
        <w:tc>
          <w:tcPr>
            <w:tcW w:w="709" w:type="dxa"/>
            <w:tcMar>
              <w:top w:w="100" w:type="dxa"/>
              <w:left w:w="100" w:type="dxa"/>
              <w:bottom w:w="100" w:type="dxa"/>
              <w:right w:w="100" w:type="dxa"/>
            </w:tcMar>
          </w:tcPr>
          <w:p w14:paraId="44C75EC0"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2F8AC6DD" w14:textId="2C192B6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229</w:t>
            </w:r>
          </w:p>
        </w:tc>
        <w:tc>
          <w:tcPr>
            <w:tcW w:w="1143" w:type="dxa"/>
            <w:tcMar>
              <w:top w:w="100" w:type="dxa"/>
              <w:left w:w="100" w:type="dxa"/>
              <w:bottom w:w="100" w:type="dxa"/>
              <w:right w:w="100" w:type="dxa"/>
            </w:tcMar>
          </w:tcPr>
          <w:p w14:paraId="79FBE153"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0.5446</w:t>
            </w:r>
          </w:p>
        </w:tc>
      </w:tr>
      <w:tr w:rsidR="008634CB" w14:paraId="6728BA9F" w14:textId="77777777" w:rsidTr="00750104">
        <w:trPr>
          <w:trHeight w:val="740"/>
        </w:trPr>
        <w:tc>
          <w:tcPr>
            <w:tcW w:w="1136" w:type="dxa"/>
            <w:tcMar>
              <w:top w:w="100" w:type="dxa"/>
              <w:left w:w="100" w:type="dxa"/>
              <w:bottom w:w="100" w:type="dxa"/>
              <w:right w:w="100" w:type="dxa"/>
            </w:tcMar>
          </w:tcPr>
          <w:p w14:paraId="55C76325"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lastRenderedPageBreak/>
              <w:t>Spanish Forest</w:t>
            </w:r>
          </w:p>
        </w:tc>
        <w:tc>
          <w:tcPr>
            <w:tcW w:w="892" w:type="dxa"/>
            <w:tcMar>
              <w:top w:w="100" w:type="dxa"/>
              <w:left w:w="100" w:type="dxa"/>
              <w:bottom w:w="100" w:type="dxa"/>
              <w:right w:w="100" w:type="dxa"/>
            </w:tcMar>
          </w:tcPr>
          <w:p w14:paraId="5D336CFD" w14:textId="3AC93A3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272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085</w:t>
            </w:r>
          </w:p>
        </w:tc>
        <w:tc>
          <w:tcPr>
            <w:tcW w:w="754" w:type="dxa"/>
            <w:tcMar>
              <w:top w:w="100" w:type="dxa"/>
              <w:left w:w="100" w:type="dxa"/>
              <w:bottom w:w="100" w:type="dxa"/>
              <w:right w:w="100" w:type="dxa"/>
            </w:tcMar>
          </w:tcPr>
          <w:p w14:paraId="18E90AFE" w14:textId="2F2508A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527</w:t>
            </w:r>
          </w:p>
        </w:tc>
        <w:tc>
          <w:tcPr>
            <w:tcW w:w="1089" w:type="dxa"/>
            <w:tcMar>
              <w:top w:w="100" w:type="dxa"/>
              <w:left w:w="100" w:type="dxa"/>
              <w:bottom w:w="100" w:type="dxa"/>
              <w:right w:w="100" w:type="dxa"/>
            </w:tcMar>
          </w:tcPr>
          <w:p w14:paraId="3F57670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8</w:t>
            </w:r>
          </w:p>
        </w:tc>
        <w:tc>
          <w:tcPr>
            <w:tcW w:w="1227" w:type="dxa"/>
            <w:tcMar>
              <w:top w:w="100" w:type="dxa"/>
              <w:left w:w="100" w:type="dxa"/>
              <w:bottom w:w="100" w:type="dxa"/>
              <w:right w:w="100" w:type="dxa"/>
            </w:tcMar>
          </w:tcPr>
          <w:p w14:paraId="1718263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147F38C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6FB18BC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94CEDB9" w14:textId="5CA27252"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535</w:t>
            </w:r>
          </w:p>
        </w:tc>
        <w:tc>
          <w:tcPr>
            <w:tcW w:w="1143" w:type="dxa"/>
            <w:tcMar>
              <w:top w:w="100" w:type="dxa"/>
              <w:left w:w="100" w:type="dxa"/>
              <w:bottom w:w="100" w:type="dxa"/>
              <w:right w:w="100" w:type="dxa"/>
            </w:tcMar>
          </w:tcPr>
          <w:p w14:paraId="6748992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0.5642</w:t>
            </w:r>
          </w:p>
        </w:tc>
      </w:tr>
      <w:tr w:rsidR="008634CB" w14:paraId="454288E0" w14:textId="77777777" w:rsidTr="00750104">
        <w:trPr>
          <w:trHeight w:val="740"/>
        </w:trPr>
        <w:tc>
          <w:tcPr>
            <w:tcW w:w="1136" w:type="dxa"/>
            <w:tcMar>
              <w:top w:w="100" w:type="dxa"/>
              <w:left w:w="100" w:type="dxa"/>
              <w:bottom w:w="100" w:type="dxa"/>
              <w:right w:w="100" w:type="dxa"/>
            </w:tcMar>
          </w:tcPr>
          <w:p w14:paraId="208C41DA"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Sudbury Forest</w:t>
            </w:r>
          </w:p>
        </w:tc>
        <w:tc>
          <w:tcPr>
            <w:tcW w:w="892" w:type="dxa"/>
            <w:tcMar>
              <w:top w:w="100" w:type="dxa"/>
              <w:left w:w="100" w:type="dxa"/>
              <w:bottom w:w="100" w:type="dxa"/>
              <w:right w:w="100" w:type="dxa"/>
            </w:tcMar>
          </w:tcPr>
          <w:p w14:paraId="3FC704BD" w14:textId="092C5E3F"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043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054</w:t>
            </w:r>
          </w:p>
        </w:tc>
        <w:tc>
          <w:tcPr>
            <w:tcW w:w="754" w:type="dxa"/>
            <w:tcMar>
              <w:top w:w="100" w:type="dxa"/>
              <w:left w:w="100" w:type="dxa"/>
              <w:bottom w:w="100" w:type="dxa"/>
              <w:right w:w="100" w:type="dxa"/>
            </w:tcMar>
          </w:tcPr>
          <w:p w14:paraId="510D9782" w14:textId="06283F9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326</w:t>
            </w:r>
          </w:p>
        </w:tc>
        <w:tc>
          <w:tcPr>
            <w:tcW w:w="1089" w:type="dxa"/>
            <w:tcMar>
              <w:top w:w="100" w:type="dxa"/>
              <w:left w:w="100" w:type="dxa"/>
              <w:bottom w:w="100" w:type="dxa"/>
              <w:right w:w="100" w:type="dxa"/>
            </w:tcMar>
          </w:tcPr>
          <w:p w14:paraId="117A2FB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442</w:t>
            </w:r>
          </w:p>
        </w:tc>
        <w:tc>
          <w:tcPr>
            <w:tcW w:w="1227" w:type="dxa"/>
            <w:tcMar>
              <w:top w:w="100" w:type="dxa"/>
              <w:left w:w="100" w:type="dxa"/>
              <w:bottom w:w="100" w:type="dxa"/>
              <w:right w:w="100" w:type="dxa"/>
            </w:tcMar>
          </w:tcPr>
          <w:p w14:paraId="17846E7F"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13</w:t>
            </w:r>
          </w:p>
        </w:tc>
        <w:tc>
          <w:tcPr>
            <w:tcW w:w="1276" w:type="dxa"/>
            <w:tcMar>
              <w:top w:w="100" w:type="dxa"/>
              <w:left w:w="100" w:type="dxa"/>
              <w:bottom w:w="100" w:type="dxa"/>
              <w:right w:w="100" w:type="dxa"/>
            </w:tcMar>
          </w:tcPr>
          <w:p w14:paraId="4E8FC5C5" w14:textId="511BB614"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353</w:t>
            </w:r>
          </w:p>
        </w:tc>
        <w:tc>
          <w:tcPr>
            <w:tcW w:w="709" w:type="dxa"/>
            <w:tcMar>
              <w:top w:w="100" w:type="dxa"/>
              <w:left w:w="100" w:type="dxa"/>
              <w:bottom w:w="100" w:type="dxa"/>
              <w:right w:w="100" w:type="dxa"/>
            </w:tcMar>
          </w:tcPr>
          <w:p w14:paraId="7CA2E2E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FE82EBC" w14:textId="5F088935"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781</w:t>
            </w:r>
          </w:p>
        </w:tc>
        <w:tc>
          <w:tcPr>
            <w:tcW w:w="1143" w:type="dxa"/>
            <w:tcMar>
              <w:top w:w="100" w:type="dxa"/>
              <w:left w:w="100" w:type="dxa"/>
              <w:bottom w:w="100" w:type="dxa"/>
              <w:right w:w="100" w:type="dxa"/>
            </w:tcMar>
          </w:tcPr>
          <w:p w14:paraId="5955A25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0.1707</w:t>
            </w:r>
          </w:p>
        </w:tc>
      </w:tr>
      <w:tr w:rsidR="008634CB" w14:paraId="5B4A174B" w14:textId="77777777" w:rsidTr="00750104">
        <w:trPr>
          <w:trHeight w:val="740"/>
        </w:trPr>
        <w:tc>
          <w:tcPr>
            <w:tcW w:w="1136" w:type="dxa"/>
            <w:tcMar>
              <w:top w:w="100" w:type="dxa"/>
              <w:left w:w="100" w:type="dxa"/>
              <w:bottom w:w="100" w:type="dxa"/>
              <w:right w:w="100" w:type="dxa"/>
            </w:tcMar>
          </w:tcPr>
          <w:p w14:paraId="2489D0F8"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Temagami Forest</w:t>
            </w:r>
          </w:p>
        </w:tc>
        <w:tc>
          <w:tcPr>
            <w:tcW w:w="892" w:type="dxa"/>
            <w:tcMar>
              <w:top w:w="100" w:type="dxa"/>
              <w:left w:w="100" w:type="dxa"/>
              <w:bottom w:w="100" w:type="dxa"/>
              <w:right w:w="100" w:type="dxa"/>
            </w:tcMar>
          </w:tcPr>
          <w:p w14:paraId="56227A88" w14:textId="1B57B183"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459</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567</w:t>
            </w:r>
          </w:p>
        </w:tc>
        <w:tc>
          <w:tcPr>
            <w:tcW w:w="754" w:type="dxa"/>
            <w:tcMar>
              <w:top w:w="100" w:type="dxa"/>
              <w:left w:w="100" w:type="dxa"/>
              <w:bottom w:w="100" w:type="dxa"/>
              <w:right w:w="100" w:type="dxa"/>
            </w:tcMar>
          </w:tcPr>
          <w:p w14:paraId="03C3955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447</w:t>
            </w:r>
          </w:p>
        </w:tc>
        <w:tc>
          <w:tcPr>
            <w:tcW w:w="1089" w:type="dxa"/>
            <w:tcMar>
              <w:top w:w="100" w:type="dxa"/>
              <w:left w:w="100" w:type="dxa"/>
              <w:bottom w:w="100" w:type="dxa"/>
              <w:right w:w="100" w:type="dxa"/>
            </w:tcMar>
          </w:tcPr>
          <w:p w14:paraId="0144ED9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p>
        </w:tc>
        <w:tc>
          <w:tcPr>
            <w:tcW w:w="1227" w:type="dxa"/>
            <w:tcMar>
              <w:top w:w="100" w:type="dxa"/>
              <w:left w:w="100" w:type="dxa"/>
              <w:bottom w:w="100" w:type="dxa"/>
              <w:right w:w="100" w:type="dxa"/>
            </w:tcMar>
          </w:tcPr>
          <w:p w14:paraId="4C5BA28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p>
        </w:tc>
        <w:tc>
          <w:tcPr>
            <w:tcW w:w="1276" w:type="dxa"/>
            <w:tcMar>
              <w:top w:w="100" w:type="dxa"/>
              <w:left w:w="100" w:type="dxa"/>
              <w:bottom w:w="100" w:type="dxa"/>
              <w:right w:w="100" w:type="dxa"/>
            </w:tcMar>
          </w:tcPr>
          <w:p w14:paraId="72770BB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171</w:t>
            </w:r>
          </w:p>
        </w:tc>
        <w:tc>
          <w:tcPr>
            <w:tcW w:w="709" w:type="dxa"/>
            <w:tcMar>
              <w:top w:w="100" w:type="dxa"/>
              <w:left w:w="100" w:type="dxa"/>
              <w:bottom w:w="100" w:type="dxa"/>
              <w:right w:w="100" w:type="dxa"/>
            </w:tcMar>
          </w:tcPr>
          <w:p w14:paraId="5C09DF72"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01CE027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448</w:t>
            </w:r>
          </w:p>
        </w:tc>
        <w:tc>
          <w:tcPr>
            <w:tcW w:w="1143" w:type="dxa"/>
            <w:tcMar>
              <w:top w:w="100" w:type="dxa"/>
              <w:left w:w="100" w:type="dxa"/>
              <w:bottom w:w="100" w:type="dxa"/>
              <w:right w:w="100" w:type="dxa"/>
            </w:tcMar>
          </w:tcPr>
          <w:p w14:paraId="57405D5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0.0976</w:t>
            </w:r>
          </w:p>
        </w:tc>
      </w:tr>
      <w:tr w:rsidR="008634CB" w14:paraId="7AD73C60" w14:textId="77777777" w:rsidTr="00750104">
        <w:trPr>
          <w:trHeight w:val="740"/>
        </w:trPr>
        <w:tc>
          <w:tcPr>
            <w:tcW w:w="1136" w:type="dxa"/>
            <w:tcMar>
              <w:top w:w="100" w:type="dxa"/>
              <w:left w:w="100" w:type="dxa"/>
              <w:bottom w:w="100" w:type="dxa"/>
              <w:right w:w="100" w:type="dxa"/>
            </w:tcMar>
          </w:tcPr>
          <w:p w14:paraId="446C81AC"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Timiskaming Forest</w:t>
            </w:r>
          </w:p>
        </w:tc>
        <w:tc>
          <w:tcPr>
            <w:tcW w:w="892" w:type="dxa"/>
            <w:tcMar>
              <w:top w:w="100" w:type="dxa"/>
              <w:left w:w="100" w:type="dxa"/>
              <w:bottom w:w="100" w:type="dxa"/>
              <w:right w:w="100" w:type="dxa"/>
            </w:tcMar>
          </w:tcPr>
          <w:p w14:paraId="11B76CC4" w14:textId="0D65F43E"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134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877</w:t>
            </w:r>
          </w:p>
        </w:tc>
        <w:tc>
          <w:tcPr>
            <w:tcW w:w="754" w:type="dxa"/>
            <w:tcMar>
              <w:top w:w="100" w:type="dxa"/>
              <w:left w:w="100" w:type="dxa"/>
              <w:bottom w:w="100" w:type="dxa"/>
              <w:right w:w="100" w:type="dxa"/>
            </w:tcMar>
          </w:tcPr>
          <w:p w14:paraId="44D46768"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578</w:t>
            </w:r>
          </w:p>
        </w:tc>
        <w:tc>
          <w:tcPr>
            <w:tcW w:w="1089" w:type="dxa"/>
            <w:tcMar>
              <w:top w:w="100" w:type="dxa"/>
              <w:left w:w="100" w:type="dxa"/>
              <w:bottom w:w="100" w:type="dxa"/>
              <w:right w:w="100" w:type="dxa"/>
            </w:tcMar>
          </w:tcPr>
          <w:p w14:paraId="238FD03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5F33496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4D9417E9"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45662C85"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7BC6D33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578</w:t>
            </w:r>
          </w:p>
        </w:tc>
        <w:tc>
          <w:tcPr>
            <w:tcW w:w="1143" w:type="dxa"/>
            <w:tcMar>
              <w:top w:w="100" w:type="dxa"/>
              <w:left w:w="100" w:type="dxa"/>
              <w:bottom w:w="100" w:type="dxa"/>
              <w:right w:w="100" w:type="dxa"/>
            </w:tcMar>
          </w:tcPr>
          <w:p w14:paraId="15A1CA36"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0.4287</w:t>
            </w:r>
          </w:p>
        </w:tc>
      </w:tr>
      <w:tr w:rsidR="008634CB" w14:paraId="5A974A87" w14:textId="77777777" w:rsidTr="00750104">
        <w:trPr>
          <w:trHeight w:val="740"/>
        </w:trPr>
        <w:tc>
          <w:tcPr>
            <w:tcW w:w="1136" w:type="dxa"/>
            <w:tcMar>
              <w:top w:w="100" w:type="dxa"/>
              <w:left w:w="100" w:type="dxa"/>
              <w:bottom w:w="100" w:type="dxa"/>
              <w:right w:w="100" w:type="dxa"/>
            </w:tcMar>
          </w:tcPr>
          <w:p w14:paraId="2E342902"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White River Forest</w:t>
            </w:r>
          </w:p>
        </w:tc>
        <w:tc>
          <w:tcPr>
            <w:tcW w:w="892" w:type="dxa"/>
            <w:tcMar>
              <w:top w:w="100" w:type="dxa"/>
              <w:left w:w="100" w:type="dxa"/>
              <w:bottom w:w="100" w:type="dxa"/>
              <w:right w:w="100" w:type="dxa"/>
            </w:tcMar>
          </w:tcPr>
          <w:p w14:paraId="22160E91" w14:textId="163BA02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572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458</w:t>
            </w:r>
          </w:p>
        </w:tc>
        <w:tc>
          <w:tcPr>
            <w:tcW w:w="754" w:type="dxa"/>
            <w:tcMar>
              <w:top w:w="100" w:type="dxa"/>
              <w:left w:w="100" w:type="dxa"/>
              <w:bottom w:w="100" w:type="dxa"/>
              <w:right w:w="100" w:type="dxa"/>
            </w:tcMar>
          </w:tcPr>
          <w:p w14:paraId="4339862D" w14:textId="087BB89C"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834</w:t>
            </w:r>
          </w:p>
        </w:tc>
        <w:tc>
          <w:tcPr>
            <w:tcW w:w="1089" w:type="dxa"/>
            <w:tcMar>
              <w:top w:w="100" w:type="dxa"/>
              <w:left w:w="100" w:type="dxa"/>
              <w:bottom w:w="100" w:type="dxa"/>
              <w:right w:w="100" w:type="dxa"/>
            </w:tcMar>
          </w:tcPr>
          <w:p w14:paraId="10DD3A5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1214458C"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76" w:type="dxa"/>
            <w:tcMar>
              <w:top w:w="100" w:type="dxa"/>
              <w:left w:w="100" w:type="dxa"/>
              <w:bottom w:w="100" w:type="dxa"/>
              <w:right w:w="100" w:type="dxa"/>
            </w:tcMar>
          </w:tcPr>
          <w:p w14:paraId="2EBCBDD7"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709" w:type="dxa"/>
            <w:tcMar>
              <w:top w:w="100" w:type="dxa"/>
              <w:left w:w="100" w:type="dxa"/>
              <w:bottom w:w="100" w:type="dxa"/>
              <w:right w:w="100" w:type="dxa"/>
            </w:tcMar>
          </w:tcPr>
          <w:p w14:paraId="19CB9A81"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32F2FF96" w14:textId="658492CA"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834</w:t>
            </w:r>
          </w:p>
        </w:tc>
        <w:tc>
          <w:tcPr>
            <w:tcW w:w="1143" w:type="dxa"/>
            <w:tcMar>
              <w:top w:w="100" w:type="dxa"/>
              <w:left w:w="100" w:type="dxa"/>
              <w:bottom w:w="100" w:type="dxa"/>
              <w:right w:w="100" w:type="dxa"/>
            </w:tcMar>
          </w:tcPr>
          <w:p w14:paraId="2F43E43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0.3204</w:t>
            </w:r>
          </w:p>
        </w:tc>
      </w:tr>
      <w:tr w:rsidR="008634CB" w14:paraId="348BC517" w14:textId="77777777" w:rsidTr="00750104">
        <w:trPr>
          <w:trHeight w:val="1280"/>
        </w:trPr>
        <w:tc>
          <w:tcPr>
            <w:tcW w:w="1136" w:type="dxa"/>
            <w:tcMar>
              <w:top w:w="100" w:type="dxa"/>
              <w:left w:w="100" w:type="dxa"/>
              <w:bottom w:w="100" w:type="dxa"/>
              <w:right w:w="100" w:type="dxa"/>
            </w:tcMar>
          </w:tcPr>
          <w:p w14:paraId="7913057D" w14:textId="77777777" w:rsidR="008634CB" w:rsidRPr="0088333B"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Outside FMUs (eastern Ontario)</w:t>
            </w:r>
          </w:p>
        </w:tc>
        <w:tc>
          <w:tcPr>
            <w:tcW w:w="892" w:type="dxa"/>
            <w:tcMar>
              <w:top w:w="100" w:type="dxa"/>
              <w:left w:w="100" w:type="dxa"/>
              <w:bottom w:w="100" w:type="dxa"/>
              <w:right w:w="100" w:type="dxa"/>
            </w:tcMar>
          </w:tcPr>
          <w:p w14:paraId="69C6948D" w14:textId="699863DA"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638</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406</w:t>
            </w:r>
          </w:p>
        </w:tc>
        <w:tc>
          <w:tcPr>
            <w:tcW w:w="754" w:type="dxa"/>
            <w:tcMar>
              <w:top w:w="100" w:type="dxa"/>
              <w:left w:w="100" w:type="dxa"/>
              <w:bottom w:w="100" w:type="dxa"/>
              <w:right w:w="100" w:type="dxa"/>
            </w:tcMar>
          </w:tcPr>
          <w:p w14:paraId="023DE714"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089" w:type="dxa"/>
            <w:tcMar>
              <w:top w:w="100" w:type="dxa"/>
              <w:left w:w="100" w:type="dxa"/>
              <w:bottom w:w="100" w:type="dxa"/>
              <w:right w:w="100" w:type="dxa"/>
            </w:tcMar>
          </w:tcPr>
          <w:p w14:paraId="1BD6956D"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227" w:type="dxa"/>
            <w:tcMar>
              <w:top w:w="100" w:type="dxa"/>
              <w:left w:w="100" w:type="dxa"/>
              <w:bottom w:w="100" w:type="dxa"/>
              <w:right w:w="100" w:type="dxa"/>
            </w:tcMar>
          </w:tcPr>
          <w:p w14:paraId="122F420E" w14:textId="3CDA135E"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310</w:t>
            </w:r>
          </w:p>
        </w:tc>
        <w:tc>
          <w:tcPr>
            <w:tcW w:w="1276" w:type="dxa"/>
            <w:tcMar>
              <w:top w:w="100" w:type="dxa"/>
              <w:left w:w="100" w:type="dxa"/>
              <w:bottom w:w="100" w:type="dxa"/>
              <w:right w:w="100" w:type="dxa"/>
            </w:tcMar>
          </w:tcPr>
          <w:p w14:paraId="3A05DA32" w14:textId="651A4BC8"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750</w:t>
            </w:r>
          </w:p>
        </w:tc>
        <w:tc>
          <w:tcPr>
            <w:tcW w:w="709" w:type="dxa"/>
            <w:tcMar>
              <w:top w:w="100" w:type="dxa"/>
              <w:left w:w="100" w:type="dxa"/>
              <w:bottom w:w="100" w:type="dxa"/>
              <w:right w:w="100" w:type="dxa"/>
            </w:tcMar>
          </w:tcPr>
          <w:p w14:paraId="0D90721B"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w:t>
            </w:r>
          </w:p>
        </w:tc>
        <w:tc>
          <w:tcPr>
            <w:tcW w:w="1134" w:type="dxa"/>
            <w:tcMar>
              <w:top w:w="100" w:type="dxa"/>
              <w:left w:w="100" w:type="dxa"/>
              <w:bottom w:w="100" w:type="dxa"/>
              <w:right w:w="100" w:type="dxa"/>
            </w:tcMar>
          </w:tcPr>
          <w:p w14:paraId="79762349" w14:textId="2A0035BD"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54</w:t>
            </w:r>
            <w:r w:rsidR="00750104">
              <w:rPr>
                <w:rFonts w:ascii="Times New Roman" w:eastAsia="Times New Roman" w:hAnsi="Times New Roman" w:cs="Times New Roman"/>
                <w:sz w:val="20"/>
                <w:szCs w:val="20"/>
              </w:rPr>
              <w:t>,</w:t>
            </w:r>
            <w:r w:rsidRPr="0088333B">
              <w:rPr>
                <w:rFonts w:ascii="Times New Roman" w:eastAsia="Times New Roman" w:hAnsi="Times New Roman" w:cs="Times New Roman"/>
                <w:sz w:val="20"/>
                <w:szCs w:val="20"/>
              </w:rPr>
              <w:t>310</w:t>
            </w:r>
          </w:p>
        </w:tc>
        <w:tc>
          <w:tcPr>
            <w:tcW w:w="1143" w:type="dxa"/>
            <w:tcMar>
              <w:top w:w="100" w:type="dxa"/>
              <w:left w:w="100" w:type="dxa"/>
              <w:bottom w:w="100" w:type="dxa"/>
              <w:right w:w="100" w:type="dxa"/>
            </w:tcMar>
          </w:tcPr>
          <w:p w14:paraId="4434B18A" w14:textId="77777777" w:rsidR="008634CB" w:rsidRPr="0088333B" w:rsidRDefault="00000000" w:rsidP="00750104">
            <w:pPr>
              <w:widowControl w:val="0"/>
              <w:pBdr>
                <w:top w:val="nil"/>
                <w:left w:val="nil"/>
                <w:bottom w:val="nil"/>
                <w:right w:val="nil"/>
                <w:between w:val="nil"/>
              </w:pBdr>
              <w:spacing w:after="0" w:line="276" w:lineRule="auto"/>
              <w:jc w:val="right"/>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0.4297</w:t>
            </w:r>
          </w:p>
        </w:tc>
      </w:tr>
    </w:tbl>
    <w:p w14:paraId="7114C18B" w14:textId="77777777" w:rsidR="008634CB" w:rsidRDefault="008634CB">
      <w:pPr>
        <w:rPr>
          <w:rFonts w:ascii="Times New Roman" w:eastAsia="Times New Roman" w:hAnsi="Times New Roman" w:cs="Times New Roman"/>
          <w:sz w:val="24"/>
          <w:szCs w:val="24"/>
        </w:rPr>
      </w:pPr>
    </w:p>
    <w:p w14:paraId="4451E88F" w14:textId="77777777" w:rsidR="008634CB" w:rsidRDefault="008634CB">
      <w:pPr>
        <w:rPr>
          <w:rFonts w:ascii="Times New Roman" w:eastAsia="Times New Roman" w:hAnsi="Times New Roman" w:cs="Times New Roman"/>
          <w:sz w:val="24"/>
          <w:szCs w:val="24"/>
        </w:rPr>
      </w:pPr>
    </w:p>
    <w:p w14:paraId="1553818E" w14:textId="77777777" w:rsidR="008634CB"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S3.3. Mean + 90 % confidence interval for population projections (2070 or 2100) for Canada Warbler and Wood Thrush from different land use simulators, scenarios (harvest, climate), and management units in Canada.</w:t>
      </w:r>
    </w:p>
    <w:p w14:paraId="3F9DE2A0" w14:textId="77777777" w:rsidR="008634CB" w:rsidRDefault="008634CB">
      <w:pPr>
        <w:rPr>
          <w:rFonts w:ascii="Times New Roman" w:eastAsia="Times New Roman" w:hAnsi="Times New Roman" w:cs="Times New Roman"/>
          <w:sz w:val="24"/>
          <w:szCs w:val="24"/>
        </w:rPr>
      </w:pPr>
    </w:p>
    <w:tbl>
      <w:tblPr>
        <w:tblStyle w:val="af0"/>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70"/>
        <w:gridCol w:w="1980"/>
        <w:gridCol w:w="1500"/>
        <w:gridCol w:w="1530"/>
        <w:gridCol w:w="1320"/>
        <w:gridCol w:w="1665"/>
      </w:tblGrid>
      <w:tr w:rsidR="008634CB" w14:paraId="37321507" w14:textId="77777777" w:rsidTr="00750104">
        <w:trPr>
          <w:trHeight w:val="740"/>
        </w:trPr>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0BFD4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Species</w:t>
            </w:r>
          </w:p>
        </w:tc>
        <w:tc>
          <w:tcPr>
            <w:tcW w:w="1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FF540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Management Unit</w:t>
            </w:r>
          </w:p>
        </w:tc>
        <w:tc>
          <w:tcPr>
            <w:tcW w:w="15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7208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B6C2C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Climate</w:t>
            </w:r>
          </w:p>
        </w:tc>
        <w:tc>
          <w:tcPr>
            <w:tcW w:w="132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5B959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End Date</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7F79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Projected Population</w:t>
            </w:r>
          </w:p>
        </w:tc>
      </w:tr>
      <w:tr w:rsidR="008634CB" w14:paraId="624F10E4" w14:textId="77777777" w:rsidTr="00750104">
        <w:trPr>
          <w:trHeight w:val="1010"/>
        </w:trPr>
        <w:tc>
          <w:tcPr>
            <w:tcW w:w="1470" w:type="dxa"/>
            <w:tcBorders>
              <w:top w:val="single" w:sz="4" w:space="0" w:color="000000"/>
              <w:left w:val="single" w:sz="4" w:space="0" w:color="000000"/>
              <w:bottom w:val="nil"/>
              <w:right w:val="single" w:sz="4" w:space="0" w:color="auto"/>
            </w:tcBorders>
            <w:tcMar>
              <w:top w:w="100" w:type="dxa"/>
              <w:left w:w="100" w:type="dxa"/>
              <w:bottom w:w="100" w:type="dxa"/>
              <w:right w:w="100" w:type="dxa"/>
            </w:tcMar>
          </w:tcPr>
          <w:p w14:paraId="175D77C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Canada Warbler</w:t>
            </w:r>
          </w:p>
        </w:tc>
        <w:tc>
          <w:tcPr>
            <w:tcW w:w="1980" w:type="dxa"/>
            <w:tcBorders>
              <w:left w:val="single" w:sz="4" w:space="0" w:color="auto"/>
              <w:bottom w:val="nil"/>
            </w:tcBorders>
            <w:tcMar>
              <w:top w:w="100" w:type="dxa"/>
              <w:left w:w="100" w:type="dxa"/>
              <w:bottom w:w="100" w:type="dxa"/>
              <w:right w:w="100" w:type="dxa"/>
            </w:tcMar>
          </w:tcPr>
          <w:p w14:paraId="77C9A72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Al-Pac FMA, Alberta</w:t>
            </w:r>
          </w:p>
        </w:tc>
        <w:tc>
          <w:tcPr>
            <w:tcW w:w="1500" w:type="dxa"/>
            <w:tcMar>
              <w:top w:w="100" w:type="dxa"/>
              <w:left w:w="100" w:type="dxa"/>
              <w:bottom w:w="100" w:type="dxa"/>
              <w:right w:w="100" w:type="dxa"/>
            </w:tcMar>
          </w:tcPr>
          <w:p w14:paraId="0E1F299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5C8A466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3FBC26D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02A501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14,801 (14,768 — 14,835)</w:t>
            </w:r>
          </w:p>
        </w:tc>
      </w:tr>
      <w:tr w:rsidR="008634CB" w14:paraId="59A89FFD"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0E47DDD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76152603"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24603CC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3 % Cut</w:t>
            </w:r>
          </w:p>
        </w:tc>
        <w:tc>
          <w:tcPr>
            <w:tcW w:w="1530" w:type="dxa"/>
            <w:tcMar>
              <w:top w:w="100" w:type="dxa"/>
              <w:left w:w="100" w:type="dxa"/>
              <w:bottom w:w="100" w:type="dxa"/>
              <w:right w:w="100" w:type="dxa"/>
            </w:tcMar>
          </w:tcPr>
          <w:p w14:paraId="1B0933C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4B133E3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C45B7C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13,510 (13,485 — 13,535)</w:t>
            </w:r>
          </w:p>
        </w:tc>
      </w:tr>
      <w:tr w:rsidR="008634CB" w14:paraId="0D936E2A"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350EA46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0DC6923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5E3E65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6 % Cut</w:t>
            </w:r>
          </w:p>
        </w:tc>
        <w:tc>
          <w:tcPr>
            <w:tcW w:w="1530" w:type="dxa"/>
            <w:tcMar>
              <w:top w:w="100" w:type="dxa"/>
              <w:left w:w="100" w:type="dxa"/>
              <w:bottom w:w="100" w:type="dxa"/>
              <w:right w:w="100" w:type="dxa"/>
            </w:tcMar>
          </w:tcPr>
          <w:p w14:paraId="6307EDA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4234B79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B7333B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12,548 (12,528 — 12,567)</w:t>
            </w:r>
          </w:p>
        </w:tc>
      </w:tr>
      <w:tr w:rsidR="008634CB" w14:paraId="79BD36F1"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6BF5F8C7"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5655DAF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36BED69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523ACE3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35062E1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923B40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13,766 (13,734 — 13,798)</w:t>
            </w:r>
          </w:p>
        </w:tc>
      </w:tr>
      <w:tr w:rsidR="008634CB" w14:paraId="116684F4"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6AF1BEA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572CC7E4"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BFD55F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3 % Cut</w:t>
            </w:r>
          </w:p>
        </w:tc>
        <w:tc>
          <w:tcPr>
            <w:tcW w:w="1530" w:type="dxa"/>
            <w:tcMar>
              <w:top w:w="100" w:type="dxa"/>
              <w:left w:w="100" w:type="dxa"/>
              <w:bottom w:w="100" w:type="dxa"/>
              <w:right w:w="100" w:type="dxa"/>
            </w:tcMar>
          </w:tcPr>
          <w:p w14:paraId="70D799E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1A39181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1B5E72C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11,628 (11,578 — 11,679)</w:t>
            </w:r>
          </w:p>
        </w:tc>
      </w:tr>
      <w:tr w:rsidR="008634CB" w14:paraId="72B48576"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250748C1"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237ECBDD"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25F962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6 % Cut</w:t>
            </w:r>
          </w:p>
        </w:tc>
        <w:tc>
          <w:tcPr>
            <w:tcW w:w="1530" w:type="dxa"/>
            <w:tcMar>
              <w:top w:w="100" w:type="dxa"/>
              <w:left w:w="100" w:type="dxa"/>
              <w:bottom w:w="100" w:type="dxa"/>
              <w:right w:w="100" w:type="dxa"/>
            </w:tcMar>
          </w:tcPr>
          <w:p w14:paraId="3810513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6507F51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D52F60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10,497 (10,483 — 10,512)</w:t>
            </w:r>
          </w:p>
        </w:tc>
      </w:tr>
      <w:tr w:rsidR="008634CB" w14:paraId="415EEA84"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1270FEE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13EE865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40A526A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1AC7B29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7A1B75B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A7EE68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12,938 (12,899 — 12,978)</w:t>
            </w:r>
          </w:p>
        </w:tc>
      </w:tr>
      <w:tr w:rsidR="008634CB" w14:paraId="6321E1CD" w14:textId="77777777" w:rsidTr="00750104">
        <w:trPr>
          <w:trHeight w:val="1010"/>
        </w:trPr>
        <w:tc>
          <w:tcPr>
            <w:tcW w:w="1470" w:type="dxa"/>
            <w:tcBorders>
              <w:top w:val="nil"/>
              <w:left w:val="single" w:sz="4" w:space="0" w:color="000000"/>
              <w:bottom w:val="nil"/>
              <w:right w:val="single" w:sz="4" w:space="0" w:color="auto"/>
            </w:tcBorders>
            <w:tcMar>
              <w:top w:w="100" w:type="dxa"/>
              <w:left w:w="100" w:type="dxa"/>
              <w:bottom w:w="100" w:type="dxa"/>
              <w:right w:w="100" w:type="dxa"/>
            </w:tcMar>
          </w:tcPr>
          <w:p w14:paraId="71578E23"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nil"/>
            </w:tcBorders>
            <w:tcMar>
              <w:top w:w="100" w:type="dxa"/>
              <w:left w:w="100" w:type="dxa"/>
              <w:bottom w:w="100" w:type="dxa"/>
              <w:right w:w="100" w:type="dxa"/>
            </w:tcMar>
          </w:tcPr>
          <w:p w14:paraId="46F4B9CB"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35887BE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3 % Cut</w:t>
            </w:r>
          </w:p>
        </w:tc>
        <w:tc>
          <w:tcPr>
            <w:tcW w:w="1530" w:type="dxa"/>
            <w:tcMar>
              <w:top w:w="100" w:type="dxa"/>
              <w:left w:w="100" w:type="dxa"/>
              <w:bottom w:w="100" w:type="dxa"/>
              <w:right w:w="100" w:type="dxa"/>
            </w:tcMar>
          </w:tcPr>
          <w:p w14:paraId="50075BD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455AFCA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E9C742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12,334 (12,307 — 12,361)</w:t>
            </w:r>
          </w:p>
        </w:tc>
      </w:tr>
      <w:tr w:rsidR="008634CB" w14:paraId="4BCAEEA2" w14:textId="77777777" w:rsidTr="008E0F7D">
        <w:trPr>
          <w:trHeight w:val="1010"/>
        </w:trPr>
        <w:tc>
          <w:tcPr>
            <w:tcW w:w="1470" w:type="dxa"/>
            <w:tcBorders>
              <w:top w:val="nil"/>
              <w:left w:val="single" w:sz="4" w:space="0" w:color="000000"/>
              <w:bottom w:val="single" w:sz="4" w:space="0" w:color="000000"/>
              <w:right w:val="single" w:sz="4" w:space="0" w:color="auto"/>
            </w:tcBorders>
            <w:tcMar>
              <w:top w:w="100" w:type="dxa"/>
              <w:left w:w="100" w:type="dxa"/>
              <w:bottom w:w="100" w:type="dxa"/>
              <w:right w:w="100" w:type="dxa"/>
            </w:tcMar>
          </w:tcPr>
          <w:p w14:paraId="25E04E31"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left w:val="single" w:sz="4" w:space="0" w:color="auto"/>
              <w:bottom w:val="single" w:sz="4" w:space="0" w:color="000000"/>
            </w:tcBorders>
            <w:tcMar>
              <w:top w:w="100" w:type="dxa"/>
              <w:left w:w="100" w:type="dxa"/>
              <w:bottom w:w="100" w:type="dxa"/>
              <w:right w:w="100" w:type="dxa"/>
            </w:tcMar>
          </w:tcPr>
          <w:p w14:paraId="292463AD"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410AE5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6 % Cut</w:t>
            </w:r>
          </w:p>
        </w:tc>
        <w:tc>
          <w:tcPr>
            <w:tcW w:w="1530" w:type="dxa"/>
            <w:tcMar>
              <w:top w:w="100" w:type="dxa"/>
              <w:left w:w="100" w:type="dxa"/>
              <w:bottom w:w="100" w:type="dxa"/>
              <w:right w:w="100" w:type="dxa"/>
            </w:tcMar>
          </w:tcPr>
          <w:p w14:paraId="3EFC951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7AF1A08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2A9165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12,099 (12,071 — 12,126)</w:t>
            </w:r>
          </w:p>
        </w:tc>
      </w:tr>
      <w:tr w:rsidR="008634CB" w14:paraId="42EDBC4C" w14:textId="77777777" w:rsidTr="008E0F7D">
        <w:trPr>
          <w:trHeight w:val="1010"/>
        </w:trPr>
        <w:tc>
          <w:tcPr>
            <w:tcW w:w="1470"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43318D5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Canada Warbler</w:t>
            </w:r>
          </w:p>
        </w:tc>
        <w:tc>
          <w:tcPr>
            <w:tcW w:w="1980" w:type="dxa"/>
            <w:tcBorders>
              <w:bottom w:val="nil"/>
            </w:tcBorders>
            <w:tcMar>
              <w:top w:w="100" w:type="dxa"/>
              <w:left w:w="100" w:type="dxa"/>
              <w:bottom w:w="100" w:type="dxa"/>
              <w:right w:w="100" w:type="dxa"/>
            </w:tcMar>
          </w:tcPr>
          <w:p w14:paraId="5F07862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northern Nova Scotia</w:t>
            </w:r>
          </w:p>
        </w:tc>
        <w:tc>
          <w:tcPr>
            <w:tcW w:w="1500" w:type="dxa"/>
            <w:tcMar>
              <w:top w:w="100" w:type="dxa"/>
              <w:left w:w="100" w:type="dxa"/>
              <w:bottom w:w="100" w:type="dxa"/>
              <w:right w:w="100" w:type="dxa"/>
            </w:tcMar>
          </w:tcPr>
          <w:p w14:paraId="3EB1D68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477F4BB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7988631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04DC79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61,434 (61,199 — 61,669)</w:t>
            </w:r>
          </w:p>
        </w:tc>
      </w:tr>
      <w:tr w:rsidR="008634CB" w14:paraId="2357F36A"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355D996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62D3254A"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94A610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Partial Cut</w:t>
            </w:r>
          </w:p>
        </w:tc>
        <w:tc>
          <w:tcPr>
            <w:tcW w:w="1530" w:type="dxa"/>
            <w:tcMar>
              <w:top w:w="100" w:type="dxa"/>
              <w:left w:w="100" w:type="dxa"/>
              <w:bottom w:w="100" w:type="dxa"/>
              <w:right w:w="100" w:type="dxa"/>
            </w:tcMar>
          </w:tcPr>
          <w:p w14:paraId="1579E90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00EE231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AC5DA6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62,084 (61,748 — 62,421)</w:t>
            </w:r>
          </w:p>
        </w:tc>
      </w:tr>
      <w:tr w:rsidR="008634CB" w14:paraId="33DB00CC"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021FA9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3296EE23"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33A7D8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Partial Cut</w:t>
            </w:r>
          </w:p>
        </w:tc>
        <w:tc>
          <w:tcPr>
            <w:tcW w:w="1530" w:type="dxa"/>
            <w:tcMar>
              <w:top w:w="100" w:type="dxa"/>
              <w:left w:w="100" w:type="dxa"/>
              <w:bottom w:w="100" w:type="dxa"/>
              <w:right w:w="100" w:type="dxa"/>
            </w:tcMar>
          </w:tcPr>
          <w:p w14:paraId="55EF3B0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55B7525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4DF415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62,318 (62,170 — 62,466)</w:t>
            </w:r>
          </w:p>
        </w:tc>
      </w:tr>
      <w:tr w:rsidR="008634CB" w14:paraId="54A5ACC5"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73BA698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1701F1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565795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Clearcut</w:t>
            </w:r>
          </w:p>
        </w:tc>
        <w:tc>
          <w:tcPr>
            <w:tcW w:w="1530" w:type="dxa"/>
            <w:tcMar>
              <w:top w:w="100" w:type="dxa"/>
              <w:left w:w="100" w:type="dxa"/>
              <w:bottom w:w="100" w:type="dxa"/>
              <w:right w:w="100" w:type="dxa"/>
            </w:tcMar>
          </w:tcPr>
          <w:p w14:paraId="30EBE89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65471D0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4329C5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64,147 (64,038 — 64,256)</w:t>
            </w:r>
          </w:p>
        </w:tc>
      </w:tr>
      <w:tr w:rsidR="008634CB" w14:paraId="2036C9D4"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72E1EDAF"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606856E5"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DDA870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6379F5D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58D9606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654D9D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66,248 (65,918 — 66,578)</w:t>
            </w:r>
          </w:p>
        </w:tc>
      </w:tr>
      <w:tr w:rsidR="008634CB" w14:paraId="37AAFFEF"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70E99BF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4D1207CF"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47C2746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09F7817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772E45A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53259C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61,390 (61,081 — 61,700)</w:t>
            </w:r>
          </w:p>
        </w:tc>
      </w:tr>
      <w:tr w:rsidR="008634CB" w14:paraId="0255F46E"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3629491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68E5EC51"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7A7CE0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5B97738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5C38CAF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9CFC21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45,978 (45,891 — 46,065)</w:t>
            </w:r>
          </w:p>
        </w:tc>
      </w:tr>
      <w:tr w:rsidR="008634CB" w14:paraId="79CCE957"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368ECE0B"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1F834AAD"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0AD48EB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Partial Cut</w:t>
            </w:r>
          </w:p>
        </w:tc>
        <w:tc>
          <w:tcPr>
            <w:tcW w:w="1530" w:type="dxa"/>
            <w:tcMar>
              <w:top w:w="100" w:type="dxa"/>
              <w:left w:w="100" w:type="dxa"/>
              <w:bottom w:w="100" w:type="dxa"/>
              <w:right w:w="100" w:type="dxa"/>
            </w:tcMar>
          </w:tcPr>
          <w:p w14:paraId="1772C67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2935670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0BD50A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45,881 (45,678 — 46,083)</w:t>
            </w:r>
          </w:p>
        </w:tc>
      </w:tr>
      <w:tr w:rsidR="008634CB" w14:paraId="6E27CE31"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4520AF6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11F61774"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28EE7B7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Partial Cut</w:t>
            </w:r>
          </w:p>
        </w:tc>
        <w:tc>
          <w:tcPr>
            <w:tcW w:w="1530" w:type="dxa"/>
            <w:tcMar>
              <w:top w:w="100" w:type="dxa"/>
              <w:left w:w="100" w:type="dxa"/>
              <w:bottom w:w="100" w:type="dxa"/>
              <w:right w:w="100" w:type="dxa"/>
            </w:tcMar>
          </w:tcPr>
          <w:p w14:paraId="6003FC5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13F3991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3444C1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45,189 (44,905 — 45,472)</w:t>
            </w:r>
          </w:p>
        </w:tc>
      </w:tr>
      <w:tr w:rsidR="008634CB" w14:paraId="5186E982"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81E24B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07735514"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E93968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Clearcut</w:t>
            </w:r>
          </w:p>
        </w:tc>
        <w:tc>
          <w:tcPr>
            <w:tcW w:w="1530" w:type="dxa"/>
            <w:tcMar>
              <w:top w:w="100" w:type="dxa"/>
              <w:left w:w="100" w:type="dxa"/>
              <w:bottom w:w="100" w:type="dxa"/>
              <w:right w:w="100" w:type="dxa"/>
            </w:tcMar>
          </w:tcPr>
          <w:p w14:paraId="2F020CE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7CB6211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22005A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47,439 (47,222 — 47,656)</w:t>
            </w:r>
          </w:p>
        </w:tc>
      </w:tr>
      <w:tr w:rsidR="008634CB" w14:paraId="44BF2EE6"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3FB8FF7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372D268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A2C395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6DA0F48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52D1E02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5890C41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48,365 (48,108 — 48,622)</w:t>
            </w:r>
          </w:p>
        </w:tc>
      </w:tr>
      <w:tr w:rsidR="008634CB" w14:paraId="13118A25"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7576FC27"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70B452C2"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0D7E09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04CF4A3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1F5FA9A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3FD2F6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45,936 (45,799 — 46,073)</w:t>
            </w:r>
          </w:p>
        </w:tc>
      </w:tr>
      <w:tr w:rsidR="008634CB" w14:paraId="7F777FF2"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22ED789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0B38402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0802D9D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706BB84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6F88D42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6F3FD91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40,860 (40,700 — 41,020)</w:t>
            </w:r>
          </w:p>
        </w:tc>
      </w:tr>
      <w:tr w:rsidR="008634CB" w14:paraId="43BEB50D"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2674633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A0F425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67206F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Partial Cut</w:t>
            </w:r>
          </w:p>
        </w:tc>
        <w:tc>
          <w:tcPr>
            <w:tcW w:w="1530" w:type="dxa"/>
            <w:tcMar>
              <w:top w:w="100" w:type="dxa"/>
              <w:left w:w="100" w:type="dxa"/>
              <w:bottom w:w="100" w:type="dxa"/>
              <w:right w:w="100" w:type="dxa"/>
            </w:tcMar>
          </w:tcPr>
          <w:p w14:paraId="2F82CE8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483A213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7918B40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40,631 (40,242 — 41,021)</w:t>
            </w:r>
          </w:p>
        </w:tc>
      </w:tr>
      <w:tr w:rsidR="008634CB" w14:paraId="6CB5D7A5"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634852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27E5AD7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313CAF2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High Partial Cut</w:t>
            </w:r>
          </w:p>
        </w:tc>
        <w:tc>
          <w:tcPr>
            <w:tcW w:w="1530" w:type="dxa"/>
            <w:tcMar>
              <w:top w:w="100" w:type="dxa"/>
              <w:left w:w="100" w:type="dxa"/>
              <w:bottom w:w="100" w:type="dxa"/>
              <w:right w:w="100" w:type="dxa"/>
            </w:tcMar>
          </w:tcPr>
          <w:p w14:paraId="001968B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69D297E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F1B7DC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39,851 (39,713 — 39,989)</w:t>
            </w:r>
          </w:p>
        </w:tc>
      </w:tr>
      <w:tr w:rsidR="008634CB" w14:paraId="65127962"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171EBB4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11040AE2"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322436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Low Clearcut</w:t>
            </w:r>
          </w:p>
        </w:tc>
        <w:tc>
          <w:tcPr>
            <w:tcW w:w="1530" w:type="dxa"/>
            <w:tcMar>
              <w:top w:w="100" w:type="dxa"/>
              <w:left w:w="100" w:type="dxa"/>
              <w:bottom w:w="100" w:type="dxa"/>
              <w:right w:w="100" w:type="dxa"/>
            </w:tcMar>
          </w:tcPr>
          <w:p w14:paraId="34800B2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2F38970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905F84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39,874 (39,695 — 40,052)</w:t>
            </w:r>
          </w:p>
        </w:tc>
      </w:tr>
      <w:tr w:rsidR="008634CB" w14:paraId="198DC9B0"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10C78A4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210B24A"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5949B5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11177BD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4CF6EC4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7D24AD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38,841 (38,694 — 38,988)</w:t>
            </w:r>
          </w:p>
        </w:tc>
      </w:tr>
      <w:tr w:rsidR="008634CB" w14:paraId="27410D47" w14:textId="77777777" w:rsidTr="008E0F7D">
        <w:trPr>
          <w:trHeight w:val="1010"/>
        </w:trPr>
        <w:tc>
          <w:tcPr>
            <w:tcW w:w="147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7F258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single" w:sz="4" w:space="0" w:color="000000"/>
            </w:tcBorders>
            <w:tcMar>
              <w:top w:w="100" w:type="dxa"/>
              <w:left w:w="100" w:type="dxa"/>
              <w:bottom w:w="100" w:type="dxa"/>
              <w:right w:w="100" w:type="dxa"/>
            </w:tcMar>
          </w:tcPr>
          <w:p w14:paraId="7BCF758B"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60DD5D0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2747391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7266669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5D79DDD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38,071 (37,835 — 38,307)</w:t>
            </w:r>
          </w:p>
        </w:tc>
      </w:tr>
      <w:tr w:rsidR="008634CB" w14:paraId="7F03F63D" w14:textId="77777777" w:rsidTr="008E0F7D">
        <w:trPr>
          <w:trHeight w:val="1010"/>
        </w:trPr>
        <w:tc>
          <w:tcPr>
            <w:tcW w:w="1470"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05A713C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Wood Thrush</w:t>
            </w:r>
          </w:p>
        </w:tc>
        <w:tc>
          <w:tcPr>
            <w:tcW w:w="1980" w:type="dxa"/>
            <w:tcBorders>
              <w:bottom w:val="nil"/>
            </w:tcBorders>
            <w:tcMar>
              <w:top w:w="100" w:type="dxa"/>
              <w:left w:w="100" w:type="dxa"/>
              <w:bottom w:w="100" w:type="dxa"/>
              <w:right w:w="100" w:type="dxa"/>
            </w:tcMar>
          </w:tcPr>
          <w:p w14:paraId="75AF12A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Quebec</w:t>
            </w:r>
          </w:p>
        </w:tc>
        <w:tc>
          <w:tcPr>
            <w:tcW w:w="1500" w:type="dxa"/>
            <w:tcMar>
              <w:top w:w="100" w:type="dxa"/>
              <w:left w:w="100" w:type="dxa"/>
              <w:bottom w:w="100" w:type="dxa"/>
              <w:right w:w="100" w:type="dxa"/>
            </w:tcMar>
          </w:tcPr>
          <w:p w14:paraId="586BB4E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37082E7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4FEBE45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7A4F97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1,281,868 (0 — 2,583,360)</w:t>
            </w:r>
          </w:p>
        </w:tc>
      </w:tr>
      <w:tr w:rsidR="008634CB" w14:paraId="585AB764"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560A8D73"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6DE16864"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B6EA89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5F46377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23CABA4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3582A4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1,264,308 (17,376 — 2,511,239)</w:t>
            </w:r>
          </w:p>
        </w:tc>
      </w:tr>
      <w:tr w:rsidR="008634CB" w14:paraId="23613690"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2B3A49C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762C1D1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565137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61A8658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144B560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92FA1D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1,251,238 (0 — 2,579,269)</w:t>
            </w:r>
          </w:p>
        </w:tc>
      </w:tr>
      <w:tr w:rsidR="008634CB" w14:paraId="2FF2A23E"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6376EA48"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6406C04B"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20BEBE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4E6654B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46CCA8C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472B76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1,202,985 (0 — 2,434,657)</w:t>
            </w:r>
          </w:p>
        </w:tc>
      </w:tr>
      <w:tr w:rsidR="008634CB" w14:paraId="36E4639F" w14:textId="77777777" w:rsidTr="008E0F7D">
        <w:trPr>
          <w:trHeight w:val="101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A46E45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CB39455"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04E64D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0A7F250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4ABD76A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617DEC7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1,196,494 (50,054 — 2,342,934)</w:t>
            </w:r>
          </w:p>
        </w:tc>
      </w:tr>
      <w:tr w:rsidR="008634CB" w14:paraId="1EB517B7" w14:textId="77777777" w:rsidTr="008E0F7D">
        <w:trPr>
          <w:trHeight w:val="1010"/>
        </w:trPr>
        <w:tc>
          <w:tcPr>
            <w:tcW w:w="147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2CEA9EB"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single" w:sz="4" w:space="0" w:color="000000"/>
            </w:tcBorders>
            <w:tcMar>
              <w:top w:w="100" w:type="dxa"/>
              <w:left w:w="100" w:type="dxa"/>
              <w:bottom w:w="100" w:type="dxa"/>
              <w:right w:w="100" w:type="dxa"/>
            </w:tcMar>
          </w:tcPr>
          <w:p w14:paraId="7D59906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7006DA1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51E9E0F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1467AB7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682997E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1,170,333 (0 — 2,431,534)</w:t>
            </w:r>
          </w:p>
        </w:tc>
      </w:tr>
      <w:tr w:rsidR="008634CB" w14:paraId="3A198DEA" w14:textId="77777777" w:rsidTr="008E0F7D">
        <w:trPr>
          <w:trHeight w:val="740"/>
        </w:trPr>
        <w:tc>
          <w:tcPr>
            <w:tcW w:w="1470"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245B940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Wood Thrush</w:t>
            </w:r>
          </w:p>
        </w:tc>
        <w:tc>
          <w:tcPr>
            <w:tcW w:w="1980" w:type="dxa"/>
            <w:tcBorders>
              <w:bottom w:val="nil"/>
            </w:tcBorders>
            <w:tcMar>
              <w:top w:w="100" w:type="dxa"/>
              <w:left w:w="100" w:type="dxa"/>
              <w:bottom w:w="100" w:type="dxa"/>
              <w:right w:w="100" w:type="dxa"/>
            </w:tcMar>
          </w:tcPr>
          <w:p w14:paraId="684BCF5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New Brunswick</w:t>
            </w:r>
          </w:p>
        </w:tc>
        <w:tc>
          <w:tcPr>
            <w:tcW w:w="1500" w:type="dxa"/>
            <w:tcMar>
              <w:top w:w="100" w:type="dxa"/>
              <w:left w:w="100" w:type="dxa"/>
              <w:bottom w:w="100" w:type="dxa"/>
              <w:right w:w="100" w:type="dxa"/>
            </w:tcMar>
          </w:tcPr>
          <w:p w14:paraId="3F5E899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28D1FE5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1B16185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9B0437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458,950 (456,103 — 461,797)</w:t>
            </w:r>
          </w:p>
        </w:tc>
      </w:tr>
      <w:tr w:rsidR="008634CB" w14:paraId="507CCF91" w14:textId="77777777" w:rsidTr="008E0F7D">
        <w:trPr>
          <w:trHeight w:val="485"/>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16627BF"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470F86C7"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39B2699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0C88CCD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77276D4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E97614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325,133 (320,508 — 329,757)</w:t>
            </w:r>
          </w:p>
        </w:tc>
      </w:tr>
      <w:tr w:rsidR="008634CB" w14:paraId="17FF0E90" w14:textId="77777777" w:rsidTr="008E0F7D">
        <w:trPr>
          <w:trHeight w:val="485"/>
        </w:trPr>
        <w:tc>
          <w:tcPr>
            <w:tcW w:w="147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F33CC89"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single" w:sz="4" w:space="0" w:color="000000"/>
            </w:tcBorders>
            <w:tcMar>
              <w:top w:w="100" w:type="dxa"/>
              <w:left w:w="100" w:type="dxa"/>
              <w:bottom w:w="100" w:type="dxa"/>
              <w:right w:w="100" w:type="dxa"/>
            </w:tcMar>
          </w:tcPr>
          <w:p w14:paraId="613A7BF5"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BB25E3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Harvest</w:t>
            </w:r>
          </w:p>
        </w:tc>
        <w:tc>
          <w:tcPr>
            <w:tcW w:w="1530" w:type="dxa"/>
            <w:tcMar>
              <w:top w:w="100" w:type="dxa"/>
              <w:left w:w="100" w:type="dxa"/>
              <w:bottom w:w="100" w:type="dxa"/>
              <w:right w:w="100" w:type="dxa"/>
            </w:tcMar>
          </w:tcPr>
          <w:p w14:paraId="24D43EC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7D78AB2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194C1CF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260,676 (256,874 — 264,478)</w:t>
            </w:r>
          </w:p>
        </w:tc>
      </w:tr>
      <w:tr w:rsidR="008634CB" w14:paraId="40C427FD" w14:textId="77777777" w:rsidTr="008E0F7D">
        <w:trPr>
          <w:trHeight w:val="740"/>
        </w:trPr>
        <w:tc>
          <w:tcPr>
            <w:tcW w:w="1470" w:type="dxa"/>
            <w:tcBorders>
              <w:top w:val="single" w:sz="4" w:space="0" w:color="000000"/>
              <w:left w:val="single" w:sz="4" w:space="0" w:color="000000"/>
              <w:bottom w:val="nil"/>
              <w:right w:val="single" w:sz="4" w:space="0" w:color="000000"/>
            </w:tcBorders>
            <w:tcMar>
              <w:top w:w="100" w:type="dxa"/>
              <w:left w:w="100" w:type="dxa"/>
              <w:bottom w:w="100" w:type="dxa"/>
              <w:right w:w="100" w:type="dxa"/>
            </w:tcMar>
          </w:tcPr>
          <w:p w14:paraId="2EDE68F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Wood Thrush</w:t>
            </w:r>
          </w:p>
        </w:tc>
        <w:tc>
          <w:tcPr>
            <w:tcW w:w="1980" w:type="dxa"/>
            <w:tcBorders>
              <w:bottom w:val="nil"/>
            </w:tcBorders>
            <w:tcMar>
              <w:top w:w="100" w:type="dxa"/>
              <w:left w:w="100" w:type="dxa"/>
              <w:bottom w:w="100" w:type="dxa"/>
              <w:right w:w="100" w:type="dxa"/>
            </w:tcMar>
          </w:tcPr>
          <w:p w14:paraId="256D2CC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Nova Scotia</w:t>
            </w:r>
          </w:p>
        </w:tc>
        <w:tc>
          <w:tcPr>
            <w:tcW w:w="1500" w:type="dxa"/>
            <w:tcMar>
              <w:top w:w="100" w:type="dxa"/>
              <w:left w:w="100" w:type="dxa"/>
              <w:bottom w:w="100" w:type="dxa"/>
              <w:right w:w="100" w:type="dxa"/>
            </w:tcMar>
          </w:tcPr>
          <w:p w14:paraId="685BF42F"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2AB38EC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4578809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AEA121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268,721 (265,889 — 271,553)</w:t>
            </w:r>
          </w:p>
        </w:tc>
      </w:tr>
      <w:tr w:rsidR="008634CB" w14:paraId="4DD1AF4B" w14:textId="77777777" w:rsidTr="008E0F7D">
        <w:trPr>
          <w:trHeight w:val="74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403EDA85"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4651F057"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07E132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0FB14E9B"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202153D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39996C0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244,551 (243,221 — 245,881)</w:t>
            </w:r>
          </w:p>
        </w:tc>
      </w:tr>
      <w:tr w:rsidR="008634CB" w14:paraId="12F7DA7E" w14:textId="77777777" w:rsidTr="008E0F7D">
        <w:trPr>
          <w:trHeight w:val="74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03EA1EC"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7DD68DC2"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2B09401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1CEBA65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1758389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2E80819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231,126 (229,934 — 232,318)</w:t>
            </w:r>
          </w:p>
        </w:tc>
      </w:tr>
      <w:tr w:rsidR="008634CB" w14:paraId="730D9280" w14:textId="77777777" w:rsidTr="008E0F7D">
        <w:trPr>
          <w:trHeight w:val="74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4985D17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2DC0A256"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52207F4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43BEBB6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07292423"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505BF68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219,570 (218,112 — 221,027)</w:t>
            </w:r>
          </w:p>
        </w:tc>
      </w:tr>
      <w:tr w:rsidR="008634CB" w14:paraId="0DC661EE" w14:textId="77777777" w:rsidTr="008E0F7D">
        <w:trPr>
          <w:trHeight w:val="74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6ABA2332"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01E5282F"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4F433F9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Historic Clearcut</w:t>
            </w:r>
          </w:p>
        </w:tc>
        <w:tc>
          <w:tcPr>
            <w:tcW w:w="1530" w:type="dxa"/>
            <w:tcMar>
              <w:top w:w="100" w:type="dxa"/>
              <w:left w:w="100" w:type="dxa"/>
              <w:bottom w:w="100" w:type="dxa"/>
              <w:right w:w="100" w:type="dxa"/>
            </w:tcMar>
          </w:tcPr>
          <w:p w14:paraId="61EB0CE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115BA9C1"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048C19C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205,326 (204,544 — 206,108)</w:t>
            </w:r>
          </w:p>
        </w:tc>
      </w:tr>
      <w:tr w:rsidR="008634CB" w14:paraId="3E2A182D" w14:textId="77777777" w:rsidTr="008E0F7D">
        <w:trPr>
          <w:trHeight w:val="485"/>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0EA7B17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250F3EE"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06AAE46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65090F5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279D96B4"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63AB500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204,783 (202,958 — 206,607)</w:t>
            </w:r>
          </w:p>
        </w:tc>
      </w:tr>
      <w:tr w:rsidR="008634CB" w14:paraId="060745C5" w14:textId="77777777" w:rsidTr="008E0F7D">
        <w:trPr>
          <w:trHeight w:val="485"/>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6FEE44F2"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22D7E683"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4FB2E6F6"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1D534E2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8.5</w:t>
            </w:r>
          </w:p>
        </w:tc>
        <w:tc>
          <w:tcPr>
            <w:tcW w:w="1320" w:type="dxa"/>
            <w:tcMar>
              <w:top w:w="100" w:type="dxa"/>
              <w:left w:w="100" w:type="dxa"/>
              <w:bottom w:w="100" w:type="dxa"/>
              <w:right w:w="100" w:type="dxa"/>
            </w:tcMar>
          </w:tcPr>
          <w:p w14:paraId="1FE8E48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4943D7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204,357 (202,846 — 205,868)</w:t>
            </w:r>
          </w:p>
        </w:tc>
      </w:tr>
      <w:tr w:rsidR="008634CB" w14:paraId="21D81C20" w14:textId="77777777" w:rsidTr="008E0F7D">
        <w:trPr>
          <w:trHeight w:val="740"/>
        </w:trPr>
        <w:tc>
          <w:tcPr>
            <w:tcW w:w="1470" w:type="dxa"/>
            <w:tcBorders>
              <w:top w:val="nil"/>
              <w:left w:val="single" w:sz="4" w:space="0" w:color="000000"/>
              <w:bottom w:val="nil"/>
              <w:right w:val="single" w:sz="4" w:space="0" w:color="000000"/>
            </w:tcBorders>
            <w:tcMar>
              <w:top w:w="100" w:type="dxa"/>
              <w:left w:w="100" w:type="dxa"/>
              <w:bottom w:w="100" w:type="dxa"/>
              <w:right w:w="100" w:type="dxa"/>
            </w:tcMar>
          </w:tcPr>
          <w:p w14:paraId="600C3EE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bottom w:val="nil"/>
            </w:tcBorders>
            <w:tcMar>
              <w:top w:w="100" w:type="dxa"/>
              <w:left w:w="100" w:type="dxa"/>
              <w:bottom w:w="100" w:type="dxa"/>
              <w:right w:w="100" w:type="dxa"/>
            </w:tcMar>
          </w:tcPr>
          <w:p w14:paraId="50D50CF0"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185E2CC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EBFM Harvest</w:t>
            </w:r>
          </w:p>
        </w:tc>
        <w:tc>
          <w:tcPr>
            <w:tcW w:w="1530" w:type="dxa"/>
            <w:tcMar>
              <w:top w:w="100" w:type="dxa"/>
              <w:left w:w="100" w:type="dxa"/>
              <w:bottom w:w="100" w:type="dxa"/>
              <w:right w:w="100" w:type="dxa"/>
            </w:tcMar>
          </w:tcPr>
          <w:p w14:paraId="6FE9979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6F69D4B2"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4A11A44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201,058 (199,989 — 202,126)</w:t>
            </w:r>
          </w:p>
        </w:tc>
      </w:tr>
      <w:tr w:rsidR="008634CB" w14:paraId="244E064D" w14:textId="77777777" w:rsidTr="008E0F7D">
        <w:trPr>
          <w:trHeight w:val="485"/>
        </w:trPr>
        <w:tc>
          <w:tcPr>
            <w:tcW w:w="147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BBB36A"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980" w:type="dxa"/>
            <w:tcBorders>
              <w:top w:val="nil"/>
            </w:tcBorders>
            <w:tcMar>
              <w:top w:w="100" w:type="dxa"/>
              <w:left w:w="100" w:type="dxa"/>
              <w:bottom w:w="100" w:type="dxa"/>
              <w:right w:w="100" w:type="dxa"/>
            </w:tcMar>
          </w:tcPr>
          <w:p w14:paraId="0DDEE7C4" w14:textId="77777777" w:rsidR="008634CB" w:rsidRPr="0088333B" w:rsidRDefault="008634CB">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1500" w:type="dxa"/>
            <w:tcMar>
              <w:top w:w="100" w:type="dxa"/>
              <w:left w:w="100" w:type="dxa"/>
              <w:bottom w:w="100" w:type="dxa"/>
              <w:right w:w="100" w:type="dxa"/>
            </w:tcMar>
          </w:tcPr>
          <w:p w14:paraId="3B6E003A"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None</w:t>
            </w:r>
          </w:p>
        </w:tc>
        <w:tc>
          <w:tcPr>
            <w:tcW w:w="1530" w:type="dxa"/>
            <w:tcMar>
              <w:top w:w="100" w:type="dxa"/>
              <w:left w:w="100" w:type="dxa"/>
              <w:bottom w:w="100" w:type="dxa"/>
              <w:right w:w="100" w:type="dxa"/>
            </w:tcMar>
          </w:tcPr>
          <w:p w14:paraId="060B897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RCP 4.5</w:t>
            </w:r>
          </w:p>
        </w:tc>
        <w:tc>
          <w:tcPr>
            <w:tcW w:w="1320" w:type="dxa"/>
            <w:tcMar>
              <w:top w:w="100" w:type="dxa"/>
              <w:left w:w="100" w:type="dxa"/>
              <w:bottom w:w="100" w:type="dxa"/>
              <w:right w:w="100" w:type="dxa"/>
            </w:tcMar>
          </w:tcPr>
          <w:p w14:paraId="03A640C7"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2100</w:t>
            </w:r>
          </w:p>
        </w:tc>
        <w:tc>
          <w:tcPr>
            <w:tcW w:w="1665" w:type="dxa"/>
            <w:tcMar>
              <w:top w:w="100" w:type="dxa"/>
              <w:left w:w="100" w:type="dxa"/>
              <w:bottom w:w="100" w:type="dxa"/>
              <w:right w:w="100" w:type="dxa"/>
            </w:tcMar>
          </w:tcPr>
          <w:p w14:paraId="1C0FC6E5"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199,405 (198,761 — 200,049)</w:t>
            </w:r>
          </w:p>
        </w:tc>
      </w:tr>
      <w:tr w:rsidR="008634CB" w14:paraId="6CC2D449" w14:textId="77777777">
        <w:trPr>
          <w:trHeight w:val="1280"/>
        </w:trPr>
        <w:tc>
          <w:tcPr>
            <w:tcW w:w="14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479E8"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lastRenderedPageBreak/>
              <w:t>Wood Thrush</w:t>
            </w:r>
          </w:p>
        </w:tc>
        <w:tc>
          <w:tcPr>
            <w:tcW w:w="1980" w:type="dxa"/>
            <w:tcMar>
              <w:top w:w="100" w:type="dxa"/>
              <w:left w:w="100" w:type="dxa"/>
              <w:bottom w:w="100" w:type="dxa"/>
              <w:right w:w="100" w:type="dxa"/>
            </w:tcMar>
          </w:tcPr>
          <w:p w14:paraId="23D5B37E"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 xml:space="preserve">Ontario </w:t>
            </w:r>
          </w:p>
        </w:tc>
        <w:tc>
          <w:tcPr>
            <w:tcW w:w="1500" w:type="dxa"/>
            <w:tcMar>
              <w:top w:w="100" w:type="dxa"/>
              <w:left w:w="100" w:type="dxa"/>
              <w:bottom w:w="100" w:type="dxa"/>
              <w:right w:w="100" w:type="dxa"/>
            </w:tcMar>
          </w:tcPr>
          <w:p w14:paraId="5853A610"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FMU-specific Harvest Rates (Appendix I, Leston 2022)</w:t>
            </w:r>
          </w:p>
        </w:tc>
        <w:tc>
          <w:tcPr>
            <w:tcW w:w="1530" w:type="dxa"/>
            <w:tcMar>
              <w:top w:w="100" w:type="dxa"/>
              <w:left w:w="100" w:type="dxa"/>
              <w:bottom w:w="100" w:type="dxa"/>
              <w:right w:w="100" w:type="dxa"/>
            </w:tcMar>
          </w:tcPr>
          <w:p w14:paraId="1C16A3FC"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Baseline</w:t>
            </w:r>
          </w:p>
        </w:tc>
        <w:tc>
          <w:tcPr>
            <w:tcW w:w="1320" w:type="dxa"/>
            <w:tcMar>
              <w:top w:w="100" w:type="dxa"/>
              <w:left w:w="100" w:type="dxa"/>
              <w:bottom w:w="100" w:type="dxa"/>
              <w:right w:w="100" w:type="dxa"/>
            </w:tcMar>
          </w:tcPr>
          <w:p w14:paraId="2B9DAACD"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2070</w:t>
            </w:r>
          </w:p>
        </w:tc>
        <w:tc>
          <w:tcPr>
            <w:tcW w:w="1665" w:type="dxa"/>
            <w:tcMar>
              <w:top w:w="100" w:type="dxa"/>
              <w:left w:w="100" w:type="dxa"/>
              <w:bottom w:w="100" w:type="dxa"/>
              <w:right w:w="100" w:type="dxa"/>
            </w:tcMar>
          </w:tcPr>
          <w:p w14:paraId="5AAE5369" w14:textId="77777777" w:rsidR="008634CB" w:rsidRPr="0088333B" w:rsidRDefault="00000000">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88333B">
              <w:rPr>
                <w:rFonts w:ascii="Times New Roman" w:eastAsia="Times New Roman" w:hAnsi="Times New Roman" w:cs="Times New Roman"/>
                <w:sz w:val="20"/>
                <w:szCs w:val="20"/>
              </w:rPr>
              <w:t>627,322 (12,678 — 1,365,852)</w:t>
            </w:r>
          </w:p>
        </w:tc>
      </w:tr>
    </w:tbl>
    <w:p w14:paraId="0956D901" w14:textId="77777777" w:rsidR="008634CB" w:rsidRDefault="008634CB">
      <w:pPr>
        <w:rPr>
          <w:rFonts w:ascii="Times New Roman" w:eastAsia="Times New Roman" w:hAnsi="Times New Roman" w:cs="Times New Roman"/>
          <w:sz w:val="24"/>
          <w:szCs w:val="24"/>
        </w:rPr>
      </w:pPr>
    </w:p>
    <w:p w14:paraId="63CF9ECD" w14:textId="077F2D19" w:rsidR="008634CB" w:rsidRPr="0088333B" w:rsidRDefault="0088333B">
      <w:pPr>
        <w:pStyle w:val="Heading1"/>
        <w:rPr>
          <w:rFonts w:ascii="Times New Roman" w:eastAsia="Times New Roman" w:hAnsi="Times New Roman" w:cs="Times New Roman"/>
          <w:bCs/>
          <w:sz w:val="24"/>
          <w:szCs w:val="24"/>
        </w:rPr>
      </w:pPr>
      <w:r w:rsidRPr="0088333B">
        <w:rPr>
          <w:rFonts w:ascii="Times New Roman" w:eastAsia="Times New Roman" w:hAnsi="Times New Roman" w:cs="Times New Roman"/>
          <w:bCs/>
          <w:sz w:val="24"/>
          <w:szCs w:val="24"/>
        </w:rPr>
        <w:t>References</w:t>
      </w:r>
    </w:p>
    <w:p w14:paraId="0C1A3ED0" w14:textId="4F0D310B" w:rsidR="00902F4D" w:rsidRDefault="00902F4D" w:rsidP="00902F4D">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[AAFC] Agriculture and Agri-Food Canada (2021) Annual Crop Inventory. </w:t>
      </w:r>
      <w:hyperlink r:id="rId17">
        <w:r>
          <w:rPr>
            <w:rFonts w:ascii="Times New Roman" w:eastAsia="Times New Roman" w:hAnsi="Times New Roman" w:cs="Times New Roman"/>
            <w:color w:val="1155CC"/>
            <w:sz w:val="24"/>
            <w:szCs w:val="24"/>
            <w:u w:val="single"/>
          </w:rPr>
          <w:t>https://open.canada.ca/data/en/dataset/ba2645d5-4458-414d-b196-6303ac06c1c9</w:t>
        </w:r>
      </w:hyperlink>
      <w:r>
        <w:rPr>
          <w:rFonts w:ascii="Times New Roman" w:eastAsia="Times New Roman" w:hAnsi="Times New Roman" w:cs="Times New Roman"/>
          <w:color w:val="000000"/>
          <w:sz w:val="24"/>
          <w:szCs w:val="24"/>
        </w:rPr>
        <w:t>. Accessed January 1, 2021.</w:t>
      </w:r>
    </w:p>
    <w:p w14:paraId="65E8778B" w14:textId="22315C94" w:rsidR="00902F4D" w:rsidRDefault="00902F4D" w:rsidP="00902F4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Algonquin Forestry Authority (2021) Forest Management Plan for the Algonquin Park Forest Management Unit, Pembroke District, Southern Region, Algonquin Forestry Authority for the 10-year period from July 1, 2021 to March 31, 2031 </w:t>
      </w:r>
      <w:hyperlink r:id="rId18">
        <w:r>
          <w:rPr>
            <w:rFonts w:ascii="Times New Roman" w:eastAsia="Times New Roman" w:hAnsi="Times New Roman" w:cs="Times New Roman"/>
            <w:color w:val="0563C1"/>
            <w:sz w:val="24"/>
            <w:szCs w:val="24"/>
            <w:u w:val="single"/>
          </w:rPr>
          <w:t>https://nrip.mnr.gov.on.ca/s/published-submission?language=en_US&amp;recordId=a0z3g000000ofQ2AAI</w:t>
        </w:r>
      </w:hyperlink>
      <w:r>
        <w:rPr>
          <w:rFonts w:ascii="Times New Roman" w:eastAsia="Times New Roman" w:hAnsi="Times New Roman" w:cs="Times New Roman"/>
          <w:sz w:val="24"/>
          <w:szCs w:val="24"/>
        </w:rPr>
        <w:t>. Accessed October 18, 2021.</w:t>
      </w:r>
    </w:p>
    <w:p w14:paraId="10FAC868" w14:textId="15664CE6" w:rsidR="000D3318" w:rsidRDefault="000D3318" w:rsidP="000D3318"/>
    <w:p w14:paraId="047C7D46" w14:textId="75694C4E" w:rsid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fldChar w:fldCharType="begin"/>
      </w:r>
      <w:r w:rsidRPr="00FC12C4">
        <w:rPr>
          <w:rFonts w:ascii="Times New Roman" w:hAnsi="Times New Roman" w:cs="Times New Roman"/>
          <w:sz w:val="24"/>
          <w:szCs w:val="24"/>
        </w:rPr>
        <w:instrText xml:space="preserve"> ADDIN ZOTERO_BIBL {"uncited":[],"omitted":[],"custom":[]} CSL_BIBLIOGRAPHY </w:instrText>
      </w:r>
      <w:r w:rsidRPr="00FC12C4">
        <w:rPr>
          <w:rFonts w:ascii="Times New Roman" w:hAnsi="Times New Roman" w:cs="Times New Roman"/>
          <w:sz w:val="24"/>
          <w:szCs w:val="24"/>
        </w:rPr>
        <w:fldChar w:fldCharType="separate"/>
      </w:r>
      <w:r w:rsidRPr="00FC12C4">
        <w:rPr>
          <w:rFonts w:ascii="Times New Roman" w:hAnsi="Times New Roman" w:cs="Times New Roman"/>
          <w:sz w:val="24"/>
          <w:szCs w:val="24"/>
        </w:rPr>
        <w:t>Arora VK, Scinocca JF, Boer GJ, et al (2011) Carbon emission limits required to satisfy future representative concentration pathways of greenhouse gases. Geophys Res Lett 38:. https://doi.org/10.1029/2010GL046270</w:t>
      </w:r>
      <w:r w:rsidR="00902F4D">
        <w:rPr>
          <w:rFonts w:ascii="Times New Roman" w:hAnsi="Times New Roman" w:cs="Times New Roman"/>
          <w:sz w:val="24"/>
          <w:szCs w:val="24"/>
        </w:rPr>
        <w:t xml:space="preserve"> </w:t>
      </w:r>
    </w:p>
    <w:p w14:paraId="63A14485" w14:textId="7BE260DE" w:rsidR="00902F4D" w:rsidRPr="00902F4D" w:rsidRDefault="00902F4D" w:rsidP="00902F4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Bancroft Minden Forest Company (2021) Forest Management Plan for the Bancroft Minden Forest Management Unit # 220 2021 to 2031. </w:t>
      </w:r>
      <w:hyperlink r:id="rId19">
        <w:r>
          <w:rPr>
            <w:rFonts w:ascii="Times New Roman" w:eastAsia="Times New Roman" w:hAnsi="Times New Roman" w:cs="Times New Roman"/>
            <w:color w:val="0563C1"/>
            <w:sz w:val="24"/>
            <w:szCs w:val="24"/>
            <w:u w:val="single"/>
          </w:rPr>
          <w:t>https://nrip.mnr.gov.on.ca/s/published-submission?language=en_US&amp;recordId=a0z3g000000yyFUAAY</w:t>
        </w:r>
      </w:hyperlink>
      <w:r>
        <w:rPr>
          <w:rFonts w:ascii="Times New Roman" w:eastAsia="Times New Roman" w:hAnsi="Times New Roman" w:cs="Times New Roman"/>
          <w:sz w:val="24"/>
          <w:szCs w:val="24"/>
        </w:rPr>
        <w:t>. Accessed October 18, 2021.</w:t>
      </w:r>
    </w:p>
    <w:p w14:paraId="36DE97CF"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Beaudoin A, Bernier PY, Guindon L, et al (2014) Mapping attributes of Canada’s forests at moderate resolution through kNN and MODIS imagery. Can J For Res 44:521–532. https://doi.org/10.1139/cjfr-2013-0401</w:t>
      </w:r>
    </w:p>
    <w:p w14:paraId="1472AE94"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Boulanger Y, Gauthier S, Burton PJ (2014) A refinement of models projecting future Canadian fire regimes using homogeneous fire regime zones. Can J For Res 44:365–376. https://doi.org/10.1139/cjfr-2013-0372</w:t>
      </w:r>
    </w:p>
    <w:p w14:paraId="0EA01718"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Boulanger Y, Gray DR, Cooke BJ, De Grandpré L (2016) Model-specification uncertainty in future forest pest outbreak. Glob Change Biol 22:1595–1607. https://doi.org/10.1111/gcb.13142</w:t>
      </w:r>
    </w:p>
    <w:p w14:paraId="2EA2B775"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Boulanger Y, Pascual Puigdevall J (2021) Boreal forests will be more severely affected by projected anthropogenic climate forcing than mixedwood and northern hardwood forests in eastern Canada. Landsc Ecol 36:1725–1740. https://doi.org/10.1007/s10980-021-01241-7</w:t>
      </w:r>
    </w:p>
    <w:p w14:paraId="3364BEC6"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lastRenderedPageBreak/>
        <w:t>Boulanger Y, Taylor AR, Price DT, et al (2017) Climate change impacts on forest landscapes along the Canadian southern boreal forest transition zone. Landsc Ecol 32:1415–1431. https://doi.org/10.1007/s10980-016-0421-7</w:t>
      </w:r>
    </w:p>
    <w:p w14:paraId="3AF77F68"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Cadieux P, Boulanger Y, Cyr D, et al (2019) Spatially explicit climate change projections for the recovery planning of threatened species: The Bicknell’s Thrush (Catharus Bicknelli) as a case study. Glob Ecol Conserv 17:e00530. https://doi.org/10.1016/j.gecco.2019.e00530</w:t>
      </w:r>
    </w:p>
    <w:p w14:paraId="43DF8B94"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Cadieux P, Boulanger Y, Cyr D, et al (2020) Projected effects of climate change on boreal bird community accentuated by anthropogenic disturbances in western boreal forest, Canada. Divers Distrib 26:668–682. https://doi.org/10.1111/ddi.13057</w:t>
      </w:r>
    </w:p>
    <w:p w14:paraId="71FA7B96"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Carlson M, Browne D, Callaghan C (2019) Application of land-use simulation to protected area selection for efficient avoidance of biodiversity loss in Canada’s western boreal region. Land Use Policy 82:821–831. https://doi.org/10.1016/j.landusepol.2019.01.015</w:t>
      </w:r>
    </w:p>
    <w:p w14:paraId="31642CFE" w14:textId="085F449A" w:rsid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Carlson M, Stelfox JB (2014) Alberta Oil Sands Development and Risk Management of Canadian Boreal Ecosystems. In: Gates JE, Trauger DL, Czech B (eds) Peak Oil, Economic Growth, and Wildlife Conservation. Springer, New York, NY, pp 219–244</w:t>
      </w:r>
      <w:r w:rsidR="00902F4D">
        <w:rPr>
          <w:rFonts w:ascii="Times New Roman" w:hAnsi="Times New Roman" w:cs="Times New Roman"/>
          <w:sz w:val="24"/>
          <w:szCs w:val="24"/>
        </w:rPr>
        <w:t xml:space="preserve"> </w:t>
      </w:r>
    </w:p>
    <w:p w14:paraId="636638F7" w14:textId="3C55E152" w:rsidR="00902F4D" w:rsidRDefault="00902F4D" w:rsidP="00902F4D">
      <w:pPr>
        <w:widowControl w:val="0"/>
        <w:spacing w:after="0"/>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Carlson M, Stelfox B, Purves-Smith N, Straker J, Berryman S, Barker T, Wilson B (2014) “ALCES Online: Web-delivered scenario analysis to inform sustainable land-use decisions,” in Proceedings of the 7th International Congress on Environmental Modelling and Software. Eds. D.P. Ames, N.W.T. Quinn and A.E. Rizzoli (San Diego, CA: International Environmental Modelling and Software Society), 1-8. </w:t>
      </w:r>
      <w:hyperlink r:id="rId20">
        <w:r>
          <w:rPr>
            <w:rFonts w:ascii="Times New Roman" w:eastAsia="Times New Roman" w:hAnsi="Times New Roman" w:cs="Times New Roman"/>
            <w:color w:val="1155CC"/>
            <w:sz w:val="24"/>
            <w:szCs w:val="24"/>
            <w:u w:val="single"/>
          </w:rPr>
          <w:t>https://www.alces.ca/publications/download/406/Carlson%20et%20al%202014.pdf</w:t>
        </w:r>
      </w:hyperlink>
      <w:r>
        <w:rPr>
          <w:rFonts w:ascii="Times New Roman" w:eastAsia="Times New Roman" w:hAnsi="Times New Roman" w:cs="Times New Roman"/>
          <w:sz w:val="24"/>
          <w:szCs w:val="24"/>
        </w:rPr>
        <w:t>. Accessed January 1, 2020.</w:t>
      </w:r>
    </w:p>
    <w:p w14:paraId="49D7702E" w14:textId="50C574B0" w:rsidR="00902F4D" w:rsidRDefault="00902F4D" w:rsidP="00902F4D"/>
    <w:p w14:paraId="1DF090F9" w14:textId="65788B10" w:rsidR="00144BE2" w:rsidRDefault="00144BE2" w:rsidP="00902F4D">
      <w:pPr>
        <w:ind w:left="720" w:hanging="720"/>
        <w:rPr>
          <w:rFonts w:ascii="Times New Roman" w:hAnsi="Times New Roman" w:cs="Times New Roman"/>
          <w:sz w:val="24"/>
          <w:szCs w:val="24"/>
        </w:rPr>
      </w:pPr>
      <w:r w:rsidRPr="00144BE2">
        <w:rPr>
          <w:rFonts w:ascii="Times New Roman" w:hAnsi="Times New Roman" w:cs="Times New Roman"/>
          <w:sz w:val="24"/>
          <w:szCs w:val="24"/>
        </w:rPr>
        <w:t>Chao</w:t>
      </w:r>
      <w:r>
        <w:rPr>
          <w:rFonts w:ascii="Times New Roman" w:hAnsi="Times New Roman" w:cs="Times New Roman"/>
          <w:sz w:val="24"/>
          <w:szCs w:val="24"/>
        </w:rPr>
        <w:t xml:space="preserve"> L</w:t>
      </w:r>
      <w:r w:rsidRPr="00144BE2">
        <w:rPr>
          <w:rFonts w:ascii="Times New Roman" w:hAnsi="Times New Roman" w:cs="Times New Roman"/>
          <w:sz w:val="24"/>
          <w:szCs w:val="24"/>
        </w:rPr>
        <w:t xml:space="preserve"> </w:t>
      </w:r>
      <w:r>
        <w:rPr>
          <w:rFonts w:ascii="Times New Roman" w:hAnsi="Times New Roman" w:cs="Times New Roman"/>
          <w:sz w:val="24"/>
          <w:szCs w:val="24"/>
        </w:rPr>
        <w:t>(</w:t>
      </w:r>
      <w:r w:rsidRPr="00144BE2">
        <w:rPr>
          <w:rFonts w:ascii="Times New Roman" w:hAnsi="Times New Roman" w:cs="Times New Roman"/>
          <w:sz w:val="24"/>
          <w:szCs w:val="24"/>
        </w:rPr>
        <w:t>2011</w:t>
      </w:r>
      <w:r>
        <w:rPr>
          <w:rFonts w:ascii="Times New Roman" w:hAnsi="Times New Roman" w:cs="Times New Roman"/>
          <w:sz w:val="24"/>
          <w:szCs w:val="24"/>
        </w:rPr>
        <w:t>)</w:t>
      </w:r>
      <w:r w:rsidRPr="00144BE2">
        <w:rPr>
          <w:rFonts w:ascii="Times New Roman" w:hAnsi="Times New Roman" w:cs="Times New Roman"/>
          <w:sz w:val="24"/>
          <w:szCs w:val="24"/>
        </w:rPr>
        <w:t xml:space="preserve"> Ch. 7 Fire regimes and their simulation with reference to Ontario. in Ajith H. Perera, David L. Euler, Ian D. Thompson, eds., Ecology of a Managed Terrestrial Landscape: Patterns and Processes of Forest Landscapes in Ontario. UBC Press, Nov. 1, 2011 - Nature - 346 pages.</w:t>
      </w:r>
    </w:p>
    <w:p w14:paraId="0CDB2783" w14:textId="191035E7" w:rsidR="00902F4D" w:rsidRDefault="00902F4D" w:rsidP="00902F4D">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Evans M, Gow E, Roth RR, Johnson MS, Underwood TJ (2020) Wood Thrush (</w:t>
      </w:r>
      <w:r>
        <w:rPr>
          <w:rFonts w:ascii="Times New Roman" w:eastAsia="Times New Roman" w:hAnsi="Times New Roman" w:cs="Times New Roman"/>
          <w:i/>
          <w:sz w:val="24"/>
          <w:szCs w:val="24"/>
        </w:rPr>
        <w:t>Hylocichla mustelina</w:t>
      </w:r>
      <w:r>
        <w:rPr>
          <w:rFonts w:ascii="Times New Roman" w:eastAsia="Times New Roman" w:hAnsi="Times New Roman" w:cs="Times New Roman"/>
          <w:sz w:val="24"/>
          <w:szCs w:val="24"/>
        </w:rPr>
        <w:t xml:space="preserve">), version 1.0. In Birds of the World (A. F. Poole, Editor). Cornell Lab of Ornithology, Ithaca, NY, USA. </w:t>
      </w:r>
      <w:hyperlink r:id="rId21">
        <w:r>
          <w:rPr>
            <w:rFonts w:ascii="Times New Roman" w:eastAsia="Times New Roman" w:hAnsi="Times New Roman" w:cs="Times New Roman"/>
            <w:color w:val="0563C1"/>
            <w:sz w:val="24"/>
            <w:szCs w:val="24"/>
            <w:u w:val="single"/>
          </w:rPr>
          <w:t>https://doi.org/10.2173/bow.woothr.01</w:t>
        </w:r>
      </w:hyperlink>
      <w:r>
        <w:rPr>
          <w:rFonts w:ascii="Times New Roman" w:eastAsia="Times New Roman" w:hAnsi="Times New Roman" w:cs="Times New Roman"/>
          <w:sz w:val="24"/>
          <w:szCs w:val="24"/>
        </w:rPr>
        <w:t>.</w:t>
      </w:r>
    </w:p>
    <w:p w14:paraId="4E878CBA" w14:textId="6D91BB92" w:rsidR="00902F4D" w:rsidRDefault="00902F4D" w:rsidP="00902F4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Gauthier J, Aubry Y (eds) (1995) The Breeding Birds of Québec:  Atlas of the breeding birds of southern Québec. Association québécoise des groupes d’ornithologues, Bird Protection Québec, Canadian Wildlife Service, Environment Canada, Quebec Region, Montréal, xviii + 1295 p.</w:t>
      </w:r>
    </w:p>
    <w:p w14:paraId="412EA7FE" w14:textId="5D004B5B" w:rsidR="00902F4D" w:rsidRDefault="00902F4D" w:rsidP="00902F4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Gouvernement du Québec (2020) Quebec Timber Production Strategy. </w:t>
      </w:r>
      <w:hyperlink r:id="rId22">
        <w:r>
          <w:rPr>
            <w:rFonts w:ascii="Times New Roman" w:eastAsia="Times New Roman" w:hAnsi="Times New Roman" w:cs="Times New Roman"/>
            <w:color w:val="0563C1"/>
            <w:sz w:val="24"/>
            <w:szCs w:val="24"/>
            <w:u w:val="single"/>
          </w:rPr>
          <w:t>https://mffp.gouv.qc.ca/the-forests/quebec-timber-production-strategy/?lang=en</w:t>
        </w:r>
      </w:hyperlink>
      <w:r>
        <w:rPr>
          <w:rFonts w:ascii="Times New Roman" w:eastAsia="Times New Roman" w:hAnsi="Times New Roman" w:cs="Times New Roman"/>
          <w:sz w:val="24"/>
          <w:szCs w:val="24"/>
        </w:rPr>
        <w:t>. Accessed October 18, 2021.</w:t>
      </w:r>
    </w:p>
    <w:p w14:paraId="7D6C81DB" w14:textId="77777777" w:rsidR="00902F4D" w:rsidRPr="00902F4D" w:rsidRDefault="00902F4D" w:rsidP="00902F4D"/>
    <w:p w14:paraId="6B1EDDB8"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lastRenderedPageBreak/>
        <w:t>Gustafson EJ, Shifley SR, Mladenoff DJ, et al (2000) Spatial simulation of forest succession and timber harvesting using LANDIS. Can J For Res 30:32–43. https://doi.org/10.1139/x99-188</w:t>
      </w:r>
    </w:p>
    <w:p w14:paraId="1A2CC6B2"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He HS, Mladenoff DJ (1999) Spatially Explicit and Stochastic Simulation of Forest-Landscape Fire Disturbance and Succession. Ecology 80:81–99. https://doi.org/10.1890/0012-9658(1999)080[0081:SEASSO]2.0.CO;2</w:t>
      </w:r>
    </w:p>
    <w:p w14:paraId="4AF6FCE0" w14:textId="590B113F" w:rsidR="00902F4D" w:rsidRDefault="00FC12C4" w:rsidP="00902F4D">
      <w:pPr>
        <w:widowControl w:val="0"/>
        <w:spacing w:after="0"/>
        <w:ind w:left="720" w:hanging="720"/>
        <w:rPr>
          <w:rFonts w:ascii="Times New Roman" w:eastAsia="Times New Roman" w:hAnsi="Times New Roman" w:cs="Times New Roman"/>
          <w:sz w:val="24"/>
          <w:szCs w:val="24"/>
        </w:rPr>
      </w:pPr>
      <w:r w:rsidRPr="00FC12C4">
        <w:rPr>
          <w:rFonts w:ascii="Times New Roman" w:hAnsi="Times New Roman" w:cs="Times New Roman"/>
          <w:sz w:val="24"/>
          <w:szCs w:val="24"/>
        </w:rPr>
        <w:t>Kim H (2020) The Economic Value of Private Woodlots in Southern Ontario</w:t>
      </w:r>
      <w:r w:rsidR="00902F4D">
        <w:rPr>
          <w:rFonts w:ascii="Times New Roman" w:eastAsia="Times New Roman" w:hAnsi="Times New Roman" w:cs="Times New Roman"/>
          <w:sz w:val="24"/>
          <w:szCs w:val="24"/>
        </w:rPr>
        <w:t xml:space="preserve">. A research paper submitted in conformity with the requirements for the degree of Master of Forest Conservation. Faculty of Forestry, University of Toronto. </w:t>
      </w:r>
      <w:r w:rsidR="00902F4D">
        <w:rPr>
          <w:rFonts w:ascii="Times New Roman" w:eastAsia="Times New Roman" w:hAnsi="Times New Roman" w:cs="Times New Roman"/>
          <w:color w:val="1155CC"/>
          <w:sz w:val="24"/>
          <w:szCs w:val="24"/>
          <w:u w:val="single"/>
        </w:rPr>
        <w:t>https://hdl.handle.net/1807/99033</w:t>
      </w:r>
      <w:r w:rsidR="00902F4D">
        <w:rPr>
          <w:rFonts w:ascii="Times New Roman" w:eastAsia="Times New Roman" w:hAnsi="Times New Roman" w:cs="Times New Roman"/>
          <w:sz w:val="24"/>
          <w:szCs w:val="24"/>
        </w:rPr>
        <w:t xml:space="preserve">. </w:t>
      </w:r>
    </w:p>
    <w:p w14:paraId="42CF4F0A" w14:textId="004FFF16" w:rsidR="00FC12C4" w:rsidRPr="00FC12C4" w:rsidRDefault="00FC12C4" w:rsidP="00FC12C4">
      <w:pPr>
        <w:pStyle w:val="Bibliography"/>
        <w:rPr>
          <w:rFonts w:ascii="Times New Roman" w:hAnsi="Times New Roman" w:cs="Times New Roman"/>
          <w:sz w:val="24"/>
          <w:szCs w:val="24"/>
        </w:rPr>
      </w:pPr>
    </w:p>
    <w:p w14:paraId="26180B33" w14:textId="6F342236" w:rsid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Leston L, Bayne E, Dzus E, et al (2020) Quantifying Long-Term Bird Population Responses to Simulated Harvest Plans and Cumulative Effects of Disturbance. Front Ecol Evol 8:</w:t>
      </w:r>
      <w:r w:rsidR="00902F4D">
        <w:rPr>
          <w:rFonts w:ascii="Times New Roman" w:hAnsi="Times New Roman" w:cs="Times New Roman"/>
          <w:sz w:val="24"/>
          <w:szCs w:val="24"/>
        </w:rPr>
        <w:t xml:space="preserve"> </w:t>
      </w:r>
    </w:p>
    <w:p w14:paraId="257DE7F0" w14:textId="1EB119D1" w:rsidR="00902F4D" w:rsidRDefault="00902F4D" w:rsidP="00902F4D">
      <w:pPr>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Leston L (2022) Modeling framework to support critical habitat identification for the Wood Thrush in Canada. Zenodo. </w:t>
      </w:r>
      <w:hyperlink r:id="rId23">
        <w:r>
          <w:rPr>
            <w:rFonts w:ascii="Times New Roman" w:eastAsia="Times New Roman" w:hAnsi="Times New Roman" w:cs="Times New Roman"/>
            <w:color w:val="1155CC"/>
            <w:sz w:val="24"/>
            <w:szCs w:val="24"/>
            <w:u w:val="single"/>
          </w:rPr>
          <w:t>https://doi.org/10.5281/zenodo.7153499</w:t>
        </w:r>
      </w:hyperlink>
      <w:r>
        <w:rPr>
          <w:rFonts w:ascii="Times New Roman" w:eastAsia="Times New Roman" w:hAnsi="Times New Roman" w:cs="Times New Roman"/>
          <w:sz w:val="24"/>
          <w:szCs w:val="24"/>
        </w:rPr>
        <w:t>. Canadian Wildlife Service Contract #EC3000713776.</w:t>
      </w:r>
    </w:p>
    <w:p w14:paraId="3E1167EE" w14:textId="77777777" w:rsidR="00902F4D" w:rsidRPr="00902F4D" w:rsidRDefault="00902F4D" w:rsidP="00902F4D"/>
    <w:p w14:paraId="037271D5"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Mahon CL, Bayne EM, Sólymos P, et al (2014) Does expected future landscape condition support proposed population objectives for boreal birds? For Ecol Manag 312:28–39. https://doi.org/10.1016/j.foreco.2013.10.025</w:t>
      </w:r>
    </w:p>
    <w:p w14:paraId="5885A4BC"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Mansuy N, Thiffault E, Paré D, et al (2014) Digital mapping of soil properties in Canadian managed forests at 250m of resolution using the k-nearest neighbor method. Geoderma 235–236:59–73. https://doi.org/10.1016/j.geoderma.2014.06.032</w:t>
      </w:r>
    </w:p>
    <w:p w14:paraId="1A0DAE85"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McKenney D, Pedlar J, Hutchinson M, et al (2013) Spatial climate models for Canada’s forestry community. For Chron 89:659–663. https://doi.org/10.5558/tfc2013-118</w:t>
      </w:r>
    </w:p>
    <w:p w14:paraId="19ECDF36"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Mekonnen ZA, Riley WJ, Randerson JT, et al (2019) Expansion of high-latitude deciduous forests driven by interactions between climate warming and fire. Nat Plants 5:952–958. https://doi.org/10.1038/s41477-019-0495-8</w:t>
      </w:r>
    </w:p>
    <w:p w14:paraId="2F3BEB9E"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Michaelian M, Hogg EH, Hall RJ, Arsenault E (2011) Massive mortality of aspen following severe drought along the southern edge of the Canadian boreal forest. Glob Change Biol 17:2084–2094. https://doi.org/10.1111/j.1365-2486.2010.02357.x</w:t>
      </w:r>
    </w:p>
    <w:p w14:paraId="28CACD70"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Mladenoff DJ, Baker WL (1999) Spatial Modeling of Forest Landscape Change: Approaches and Applications. Cambridge University Press</w:t>
      </w:r>
    </w:p>
    <w:p w14:paraId="07380EA5" w14:textId="5879A442" w:rsid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Moss RH, Edmonds JA, Hibbard KA, et al (2010) The next generation of scenarios for climate change research and assessment. Nature 463:747–756. https://doi.org/10.1038/nature08823</w:t>
      </w:r>
      <w:r w:rsidR="00902F4D">
        <w:rPr>
          <w:rFonts w:ascii="Times New Roman" w:hAnsi="Times New Roman" w:cs="Times New Roman"/>
          <w:sz w:val="24"/>
          <w:szCs w:val="24"/>
        </w:rPr>
        <w:t xml:space="preserve"> </w:t>
      </w:r>
    </w:p>
    <w:p w14:paraId="52502267" w14:textId="244BB6C7" w:rsidR="00902F4D" w:rsidRDefault="00902F4D" w:rsidP="00902F4D">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Ontario Forest Resource Inventory (2021) Forest Resources Inventory Packaged Products - Version 2. </w:t>
      </w:r>
      <w:hyperlink r:id="rId24">
        <w:r>
          <w:rPr>
            <w:rFonts w:ascii="Times New Roman" w:eastAsia="Times New Roman" w:hAnsi="Times New Roman" w:cs="Times New Roman"/>
            <w:color w:val="1155CC"/>
            <w:sz w:val="24"/>
            <w:szCs w:val="24"/>
            <w:u w:val="single"/>
          </w:rPr>
          <w:t>https://geohub.lio.gov.on.ca/datasets/9de0dad6f1b3435eb46df8ee49f4ecfd</w:t>
        </w:r>
      </w:hyperlink>
      <w:r>
        <w:rPr>
          <w:rFonts w:ascii="Times New Roman" w:eastAsia="Times New Roman" w:hAnsi="Times New Roman" w:cs="Times New Roman"/>
          <w:color w:val="000000"/>
          <w:sz w:val="24"/>
          <w:szCs w:val="24"/>
        </w:rPr>
        <w:t>. Accessed July 23, 2021.</w:t>
      </w:r>
    </w:p>
    <w:p w14:paraId="4D9F4F44" w14:textId="27088F18" w:rsidR="00902F4D" w:rsidRPr="00902F4D" w:rsidRDefault="00902F4D" w:rsidP="00902F4D">
      <w:pPr>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[OMNDMNRF] Ontario Ministry of Northern Development, Mines, Natural Resources and Forestry (2021) </w:t>
      </w:r>
      <w:hyperlink r:id="rId25">
        <w:r>
          <w:rPr>
            <w:rFonts w:ascii="Times New Roman" w:eastAsia="Times New Roman" w:hAnsi="Times New Roman" w:cs="Times New Roman"/>
            <w:color w:val="1155CC"/>
            <w:sz w:val="24"/>
            <w:szCs w:val="24"/>
            <w:u w:val="single"/>
          </w:rPr>
          <w:t>https://drive.google.com/file/d/1TClNmbcLU_mwx051DT9jwRIPJtf3Pe6v/view</w:t>
        </w:r>
      </w:hyperlink>
      <w:r>
        <w:rPr>
          <w:rFonts w:ascii="Times New Roman" w:eastAsia="Times New Roman" w:hAnsi="Times New Roman" w:cs="Times New Roman"/>
          <w:color w:val="000000"/>
          <w:sz w:val="24"/>
          <w:szCs w:val="24"/>
        </w:rPr>
        <w:t>.  Accessed July 13, 2021.</w:t>
      </w:r>
    </w:p>
    <w:p w14:paraId="0C9671F6"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Pureswaran DS, Roques A, Battisti A (2018) Forest Insects and Climate Change. Curr For Rep 4:35–50. https://doi.org/10.1007/s40725-018-0075-6</w:t>
      </w:r>
    </w:p>
    <w:p w14:paraId="029EAFAE"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Scheller RM, Domingo JB, Sturtevant BR, et al (2007) Design, development, and application of LANDIS-II, a spatial landscape simulation model with flexible temporal and spatial resolution. Ecol Model 201:409–419. https://doi.org/10.1016/j.ecolmodel.2006.10.009</w:t>
      </w:r>
    </w:p>
    <w:p w14:paraId="1CC65A5D"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Scheller RM, Mladenoff DJ (2004) A forest growth and biomass module for a landscape simulation model, LANDIS: design, validation, and application. Ecol Model 180:211–229. https://doi.org/10.1016/j.ecolmodel.2004.01.022</w:t>
      </w:r>
    </w:p>
    <w:p w14:paraId="00856574"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Stralberg D, Wang X, Parisien M-A, et al (2018) Wildfire-mediated vegetation change in boreal forests of Alberta, Canada. Ecosphere 9:e02156. https://doi.org/10.1002/ecs2.2156</w:t>
      </w:r>
    </w:p>
    <w:p w14:paraId="1891B815"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Sturtevant BR, Gustafson EJ, Li W, He HS (2004) Modeling biological disturbances in LANDIS: a module description and demonstration using spruce budworm. Ecol Model 180:153–174. https://doi.org/10.1016/j.ecolmodel.2004.01.021</w:t>
      </w:r>
    </w:p>
    <w:p w14:paraId="294FC62A"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Taylor AR, Boulanger Y, Price DT, et al (2017) Rapid 21st century climate change projected to shift composition and growth of Canada’s Acadian Forest Region. For Ecol Manag 405:284–294. https://doi.org/10.1016/j.foreco.2017.07.033</w:t>
      </w:r>
    </w:p>
    <w:p w14:paraId="7471F1A3"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Tremblay JA, Boulanger Y, Cyr D, et al (2018) Harvesting interacts with climate change to affect future habitat quality of a focal species in eastern Canada’s boreal forest. PLOS ONE 13:e0191645. https://doi.org/10.1371/journal.pone.0191645</w:t>
      </w:r>
    </w:p>
    <w:p w14:paraId="5250017F" w14:textId="77777777" w:rsidR="00FC12C4" w:rsidRPr="00FC12C4" w:rsidRDefault="00FC12C4" w:rsidP="00FC12C4">
      <w:pPr>
        <w:pStyle w:val="Bibliography"/>
        <w:rPr>
          <w:rFonts w:ascii="Times New Roman" w:hAnsi="Times New Roman" w:cs="Times New Roman"/>
          <w:sz w:val="24"/>
          <w:szCs w:val="24"/>
        </w:rPr>
      </w:pPr>
      <w:r w:rsidRPr="00FC12C4">
        <w:rPr>
          <w:rFonts w:ascii="Times New Roman" w:hAnsi="Times New Roman" w:cs="Times New Roman"/>
          <w:sz w:val="24"/>
          <w:szCs w:val="24"/>
        </w:rPr>
        <w:t>van Vuuren DP, Edmonds JA, Kainuma M, et al (2011) A special issue on the RCPs. Clim Change 109:1. https://doi.org/10.1007/s10584-011-0157-y</w:t>
      </w:r>
    </w:p>
    <w:p w14:paraId="6431AB53" w14:textId="36483590" w:rsidR="00FF1F2A" w:rsidRDefault="00FC12C4" w:rsidP="00FF1F2A">
      <w:pPr>
        <w:ind w:left="720" w:hanging="720"/>
        <w:rPr>
          <w:rFonts w:ascii="Times New Roman" w:eastAsia="Times New Roman" w:hAnsi="Times New Roman" w:cs="Times New Roman"/>
          <w:color w:val="000000"/>
          <w:sz w:val="24"/>
          <w:szCs w:val="24"/>
        </w:rPr>
      </w:pPr>
      <w:r w:rsidRPr="00FC12C4">
        <w:rPr>
          <w:rFonts w:ascii="Times New Roman" w:hAnsi="Times New Roman" w:cs="Times New Roman"/>
          <w:sz w:val="24"/>
          <w:szCs w:val="24"/>
        </w:rPr>
        <w:fldChar w:fldCharType="end"/>
      </w:r>
      <w:r w:rsidR="00FF1F2A">
        <w:rPr>
          <w:rFonts w:ascii="Times New Roman" w:eastAsia="Times New Roman" w:hAnsi="Times New Roman" w:cs="Times New Roman"/>
          <w:color w:val="000000"/>
          <w:sz w:val="24"/>
          <w:szCs w:val="24"/>
        </w:rPr>
        <w:t xml:space="preserve">Watkins L (2011) The </w:t>
      </w:r>
      <w:r w:rsidR="00FF1F2A">
        <w:rPr>
          <w:rFonts w:ascii="Times New Roman" w:eastAsia="Times New Roman" w:hAnsi="Times New Roman" w:cs="Times New Roman"/>
          <w:sz w:val="24"/>
          <w:szCs w:val="24"/>
        </w:rPr>
        <w:t>f</w:t>
      </w:r>
      <w:r w:rsidR="00FF1F2A">
        <w:rPr>
          <w:rFonts w:ascii="Times New Roman" w:eastAsia="Times New Roman" w:hAnsi="Times New Roman" w:cs="Times New Roman"/>
          <w:color w:val="000000"/>
          <w:sz w:val="24"/>
          <w:szCs w:val="24"/>
        </w:rPr>
        <w:t xml:space="preserve">orest </w:t>
      </w:r>
      <w:r w:rsidR="00FF1F2A">
        <w:rPr>
          <w:rFonts w:ascii="Times New Roman" w:eastAsia="Times New Roman" w:hAnsi="Times New Roman" w:cs="Times New Roman"/>
          <w:sz w:val="24"/>
          <w:szCs w:val="24"/>
        </w:rPr>
        <w:t>r</w:t>
      </w:r>
      <w:r w:rsidR="00FF1F2A">
        <w:rPr>
          <w:rFonts w:ascii="Times New Roman" w:eastAsia="Times New Roman" w:hAnsi="Times New Roman" w:cs="Times New Roman"/>
          <w:color w:val="000000"/>
          <w:sz w:val="24"/>
          <w:szCs w:val="24"/>
        </w:rPr>
        <w:t xml:space="preserve">esources of Ontario 2011. Ontario Ministry of Natural Resources, Sault Ste. Marie Ontario, Forest Evaluation and Standards Section, Forests Branch 270 p. </w:t>
      </w:r>
      <w:hyperlink r:id="rId26">
        <w:r w:rsidR="00FF1F2A">
          <w:rPr>
            <w:rFonts w:ascii="Times New Roman" w:eastAsia="Times New Roman" w:hAnsi="Times New Roman" w:cs="Times New Roman"/>
            <w:color w:val="1155CC"/>
            <w:sz w:val="24"/>
            <w:szCs w:val="24"/>
            <w:u w:val="single"/>
          </w:rPr>
          <w:t>https://www.ontario.ca/document/forest-resources-ontario-2011</w:t>
        </w:r>
      </w:hyperlink>
      <w:r w:rsidR="00FF1F2A">
        <w:rPr>
          <w:rFonts w:ascii="Times New Roman" w:eastAsia="Times New Roman" w:hAnsi="Times New Roman" w:cs="Times New Roman"/>
          <w:color w:val="000000"/>
          <w:sz w:val="24"/>
          <w:szCs w:val="24"/>
        </w:rPr>
        <w:t xml:space="preserve">. </w:t>
      </w:r>
      <w:r w:rsidR="00FF1F2A">
        <w:rPr>
          <w:rFonts w:ascii="Times New Roman" w:eastAsia="Times New Roman" w:hAnsi="Times New Roman" w:cs="Times New Roman"/>
          <w:sz w:val="24"/>
          <w:szCs w:val="24"/>
        </w:rPr>
        <w:t>A</w:t>
      </w:r>
      <w:r w:rsidR="00FF1F2A">
        <w:rPr>
          <w:rFonts w:ascii="Times New Roman" w:eastAsia="Times New Roman" w:hAnsi="Times New Roman" w:cs="Times New Roman"/>
          <w:color w:val="000000"/>
          <w:sz w:val="24"/>
          <w:szCs w:val="24"/>
        </w:rPr>
        <w:t>ccessed on July 18, 2021</w:t>
      </w:r>
      <w:r w:rsidR="00FF1F2A">
        <w:rPr>
          <w:rFonts w:ascii="Times New Roman" w:eastAsia="Times New Roman" w:hAnsi="Times New Roman" w:cs="Times New Roman"/>
          <w:sz w:val="24"/>
          <w:szCs w:val="24"/>
        </w:rPr>
        <w:t>.</w:t>
      </w:r>
    </w:p>
    <w:p w14:paraId="518FB008" w14:textId="77777777" w:rsidR="008634CB" w:rsidRDefault="008634CB">
      <w:pPr>
        <w:rPr>
          <w:rFonts w:ascii="Times New Roman" w:eastAsia="Times New Roman" w:hAnsi="Times New Roman" w:cs="Times New Roman"/>
          <w:sz w:val="24"/>
          <w:szCs w:val="24"/>
        </w:rPr>
      </w:pPr>
    </w:p>
    <w:sectPr w:rsidR="008634CB">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46657"/>
    <w:multiLevelType w:val="multilevel"/>
    <w:tmpl w:val="C6CAD5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B36471"/>
    <w:multiLevelType w:val="multilevel"/>
    <w:tmpl w:val="2BDC07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58431974">
    <w:abstractNumId w:val="0"/>
  </w:num>
  <w:num w:numId="2" w16cid:durableId="52606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4CB"/>
    <w:rsid w:val="000D3318"/>
    <w:rsid w:val="00144BE2"/>
    <w:rsid w:val="00157A5D"/>
    <w:rsid w:val="001D7C62"/>
    <w:rsid w:val="002209F9"/>
    <w:rsid w:val="00606FBA"/>
    <w:rsid w:val="006E7712"/>
    <w:rsid w:val="00750104"/>
    <w:rsid w:val="008634CB"/>
    <w:rsid w:val="00864A6C"/>
    <w:rsid w:val="0088333B"/>
    <w:rsid w:val="008E0F7D"/>
    <w:rsid w:val="00902F4D"/>
    <w:rsid w:val="00CC5C25"/>
    <w:rsid w:val="00CE54AF"/>
    <w:rsid w:val="00F10E1F"/>
    <w:rsid w:val="00F16F48"/>
    <w:rsid w:val="00F648A5"/>
    <w:rsid w:val="00FA6886"/>
    <w:rsid w:val="00FB5F35"/>
    <w:rsid w:val="00FC12C4"/>
    <w:rsid w:val="00FF1F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21D1"/>
  <w15:docId w15:val="{550C01D0-52D3-4179-B90F-7863EBBA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806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DBF"/>
    <w:rPr>
      <w:rFonts w:ascii="Segoe UI" w:hAnsi="Segoe UI" w:cs="Segoe UI"/>
      <w:sz w:val="18"/>
      <w:szCs w:val="18"/>
    </w:rPr>
  </w:style>
  <w:style w:type="character" w:styleId="CommentReference">
    <w:name w:val="annotation reference"/>
    <w:basedOn w:val="DefaultParagraphFont"/>
    <w:uiPriority w:val="99"/>
    <w:semiHidden/>
    <w:unhideWhenUsed/>
    <w:rsid w:val="00AC63DD"/>
    <w:rPr>
      <w:sz w:val="16"/>
      <w:szCs w:val="16"/>
    </w:rPr>
  </w:style>
  <w:style w:type="paragraph" w:styleId="CommentText">
    <w:name w:val="annotation text"/>
    <w:basedOn w:val="Normal"/>
    <w:link w:val="CommentTextChar"/>
    <w:uiPriority w:val="99"/>
    <w:unhideWhenUsed/>
    <w:rsid w:val="00AC63DD"/>
    <w:pPr>
      <w:spacing w:line="240" w:lineRule="auto"/>
    </w:pPr>
    <w:rPr>
      <w:sz w:val="20"/>
      <w:szCs w:val="20"/>
    </w:rPr>
  </w:style>
  <w:style w:type="character" w:customStyle="1" w:styleId="CommentTextChar">
    <w:name w:val="Comment Text Char"/>
    <w:basedOn w:val="DefaultParagraphFont"/>
    <w:link w:val="CommentText"/>
    <w:uiPriority w:val="99"/>
    <w:rsid w:val="00AC63DD"/>
    <w:rPr>
      <w:sz w:val="20"/>
      <w:szCs w:val="20"/>
    </w:rPr>
  </w:style>
  <w:style w:type="paragraph" w:styleId="CommentSubject">
    <w:name w:val="annotation subject"/>
    <w:basedOn w:val="CommentText"/>
    <w:next w:val="CommentText"/>
    <w:link w:val="CommentSubjectChar"/>
    <w:uiPriority w:val="99"/>
    <w:semiHidden/>
    <w:unhideWhenUsed/>
    <w:rsid w:val="00AC63DD"/>
    <w:rPr>
      <w:b/>
      <w:bCs/>
    </w:rPr>
  </w:style>
  <w:style w:type="character" w:customStyle="1" w:styleId="CommentSubjectChar">
    <w:name w:val="Comment Subject Char"/>
    <w:basedOn w:val="CommentTextChar"/>
    <w:link w:val="CommentSubject"/>
    <w:uiPriority w:val="99"/>
    <w:semiHidden/>
    <w:rsid w:val="00AC63DD"/>
    <w:rPr>
      <w:b/>
      <w:bCs/>
      <w:sz w:val="20"/>
      <w:szCs w:val="20"/>
    </w:rPr>
  </w:style>
  <w:style w:type="character" w:styleId="Hyperlink">
    <w:name w:val="Hyperlink"/>
    <w:basedOn w:val="DefaultParagraphFont"/>
    <w:uiPriority w:val="99"/>
    <w:unhideWhenUsed/>
    <w:rsid w:val="000022C4"/>
    <w:rPr>
      <w:color w:val="0563C1" w:themeColor="hyperlink"/>
      <w:u w:val="single"/>
    </w:rPr>
  </w:style>
  <w:style w:type="character" w:styleId="UnresolvedMention">
    <w:name w:val="Unresolved Mention"/>
    <w:basedOn w:val="DefaultParagraphFont"/>
    <w:uiPriority w:val="99"/>
    <w:semiHidden/>
    <w:unhideWhenUsed/>
    <w:rsid w:val="000022C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B70C2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Bibliography">
    <w:name w:val="Bibliography"/>
    <w:basedOn w:val="Normal"/>
    <w:next w:val="Normal"/>
    <w:uiPriority w:val="37"/>
    <w:unhideWhenUsed/>
    <w:rsid w:val="000D3318"/>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s://nrip.mnr.gov.on.ca/s/published-submission?language=en_US&amp;recordId=a0z3g000000ofQ2AAI" TargetMode="External"/><Relationship Id="rId26" Type="http://schemas.openxmlformats.org/officeDocument/2006/relationships/hyperlink" Target="https://www.ontario.ca/document/forest-resources-ontario-2011" TargetMode="External"/><Relationship Id="rId3" Type="http://schemas.openxmlformats.org/officeDocument/2006/relationships/styles" Target="styles.xml"/><Relationship Id="rId21" Type="http://schemas.openxmlformats.org/officeDocument/2006/relationships/hyperlink" Target="https://doi.org/10.2173/bow.woothr.01"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open.canada.ca/data/en/dataset/ba2645d5-4458-414d-b196-6303ac06c1c9" TargetMode="External"/><Relationship Id="rId25" Type="http://schemas.openxmlformats.org/officeDocument/2006/relationships/hyperlink" Target="https://drive.google.com/file/d/1TClNmbcLU_mwx051DT9jwRIPJtf3Pe6v/view" TargetMode="Externa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www.alces.ca/publications/download/406/Carlson%20et%20al%202014.pdf" TargetMode="External"/><Relationship Id="rId1" Type="http://schemas.openxmlformats.org/officeDocument/2006/relationships/customXml" Target="../customXml/item1.xml"/><Relationship Id="rId6" Type="http://schemas.openxmlformats.org/officeDocument/2006/relationships/hyperlink" Target="https://www.ontario.ca/page/deforestation" TargetMode="External"/><Relationship Id="rId11" Type="http://schemas.openxmlformats.org/officeDocument/2006/relationships/image" Target="media/image5.png"/><Relationship Id="rId24" Type="http://schemas.openxmlformats.org/officeDocument/2006/relationships/hyperlink" Target="https://geohub.lio.gov.on.ca/datasets/9de0dad6f1b3435eb46df8ee49f4ecfd" TargetMode="Externa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hyperlink" Target="https://doi.org/10.5281/zenodo.7153499"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nrip.mnr.gov.on.ca/s/published-submission?language=en_US&amp;recordId=a0z3g000000yyFUAAY"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mffp.gouv.qc.ca/the-forests/quebec-timber-production-strategy/?lang=en"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PZEG99Db4pLa/TpN3+HZMWV2Tw==">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36</Pages>
  <Words>21911</Words>
  <Characters>124898</Characters>
  <Application>Microsoft Office Word</Application>
  <DocSecurity>0</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Lionel Leston</dc:creator>
  <cp:lastModifiedBy>Lionel Leston</cp:lastModifiedBy>
  <cp:revision>15</cp:revision>
  <dcterms:created xsi:type="dcterms:W3CDTF">2022-06-17T22:47:00Z</dcterms:created>
  <dcterms:modified xsi:type="dcterms:W3CDTF">2023-03-08T17:50:00Z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id="WYqgb5zY"/&gt;&lt;style id="http://www.zotero.org/styles/biodiversity-and-conservation" hasBibliography="1" bibliographyStyleHasBeenSet="1"/&gt;&lt;prefs&gt;&lt;pref name="fieldType" value="Field"/&gt;&lt;pref name="aut</vt:lpwstr>
  </property>
  <property fmtid="{D5CDD505-2E9C-101B-9397-08002B2CF9AE}" pid="3" name="ZOTERO_PREF_2">
    <vt:lpwstr>omaticJournalAbbreviations" value="true"/&gt;&lt;/prefs&gt;&lt;/data&gt;</vt:lpwstr>
  </property>
</Properties>
</file>