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484563" w14:textId="7B5F46C5" w:rsidR="001334D7" w:rsidRPr="008A06C7" w:rsidRDefault="001334D7" w:rsidP="00115580">
      <w:pPr>
        <w:pStyle w:val="Caption"/>
        <w:keepNext/>
        <w:jc w:val="both"/>
        <w:rPr>
          <w:lang w:val="en-GB"/>
        </w:rPr>
      </w:pPr>
      <w:r w:rsidRPr="008A06C7">
        <w:rPr>
          <w:lang w:val="en-GB"/>
        </w:rPr>
        <w:t xml:space="preserve">Table </w:t>
      </w:r>
      <w:r w:rsidRPr="008A06C7">
        <w:rPr>
          <w:lang w:val="en-GB"/>
        </w:rPr>
        <w:fldChar w:fldCharType="begin"/>
      </w:r>
      <w:r w:rsidRPr="008A06C7">
        <w:rPr>
          <w:lang w:val="en-GB"/>
        </w:rPr>
        <w:instrText xml:space="preserve"> SEQ Table \* ARABIC </w:instrText>
      </w:r>
      <w:r w:rsidRPr="008A06C7">
        <w:rPr>
          <w:lang w:val="en-GB"/>
        </w:rPr>
        <w:fldChar w:fldCharType="separate"/>
      </w:r>
      <w:r w:rsidR="00341049" w:rsidRPr="008A06C7">
        <w:rPr>
          <w:noProof/>
          <w:lang w:val="en-GB"/>
        </w:rPr>
        <w:t>1</w:t>
      </w:r>
      <w:r w:rsidRPr="008A06C7">
        <w:rPr>
          <w:lang w:val="en-GB"/>
        </w:rPr>
        <w:fldChar w:fldCharType="end"/>
      </w:r>
      <w:r w:rsidRPr="008A06C7">
        <w:rPr>
          <w:lang w:val="en-GB"/>
        </w:rPr>
        <w:t>. Cohort demographics are presented as counts and percentages (%) for categorical data and means with interquartile range for continuous data.</w:t>
      </w:r>
    </w:p>
    <w:p w14:paraId="3927F393" w14:textId="7B705CF9" w:rsidR="001334D7" w:rsidRPr="008A06C7" w:rsidRDefault="001334D7" w:rsidP="00115580">
      <w:pPr>
        <w:jc w:val="both"/>
        <w:rPr>
          <w:rFonts w:asciiTheme="majorHAnsi" w:hAnsiTheme="majorHAnsi" w:cstheme="majorHAnsi"/>
          <w:lang w:val="en-GB"/>
        </w:rPr>
      </w:pPr>
      <w:r w:rsidRPr="008A06C7">
        <w:rPr>
          <w:noProof/>
          <w:lang w:val="en-GB"/>
        </w:rPr>
        <w:drawing>
          <wp:inline distT="0" distB="0" distL="0" distR="0" wp14:anchorId="4EC1B1A5" wp14:editId="1A4C261C">
            <wp:extent cx="5943600" cy="47663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4766365"/>
                    </a:xfrm>
                    <a:prstGeom prst="rect">
                      <a:avLst/>
                    </a:prstGeom>
                    <a:noFill/>
                    <a:ln>
                      <a:noFill/>
                    </a:ln>
                  </pic:spPr>
                </pic:pic>
              </a:graphicData>
            </a:graphic>
          </wp:inline>
        </w:drawing>
      </w:r>
      <w:r w:rsidR="007E47FA" w:rsidRPr="008A06C7">
        <w:rPr>
          <w:rStyle w:val="FootnoteReference"/>
          <w:rFonts w:asciiTheme="majorHAnsi" w:hAnsiTheme="majorHAnsi" w:cstheme="majorHAnsi"/>
          <w:lang w:val="en-GB"/>
        </w:rPr>
        <w:footnoteReference w:id="2"/>
      </w:r>
    </w:p>
    <w:p w14:paraId="5D911F2B" w14:textId="52EE3693" w:rsidR="00C01F53" w:rsidRPr="008A06C7" w:rsidRDefault="00C01F53" w:rsidP="00115580">
      <w:pPr>
        <w:pStyle w:val="Caption"/>
        <w:keepNext/>
        <w:jc w:val="both"/>
        <w:rPr>
          <w:lang w:val="en-GB"/>
        </w:rPr>
      </w:pPr>
      <w:r w:rsidRPr="008A06C7">
        <w:rPr>
          <w:lang w:val="en-GB"/>
        </w:rPr>
        <w:lastRenderedPageBreak/>
        <w:t xml:space="preserve">Table </w:t>
      </w:r>
      <w:r w:rsidRPr="008A06C7">
        <w:rPr>
          <w:lang w:val="en-GB"/>
        </w:rPr>
        <w:fldChar w:fldCharType="begin"/>
      </w:r>
      <w:r w:rsidRPr="008A06C7">
        <w:rPr>
          <w:lang w:val="en-GB"/>
        </w:rPr>
        <w:instrText xml:space="preserve"> SEQ Table \* ARABIC </w:instrText>
      </w:r>
      <w:r w:rsidRPr="008A06C7">
        <w:rPr>
          <w:lang w:val="en-GB"/>
        </w:rPr>
        <w:fldChar w:fldCharType="separate"/>
      </w:r>
      <w:r w:rsidR="00341049" w:rsidRPr="008A06C7">
        <w:rPr>
          <w:noProof/>
          <w:lang w:val="en-GB"/>
        </w:rPr>
        <w:t>2</w:t>
      </w:r>
      <w:r w:rsidRPr="008A06C7">
        <w:rPr>
          <w:lang w:val="en-GB"/>
        </w:rPr>
        <w:fldChar w:fldCharType="end"/>
      </w:r>
      <w:r w:rsidRPr="008A06C7">
        <w:rPr>
          <w:lang w:val="en-GB"/>
        </w:rPr>
        <w:t xml:space="preserve">. Compound concentrations </w:t>
      </w:r>
      <w:r w:rsidRPr="008A06C7">
        <w:rPr>
          <w:noProof/>
          <w:lang w:val="en-GB"/>
        </w:rPr>
        <w:t xml:space="preserve">per group are in </w:t>
      </w:r>
      <w:r w:rsidRPr="008A06C7">
        <w:rPr>
          <w:rFonts w:cstheme="minorHAnsi"/>
          <w:noProof/>
          <w:lang w:val="en-GB"/>
        </w:rPr>
        <w:t>µ</w:t>
      </w:r>
      <w:r w:rsidRPr="008A06C7">
        <w:rPr>
          <w:noProof/>
          <w:lang w:val="en-GB"/>
        </w:rPr>
        <w:t>M following the format of Q2 (Q1-Q3). Where Q2 represents the median value of the distribution and Q1 &amp; Q3 are the 25</w:t>
      </w:r>
      <w:r w:rsidRPr="008A06C7">
        <w:rPr>
          <w:noProof/>
          <w:vertAlign w:val="superscript"/>
          <w:lang w:val="en-GB"/>
        </w:rPr>
        <w:t>th</w:t>
      </w:r>
      <w:r w:rsidRPr="008A06C7">
        <w:rPr>
          <w:noProof/>
          <w:lang w:val="en-GB"/>
        </w:rPr>
        <w:t xml:space="preserve"> &amp; 75</w:t>
      </w:r>
      <w:r w:rsidRPr="008A06C7">
        <w:rPr>
          <w:noProof/>
          <w:vertAlign w:val="superscript"/>
          <w:lang w:val="en-GB"/>
        </w:rPr>
        <w:t>th</w:t>
      </w:r>
      <w:r w:rsidRPr="008A06C7">
        <w:rPr>
          <w:noProof/>
          <w:lang w:val="en-GB"/>
        </w:rPr>
        <w:t xml:space="preserve"> percentile respectivly. This format was selected as the measurements per group were not normally distributed.</w:t>
      </w:r>
    </w:p>
    <w:p w14:paraId="64B18706" w14:textId="6681573F" w:rsidR="0022509A" w:rsidRDefault="00C01F53" w:rsidP="00115580">
      <w:pPr>
        <w:jc w:val="both"/>
        <w:rPr>
          <w:rFonts w:asciiTheme="majorHAnsi" w:hAnsiTheme="majorHAnsi" w:cstheme="majorHAnsi"/>
          <w:lang w:val="en-GB"/>
        </w:rPr>
      </w:pPr>
      <w:r w:rsidRPr="008A06C7">
        <w:rPr>
          <w:noProof/>
          <w:lang w:val="en-GB"/>
        </w:rPr>
        <w:drawing>
          <wp:inline distT="0" distB="0" distL="0" distR="0" wp14:anchorId="1FB3868F" wp14:editId="453DE7DA">
            <wp:extent cx="5331572" cy="1948525"/>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49235" cy="1954980"/>
                    </a:xfrm>
                    <a:prstGeom prst="rect">
                      <a:avLst/>
                    </a:prstGeom>
                    <a:noFill/>
                    <a:ln>
                      <a:noFill/>
                    </a:ln>
                  </pic:spPr>
                </pic:pic>
              </a:graphicData>
            </a:graphic>
          </wp:inline>
        </w:drawing>
      </w:r>
    </w:p>
    <w:p w14:paraId="27AECC93" w14:textId="77777777" w:rsidR="0022509A" w:rsidRDefault="0022509A" w:rsidP="00115580">
      <w:pPr>
        <w:jc w:val="both"/>
        <w:rPr>
          <w:rFonts w:asciiTheme="majorHAnsi" w:hAnsiTheme="majorHAnsi" w:cstheme="majorHAnsi"/>
          <w:lang w:val="en-GB"/>
        </w:rPr>
      </w:pPr>
    </w:p>
    <w:p w14:paraId="099B0C62" w14:textId="77777777" w:rsidR="0022509A" w:rsidRDefault="0022509A" w:rsidP="00115580">
      <w:pPr>
        <w:jc w:val="both"/>
        <w:rPr>
          <w:rFonts w:asciiTheme="majorHAnsi" w:hAnsiTheme="majorHAnsi" w:cstheme="majorHAnsi"/>
          <w:lang w:val="en-GB"/>
        </w:rPr>
      </w:pPr>
    </w:p>
    <w:p w14:paraId="1589018B" w14:textId="4C733D02" w:rsidR="004E3169" w:rsidRDefault="004E3169" w:rsidP="00115580">
      <w:pPr>
        <w:jc w:val="both"/>
        <w:rPr>
          <w:lang w:val="en-GB"/>
        </w:rPr>
      </w:pPr>
    </w:p>
    <w:p w14:paraId="66B2C077" w14:textId="0C3D74DE" w:rsidR="00C01F53" w:rsidRPr="008A06C7" w:rsidRDefault="00C01F53" w:rsidP="00664FDD">
      <w:pPr>
        <w:pStyle w:val="MDPI31text"/>
        <w:keepNext/>
        <w:ind w:left="0" w:firstLine="0"/>
        <w:rPr>
          <w:lang w:val="en-GB"/>
        </w:rPr>
      </w:pPr>
    </w:p>
    <w:p w14:paraId="2B2B142F" w14:textId="2EB20E9D" w:rsidR="001334D7" w:rsidRPr="008A06C7" w:rsidRDefault="001334D7" w:rsidP="00115580">
      <w:pPr>
        <w:jc w:val="both"/>
        <w:rPr>
          <w:rFonts w:asciiTheme="majorHAnsi" w:hAnsiTheme="majorHAnsi" w:cstheme="majorHAnsi"/>
          <w:lang w:val="en-GB"/>
        </w:rPr>
      </w:pPr>
    </w:p>
    <w:p w14:paraId="1ADAE127" w14:textId="6820512B" w:rsidR="001334D7" w:rsidRPr="008A06C7" w:rsidRDefault="001334D7" w:rsidP="00115580">
      <w:pPr>
        <w:jc w:val="both"/>
        <w:rPr>
          <w:rFonts w:asciiTheme="majorHAnsi" w:hAnsiTheme="majorHAnsi" w:cstheme="majorHAnsi"/>
          <w:lang w:val="en-GB"/>
        </w:rPr>
      </w:pPr>
    </w:p>
    <w:p w14:paraId="7279CCC7" w14:textId="0002C5C3" w:rsidR="00E5018B" w:rsidRPr="00E5018B" w:rsidRDefault="00C01F53" w:rsidP="00FD774E">
      <w:pPr>
        <w:pStyle w:val="Caption"/>
        <w:keepNext/>
        <w:jc w:val="both"/>
        <w:rPr>
          <w:lang w:val="en-GB"/>
        </w:rPr>
      </w:pPr>
      <w:r w:rsidRPr="008A06C7">
        <w:rPr>
          <w:lang w:val="en-GB"/>
        </w:rPr>
        <w:lastRenderedPageBreak/>
        <w:t xml:space="preserve">Table </w:t>
      </w:r>
      <w:r w:rsidRPr="008A06C7">
        <w:rPr>
          <w:lang w:val="en-GB"/>
        </w:rPr>
        <w:fldChar w:fldCharType="begin"/>
      </w:r>
      <w:r w:rsidRPr="008A06C7">
        <w:rPr>
          <w:lang w:val="en-GB"/>
        </w:rPr>
        <w:instrText xml:space="preserve"> SEQ Table \* ARABIC </w:instrText>
      </w:r>
      <w:r w:rsidRPr="008A06C7">
        <w:rPr>
          <w:lang w:val="en-GB"/>
        </w:rPr>
        <w:fldChar w:fldCharType="separate"/>
      </w:r>
      <w:r w:rsidR="00341049" w:rsidRPr="008A06C7">
        <w:rPr>
          <w:noProof/>
          <w:lang w:val="en-GB"/>
        </w:rPr>
        <w:t>3</w:t>
      </w:r>
      <w:r w:rsidRPr="008A06C7">
        <w:rPr>
          <w:lang w:val="en-GB"/>
        </w:rPr>
        <w:fldChar w:fldCharType="end"/>
      </w:r>
      <w:r w:rsidRPr="008A06C7">
        <w:rPr>
          <w:lang w:val="en-GB"/>
        </w:rPr>
        <w:t>. Results from logistic regression comparing COVID-19 to control, severe cases to non-severe and deceased to discharged patients.</w:t>
      </w:r>
    </w:p>
    <w:p w14:paraId="3AD6CABE" w14:textId="67CFAF7D" w:rsidR="00C01F53" w:rsidRPr="008A06C7" w:rsidRDefault="00FD774E" w:rsidP="00115580">
      <w:pPr>
        <w:jc w:val="both"/>
        <w:rPr>
          <w:rFonts w:asciiTheme="majorHAnsi" w:hAnsiTheme="majorHAnsi" w:cstheme="majorHAnsi"/>
          <w:lang w:val="en-GB"/>
        </w:rPr>
      </w:pPr>
      <w:r w:rsidRPr="00FD774E">
        <w:rPr>
          <w:noProof/>
        </w:rPr>
        <w:drawing>
          <wp:inline distT="0" distB="0" distL="0" distR="0" wp14:anchorId="13100D79" wp14:editId="3BAD7A7C">
            <wp:extent cx="5873750" cy="295381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84221" cy="2959084"/>
                    </a:xfrm>
                    <a:prstGeom prst="rect">
                      <a:avLst/>
                    </a:prstGeom>
                    <a:noFill/>
                    <a:ln>
                      <a:noFill/>
                    </a:ln>
                  </pic:spPr>
                </pic:pic>
              </a:graphicData>
            </a:graphic>
          </wp:inline>
        </w:drawing>
      </w:r>
      <w:r w:rsidR="006F3FB2">
        <w:rPr>
          <w:rStyle w:val="FootnoteReference"/>
          <w:rFonts w:asciiTheme="majorHAnsi" w:hAnsiTheme="majorHAnsi" w:cstheme="majorHAnsi"/>
          <w:lang w:val="en-GB"/>
        </w:rPr>
        <w:footnoteReference w:id="3"/>
      </w:r>
    </w:p>
    <w:p w14:paraId="3FBDA521" w14:textId="315A4186" w:rsidR="001334D7" w:rsidRPr="008A06C7" w:rsidRDefault="001334D7" w:rsidP="00115580">
      <w:pPr>
        <w:jc w:val="both"/>
        <w:rPr>
          <w:rFonts w:asciiTheme="majorHAnsi" w:hAnsiTheme="majorHAnsi" w:cstheme="majorHAnsi"/>
          <w:lang w:val="en-GB"/>
        </w:rPr>
      </w:pPr>
    </w:p>
    <w:p w14:paraId="2B6AE817" w14:textId="77777777" w:rsidR="00664FDD" w:rsidRDefault="00664FDD" w:rsidP="00115580">
      <w:pPr>
        <w:pStyle w:val="Caption"/>
        <w:keepNext/>
        <w:jc w:val="both"/>
        <w:rPr>
          <w:lang w:val="en-GB"/>
        </w:rPr>
      </w:pPr>
    </w:p>
    <w:p w14:paraId="07C8406E" w14:textId="77777777" w:rsidR="00664FDD" w:rsidRDefault="00664FDD" w:rsidP="00115580">
      <w:pPr>
        <w:pStyle w:val="Caption"/>
        <w:keepNext/>
        <w:jc w:val="both"/>
        <w:rPr>
          <w:lang w:val="en-GB"/>
        </w:rPr>
      </w:pPr>
    </w:p>
    <w:p w14:paraId="19679F1D" w14:textId="77777777" w:rsidR="00664FDD" w:rsidRDefault="00664FDD" w:rsidP="00115580">
      <w:pPr>
        <w:pStyle w:val="Caption"/>
        <w:keepNext/>
        <w:jc w:val="both"/>
        <w:rPr>
          <w:lang w:val="en-GB"/>
        </w:rPr>
      </w:pPr>
    </w:p>
    <w:p w14:paraId="27BFE7D1" w14:textId="77777777" w:rsidR="00664FDD" w:rsidRDefault="00664FDD" w:rsidP="00115580">
      <w:pPr>
        <w:pStyle w:val="Caption"/>
        <w:keepNext/>
        <w:jc w:val="both"/>
        <w:rPr>
          <w:lang w:val="en-GB"/>
        </w:rPr>
      </w:pPr>
    </w:p>
    <w:p w14:paraId="7DC7FE3D" w14:textId="77777777" w:rsidR="00664FDD" w:rsidRDefault="00664FDD" w:rsidP="00115580">
      <w:pPr>
        <w:pStyle w:val="Caption"/>
        <w:keepNext/>
        <w:jc w:val="both"/>
        <w:rPr>
          <w:lang w:val="en-GB"/>
        </w:rPr>
      </w:pPr>
    </w:p>
    <w:p w14:paraId="47BEE03D" w14:textId="77777777" w:rsidR="00664FDD" w:rsidRDefault="00664FDD" w:rsidP="00115580">
      <w:pPr>
        <w:pStyle w:val="Caption"/>
        <w:keepNext/>
        <w:jc w:val="both"/>
        <w:rPr>
          <w:lang w:val="en-GB"/>
        </w:rPr>
      </w:pPr>
    </w:p>
    <w:p w14:paraId="2AFD9FDF" w14:textId="2DE5283D" w:rsidR="00664FDD" w:rsidRDefault="00664FDD" w:rsidP="00115580">
      <w:pPr>
        <w:pStyle w:val="Caption"/>
        <w:keepNext/>
        <w:jc w:val="both"/>
        <w:rPr>
          <w:lang w:val="en-GB"/>
        </w:rPr>
      </w:pPr>
    </w:p>
    <w:p w14:paraId="4B456841" w14:textId="77777777" w:rsidR="00664FDD" w:rsidRPr="00664FDD" w:rsidRDefault="00664FDD" w:rsidP="00664FDD">
      <w:pPr>
        <w:rPr>
          <w:lang w:val="en-GB"/>
        </w:rPr>
      </w:pPr>
    </w:p>
    <w:p w14:paraId="4F9DFD3F" w14:textId="0395F5A6" w:rsidR="00330CD9" w:rsidRPr="008A06C7" w:rsidRDefault="00330CD9" w:rsidP="00115580">
      <w:pPr>
        <w:pStyle w:val="Caption"/>
        <w:keepNext/>
        <w:jc w:val="both"/>
        <w:rPr>
          <w:lang w:val="en-GB"/>
        </w:rPr>
      </w:pPr>
      <w:r w:rsidRPr="008A06C7">
        <w:rPr>
          <w:lang w:val="en-GB"/>
        </w:rPr>
        <w:lastRenderedPageBreak/>
        <w:t xml:space="preserve">Table </w:t>
      </w:r>
      <w:r w:rsidRPr="008A06C7">
        <w:rPr>
          <w:lang w:val="en-GB"/>
        </w:rPr>
        <w:fldChar w:fldCharType="begin"/>
      </w:r>
      <w:r w:rsidRPr="008A06C7">
        <w:rPr>
          <w:lang w:val="en-GB"/>
        </w:rPr>
        <w:instrText xml:space="preserve"> SEQ Table \* ARABIC </w:instrText>
      </w:r>
      <w:r w:rsidRPr="008A06C7">
        <w:rPr>
          <w:lang w:val="en-GB"/>
        </w:rPr>
        <w:fldChar w:fldCharType="separate"/>
      </w:r>
      <w:r w:rsidR="00341049" w:rsidRPr="008A06C7">
        <w:rPr>
          <w:noProof/>
          <w:lang w:val="en-GB"/>
        </w:rPr>
        <w:t>4</w:t>
      </w:r>
      <w:r w:rsidRPr="008A06C7">
        <w:rPr>
          <w:lang w:val="en-GB"/>
        </w:rPr>
        <w:fldChar w:fldCharType="end"/>
      </w:r>
      <w:r w:rsidRPr="008A06C7">
        <w:rPr>
          <w:lang w:val="en-GB"/>
        </w:rPr>
        <w:t>. Results from multi compound logistic regression presented in terms of mean area under the curve (AUC) and its standard deviation (SD) as calculated by Monte Carlo cross validation. In addition, mean balanced accuracy is presented to aid interpretation (with threshold of 50%). A model based on existing clinical data predicts severity very well mainly because FiO2 is key to determining severity. The same model in COVID-19 outcome provides a reasonable performance. In both cases the addition of KYNA/TRP ratio improves the model and in COVID-19 outcome KYNA/TRP offers more predictive power than clinical data.</w:t>
      </w:r>
    </w:p>
    <w:p w14:paraId="355B0FCA" w14:textId="77777777" w:rsidR="00330CD9" w:rsidRPr="008A06C7" w:rsidRDefault="00330CD9" w:rsidP="00115580">
      <w:pPr>
        <w:jc w:val="both"/>
        <w:rPr>
          <w:lang w:val="en-GB"/>
        </w:rPr>
      </w:pPr>
    </w:p>
    <w:p w14:paraId="7AEA8976" w14:textId="20750E0F" w:rsidR="00330CD9" w:rsidRPr="008A06C7" w:rsidRDefault="00330CD9" w:rsidP="00115580">
      <w:pPr>
        <w:jc w:val="both"/>
        <w:rPr>
          <w:rFonts w:asciiTheme="majorHAnsi" w:hAnsiTheme="majorHAnsi" w:cstheme="majorHAnsi"/>
          <w:lang w:val="en-GB"/>
        </w:rPr>
      </w:pPr>
      <w:r w:rsidRPr="008A06C7">
        <w:rPr>
          <w:noProof/>
          <w:lang w:val="en-GB"/>
        </w:rPr>
        <w:drawing>
          <wp:inline distT="0" distB="0" distL="0" distR="0" wp14:anchorId="45A9167D" wp14:editId="02D0865E">
            <wp:extent cx="5181600" cy="2304733"/>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93025" cy="2309815"/>
                    </a:xfrm>
                    <a:prstGeom prst="rect">
                      <a:avLst/>
                    </a:prstGeom>
                    <a:noFill/>
                    <a:ln>
                      <a:noFill/>
                    </a:ln>
                  </pic:spPr>
                </pic:pic>
              </a:graphicData>
            </a:graphic>
          </wp:inline>
        </w:drawing>
      </w:r>
    </w:p>
    <w:p w14:paraId="0DEEE033" w14:textId="5E1D2FD9" w:rsidR="00341049" w:rsidRDefault="00341049" w:rsidP="00664FDD">
      <w:pPr>
        <w:pStyle w:val="Heading1"/>
        <w:numPr>
          <w:ilvl w:val="0"/>
          <w:numId w:val="0"/>
        </w:numPr>
        <w:jc w:val="both"/>
        <w:rPr>
          <w:lang w:val="en-GB"/>
        </w:rPr>
      </w:pPr>
    </w:p>
    <w:p w14:paraId="20C17B57" w14:textId="77777777" w:rsidR="00664FDD" w:rsidRPr="00664FDD" w:rsidRDefault="00664FDD" w:rsidP="00664FDD">
      <w:pPr>
        <w:rPr>
          <w:lang w:val="en-GB"/>
        </w:rPr>
      </w:pPr>
    </w:p>
    <w:p w14:paraId="5FF9604C" w14:textId="1768C6FC" w:rsidR="00341049" w:rsidRPr="008A06C7" w:rsidRDefault="00341049" w:rsidP="00115580">
      <w:pPr>
        <w:pStyle w:val="Caption"/>
        <w:keepNext/>
        <w:jc w:val="both"/>
        <w:rPr>
          <w:lang w:val="en-GB"/>
        </w:rPr>
      </w:pPr>
      <w:r w:rsidRPr="008A06C7">
        <w:rPr>
          <w:lang w:val="en-GB"/>
        </w:rPr>
        <w:t xml:space="preserve">Table </w:t>
      </w:r>
      <w:r w:rsidRPr="008A06C7">
        <w:rPr>
          <w:lang w:val="en-GB"/>
        </w:rPr>
        <w:fldChar w:fldCharType="begin"/>
      </w:r>
      <w:r w:rsidRPr="008A06C7">
        <w:rPr>
          <w:lang w:val="en-GB"/>
        </w:rPr>
        <w:instrText xml:space="preserve"> SEQ Table \* ARABIC </w:instrText>
      </w:r>
      <w:r w:rsidRPr="008A06C7">
        <w:rPr>
          <w:lang w:val="en-GB"/>
        </w:rPr>
        <w:fldChar w:fldCharType="separate"/>
      </w:r>
      <w:r w:rsidRPr="008A06C7">
        <w:rPr>
          <w:noProof/>
          <w:lang w:val="en-GB"/>
        </w:rPr>
        <w:t>5</w:t>
      </w:r>
      <w:r w:rsidRPr="008A06C7">
        <w:rPr>
          <w:lang w:val="en-GB"/>
        </w:rPr>
        <w:fldChar w:fldCharType="end"/>
      </w:r>
      <w:r w:rsidRPr="008A06C7">
        <w:rPr>
          <w:lang w:val="en-GB"/>
        </w:rPr>
        <w:t>. MS method details per compound including retention time (RT), collision energy (N)CE in higher energy C trap dissociation (HCD) cell and parallel reaction monitoring (PRM) as precursor, quantitative target, confirming ion and fragment when applicable.</w:t>
      </w:r>
    </w:p>
    <w:p w14:paraId="61B11892" w14:textId="0D6E6587" w:rsidR="00341049" w:rsidRPr="008A06C7" w:rsidRDefault="00341049" w:rsidP="00115580">
      <w:pPr>
        <w:jc w:val="both"/>
        <w:rPr>
          <w:rFonts w:asciiTheme="majorHAnsi" w:hAnsiTheme="majorHAnsi" w:cstheme="majorHAnsi"/>
          <w:lang w:val="en-GB"/>
        </w:rPr>
      </w:pPr>
      <w:r w:rsidRPr="008A06C7">
        <w:rPr>
          <w:noProof/>
          <w:lang w:val="en-GB"/>
        </w:rPr>
        <w:drawing>
          <wp:inline distT="0" distB="0" distL="0" distR="0" wp14:anchorId="5F39AE94" wp14:editId="4F8C8864">
            <wp:extent cx="5943600" cy="163885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1638851"/>
                    </a:xfrm>
                    <a:prstGeom prst="rect">
                      <a:avLst/>
                    </a:prstGeom>
                    <a:noFill/>
                    <a:ln>
                      <a:noFill/>
                    </a:ln>
                  </pic:spPr>
                </pic:pic>
              </a:graphicData>
            </a:graphic>
          </wp:inline>
        </w:drawing>
      </w:r>
    </w:p>
    <w:p w14:paraId="19E564D8" w14:textId="66C95376" w:rsidR="001334D7" w:rsidRPr="008A06C7" w:rsidRDefault="001334D7" w:rsidP="00115580">
      <w:pPr>
        <w:jc w:val="both"/>
        <w:rPr>
          <w:rFonts w:asciiTheme="majorHAnsi" w:hAnsiTheme="majorHAnsi" w:cstheme="majorHAnsi"/>
          <w:lang w:val="en-GB"/>
        </w:rPr>
      </w:pPr>
    </w:p>
    <w:sectPr w:rsidR="001334D7" w:rsidRPr="008A06C7" w:rsidSect="006F3592">
      <w:footerReference w:type="default" r:id="rId13"/>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A8A0C9" w14:textId="77777777" w:rsidR="00875AB1" w:rsidRDefault="00875AB1" w:rsidP="007E47FA">
      <w:pPr>
        <w:spacing w:after="0" w:line="240" w:lineRule="auto"/>
      </w:pPr>
      <w:r>
        <w:separator/>
      </w:r>
    </w:p>
  </w:endnote>
  <w:endnote w:type="continuationSeparator" w:id="0">
    <w:p w14:paraId="49B27205" w14:textId="77777777" w:rsidR="00875AB1" w:rsidRDefault="00875AB1" w:rsidP="007E47FA">
      <w:pPr>
        <w:spacing w:after="0" w:line="240" w:lineRule="auto"/>
      </w:pPr>
      <w:r>
        <w:continuationSeparator/>
      </w:r>
    </w:p>
  </w:endnote>
  <w:endnote w:type="continuationNotice" w:id="1">
    <w:p w14:paraId="1AF2CE26" w14:textId="77777777" w:rsidR="00875AB1" w:rsidRDefault="00875A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27287618"/>
      <w:docPartObj>
        <w:docPartGallery w:val="Page Numbers (Bottom of Page)"/>
        <w:docPartUnique/>
      </w:docPartObj>
    </w:sdtPr>
    <w:sdtEndPr>
      <w:rPr>
        <w:noProof/>
      </w:rPr>
    </w:sdtEndPr>
    <w:sdtContent>
      <w:p w14:paraId="38EC048F" w14:textId="43D3C047" w:rsidR="00F77511" w:rsidRDefault="00F7751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C7F8E2" w14:textId="77777777" w:rsidR="00F77511" w:rsidRDefault="00F775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EFF5D6" w14:textId="77777777" w:rsidR="00875AB1" w:rsidRDefault="00875AB1" w:rsidP="007E47FA">
      <w:pPr>
        <w:spacing w:after="0" w:line="240" w:lineRule="auto"/>
      </w:pPr>
      <w:r>
        <w:separator/>
      </w:r>
    </w:p>
  </w:footnote>
  <w:footnote w:type="continuationSeparator" w:id="0">
    <w:p w14:paraId="7D7C0C67" w14:textId="77777777" w:rsidR="00875AB1" w:rsidRDefault="00875AB1" w:rsidP="007E47FA">
      <w:pPr>
        <w:spacing w:after="0" w:line="240" w:lineRule="auto"/>
      </w:pPr>
      <w:r>
        <w:continuationSeparator/>
      </w:r>
    </w:p>
  </w:footnote>
  <w:footnote w:type="continuationNotice" w:id="1">
    <w:p w14:paraId="3E25AE10" w14:textId="77777777" w:rsidR="00875AB1" w:rsidRDefault="00875AB1">
      <w:pPr>
        <w:spacing w:after="0" w:line="240" w:lineRule="auto"/>
      </w:pPr>
    </w:p>
  </w:footnote>
  <w:footnote w:id="2">
    <w:p w14:paraId="20ABBA90" w14:textId="6CAA811E" w:rsidR="007E47FA" w:rsidRPr="00330CD9" w:rsidRDefault="007E47FA">
      <w:pPr>
        <w:pStyle w:val="FootnoteText"/>
        <w:rPr>
          <w:lang w:val="en-GB"/>
        </w:rPr>
      </w:pPr>
      <w:r w:rsidRPr="00330CD9">
        <w:rPr>
          <w:rStyle w:val="FootnoteReference"/>
          <w:lang w:val="en-GB"/>
        </w:rPr>
        <w:footnoteRef/>
      </w:r>
      <w:r w:rsidRPr="00330CD9">
        <w:rPr>
          <w:lang w:val="en-GB"/>
        </w:rPr>
        <w:t xml:space="preserve"> P-values indicating significant differences between groups follow ‘star’ notation i.e., ‘***’ correspond to p-values &lt; 0.001, ‘**’ &lt; 0.01, ‘*’ &lt; 0.05, ‘.’ &lt; 0.1 and missing when &gt; 0.1. P-values for severity were calculated by comparing severe case to the combined population of mild and intermediate cases. The study compared 46 control individuals to 95 COVID-19 patients. Only limited clinical information was available for the control population. From the COVID-19 cohort 44 patients developed severe symptoms and 23 patients died as a result of the infection. Some disparity can be observed in gender as women represent 41% of the severe cases and only 35% of the deceased patients. It can be noted that severe case and poor outcome groups have higher mean age; however, groups are well balanced in age between the control and COVID-19 cohorts. BMI differences are significant in severity and disease, but not in outcome. Hypertension showed significant in severity but not in outcome. Cardiac disease refers to multiple cardiovascular conditions, most frequently: ischemic heart disease, atrial fibrillation, and heart failure. Kidney disease is a grouping of stages G2 to G5 of chronic kidney disease as defined by the National Institute for Health and Care Excellence </w:t>
      </w:r>
      <w:r w:rsidRPr="00330CD9">
        <w:rPr>
          <w:lang w:val="en-GB"/>
        </w:rPr>
        <w:fldChar w:fldCharType="begin"/>
      </w:r>
      <w:r w:rsidR="00E943F6">
        <w:rPr>
          <w:lang w:val="en-GB"/>
        </w:rPr>
        <w:instrText xml:space="preserve"> ADDIN EN.CITE &lt;EndNote&gt;&lt;Cite&gt;&lt;Author&gt;NICE&lt;/Author&gt;&lt;Year&gt;2015&lt;/Year&gt;&lt;RecNum&gt;160&lt;/RecNum&gt;&lt;DisplayText&gt;NICE (2015). Chronic kidney disease in adults: assessment and management Clinical guideline [CG182].&lt;/DisplayText&gt;&lt;record&gt;&lt;rec-number&gt;160&lt;/rec-number&gt;&lt;foreign-keys&gt;&lt;key app="EN" db-id="fvt9pdzvn0wztmesfpuvs2x0w2fw09x0r5f0" timestamp="1673529991" guid="915cac74-0337-4169-bbce-d12fc334ef1f"&gt;160&lt;/key&gt;&lt;/foreign-keys&gt;&lt;ref-type name="Standard"&gt;58&lt;/ref-type&gt;&lt;contributors&gt;&lt;authors&gt;&lt;author&gt;NICE&lt;/author&gt;&lt;/authors&gt;&lt;/contributors&gt;&lt;titles&gt;&lt;title&gt;Chronic kidney disease in adults: assessment and management Clinical guideline [CG182]&lt;/title&gt;&lt;/titles&gt;&lt;dates&gt;&lt;year&gt;2015&lt;/year&gt;&lt;/dates&gt;&lt;work-type&gt;Guidance&lt;/work-type&gt;&lt;urls&gt;&lt;/urls&gt;&lt;/record&gt;&lt;/Cite&gt;&lt;/EndNote&gt;</w:instrText>
      </w:r>
      <w:r w:rsidRPr="00330CD9">
        <w:rPr>
          <w:lang w:val="en-GB"/>
        </w:rPr>
        <w:fldChar w:fldCharType="separate"/>
      </w:r>
      <w:r w:rsidR="00E943F6">
        <w:rPr>
          <w:noProof/>
          <w:lang w:val="en-GB"/>
        </w:rPr>
        <w:t>NICE (2015). Chronic kidney disease in adults: assessment and management Clinical guideline [CG182].</w:t>
      </w:r>
      <w:r w:rsidRPr="00330CD9">
        <w:rPr>
          <w:lang w:val="en-GB"/>
        </w:rPr>
        <w:fldChar w:fldCharType="end"/>
      </w:r>
      <w:r w:rsidRPr="00330CD9">
        <w:rPr>
          <w:lang w:val="en-GB"/>
        </w:rPr>
        <w:t xml:space="preserve">. Liver disease in most cases refers to cirrhosis and hepatitis. Malignancy cases vary from lung, bladder, prostate, skin cancer to haematological. Those underlying conditions did not show significant differences in severe infections or poor outcome. Severity score metrics based on the 4C Mortality score </w:t>
      </w:r>
      <w:r w:rsidRPr="00330CD9">
        <w:rPr>
          <w:lang w:val="en-GB"/>
        </w:rPr>
        <w:fldChar w:fldCharType="begin"/>
      </w:r>
      <w:r w:rsidR="00D56982">
        <w:rPr>
          <w:lang w:val="en-GB"/>
        </w:rPr>
        <w:instrText xml:space="preserve"> ADDIN EN.CITE &lt;EndNote&gt;&lt;Cite&gt;&lt;Author&gt;Knight&lt;/Author&gt;&lt;Year&gt;2020&lt;/Year&gt;&lt;RecNum&gt;159&lt;/RecNum&gt;&lt;DisplayText&gt;Knight, S.R., Ho, A., Pius, R., Buchan, I., Carson, G., Drake, T.M., Dunning, J., Fairfield, C.J., Gamble, C., and Green, C.A. (2020). Risk stratification of patients admitted to hospital with covid-19 using the ISARIC WHO Clinical Characterisation Protocol: development and validation of the 4C Mortality Score. bmj&lt;style face="italic"&gt; 370&lt;/style&gt;.&lt;/DisplayText&gt;&lt;record&gt;&lt;rec-number&gt;159&lt;/rec-number&gt;&lt;foreign-keys&gt;&lt;key app="EN" db-id="fvt9pdzvn0wztmesfpuvs2x0w2fw09x0r5f0" timestamp="1673526670" guid="2496c495-b7d5-4954-bb84-12aee79568be"&gt;159&lt;/key&gt;&lt;/foreign-keys&gt;&lt;ref-type name="Journal Article"&gt;17&lt;/ref-type&gt;&lt;contributors&gt;&lt;authors&gt;&lt;author&gt;Knight, Stephen R&lt;/author&gt;&lt;author&gt;Ho, Antonia&lt;/author&gt;&lt;author&gt;Pius, Riinu&lt;/author&gt;&lt;author&gt;Buchan, Iain&lt;/author&gt;&lt;author&gt;Carson, Gail&lt;/author&gt;&lt;author&gt;Drake, Thomas M&lt;/author&gt;&lt;author&gt;Dunning, Jake&lt;/author&gt;&lt;author&gt;Fairfield, Cameron J&lt;/author&gt;&lt;author&gt;Gamble, Carrol&lt;/author&gt;&lt;author&gt;Green, Christopher A&lt;/author&gt;&lt;/authors&gt;&lt;/contributors&gt;&lt;titles&gt;&lt;title&gt;Risk stratification of patients admitted to hospital with covid-19 using the ISARIC WHO Clinical Characterisation Protocol: development and validation of the 4C Mortality Score&lt;/title&gt;&lt;secondary-title&gt;bmj&lt;/secondary-title&gt;&lt;/titles&gt;&lt;periodical&gt;&lt;full-title&gt;bmj&lt;/full-title&gt;&lt;/periodical&gt;&lt;volume&gt;370&lt;/volume&gt;&lt;dates&gt;&lt;year&gt;2020&lt;/year&gt;&lt;/dates&gt;&lt;isbn&gt;1756-1833&lt;/isbn&gt;&lt;urls&gt;&lt;/urls&gt;&lt;/record&gt;&lt;/Cite&gt;&lt;/EndNote&gt;</w:instrText>
      </w:r>
      <w:r w:rsidRPr="00330CD9">
        <w:rPr>
          <w:lang w:val="en-GB"/>
        </w:rPr>
        <w:fldChar w:fldCharType="separate"/>
      </w:r>
      <w:r w:rsidR="00D56982">
        <w:rPr>
          <w:noProof/>
          <w:lang w:val="en-GB"/>
        </w:rPr>
        <w:t>Knight, S.R., Ho, A., Pius, R., Buchan, I., Carson, G., Drake, T.M., Dunning, J., Fairfield, C.J., Gamble, C., and Green, C.A. (2020). Risk stratification of patients admitted to hospital with covid-19 using the ISARIC WHO Clinical Characterisation Protocol: development and validation of the 4C Mortality Score. bmj</w:t>
      </w:r>
      <w:r w:rsidR="00D56982" w:rsidRPr="00D56982">
        <w:rPr>
          <w:i/>
          <w:noProof/>
          <w:lang w:val="en-GB"/>
        </w:rPr>
        <w:t xml:space="preserve"> 370</w:t>
      </w:r>
      <w:r w:rsidR="00D56982">
        <w:rPr>
          <w:noProof/>
          <w:lang w:val="en-GB"/>
        </w:rPr>
        <w:t>.</w:t>
      </w:r>
      <w:r w:rsidRPr="00330CD9">
        <w:rPr>
          <w:lang w:val="en-GB"/>
        </w:rPr>
        <w:fldChar w:fldCharType="end"/>
      </w:r>
      <w:r w:rsidRPr="00330CD9">
        <w:rPr>
          <w:lang w:val="en-GB"/>
        </w:rPr>
        <w:t xml:space="preserve"> are provided as group means. O2 support indicates the number of patients that required oxygen support at any time during their hospitalization. Mechanical respiratory support indicates the need of invasive support or continuous positive airway pressure (CPAP). Max FiO2 captures the maximum fraction of inspired oxygen required by the patient during the hospitalization period, where respiratory support captures the patients requiring any support at diagnosis and FiO2 represents the fraction of inspired oxygen required at time of sample acquisition. As expected, oxygen need and inspired fraction, are highly correlated with severity and in some cases with fatal outcome. National Early Warning Score (NEWS) also showed correlation with both severity and outcome. Despite kidney disease classification not showing correlation, estimated Glomerular Filtration Rate (eGFR) levels were significantly different across severity and outcome classes. Fever (temperature ≥ 38 °C), cough, shortness of breath (SOB), pulse and systolic blood pressure (BP) were noted at time of sample acquisition and did not show relation to severity or outcome. Respiratory rate also taken at samples acquisition showed correlation with severity. Haemoglobin levels (Hb), white blood cell count (WBC), lymphocyte count (Lymphs), platelets count (PLTs), haematocrit (HCT) and alanine aminotransferase (ALT) measured at sample acquisition did not show significant correlation with severity and outcome except Hb in outcome. Urea, creatinine, and C-reactive protein (CRP) concentrations are consistently elevated in severe and deceased patients. Hb, WBC, Lymphs, PLTs and HCT were measured on </w:t>
      </w:r>
      <w:r w:rsidR="009E012B">
        <w:rPr>
          <w:rFonts w:eastAsia="Times New Roman"/>
          <w:lang w:val="en-GB"/>
        </w:rPr>
        <w:t>Beckman Coulter DxH800</w:t>
      </w:r>
      <w:r w:rsidRPr="00330CD9">
        <w:rPr>
          <w:lang w:val="en-GB"/>
        </w:rPr>
        <w:t xml:space="preserve">. ALT, urea, creatinine and CRP were measured on a </w:t>
      </w:r>
      <w:r w:rsidR="009E012B">
        <w:rPr>
          <w:rFonts w:eastAsia="Times New Roman"/>
          <w:lang w:val="en-GB"/>
        </w:rPr>
        <w:t>Roche immunoturbidimetric assay on COBAS e602 platform</w:t>
      </w:r>
      <w:r w:rsidRPr="00330CD9">
        <w:rPr>
          <w:lang w:val="en-GB"/>
        </w:rPr>
        <w:t xml:space="preserve">.  Reference ranges for normal population are provided in square brackets </w:t>
      </w:r>
      <w:r w:rsidR="009E012B" w:rsidRPr="009E012B">
        <w:rPr>
          <w:lang w:val="en-GB"/>
        </w:rPr>
        <w:t>[]</w:t>
      </w:r>
      <w:r w:rsidRPr="009E012B">
        <w:rPr>
          <w:lang w:val="en-GB"/>
        </w:rPr>
        <w:t xml:space="preserve"> </w:t>
      </w:r>
      <w:r w:rsidRPr="00330CD9">
        <w:rPr>
          <w:lang w:val="en-GB"/>
        </w:rPr>
        <w:t>when available.</w:t>
      </w:r>
    </w:p>
  </w:footnote>
  <w:footnote w:id="3">
    <w:p w14:paraId="258C4686" w14:textId="54D8A683" w:rsidR="006F3FB2" w:rsidRDefault="006F3FB2">
      <w:pPr>
        <w:pStyle w:val="FootnoteText"/>
      </w:pPr>
      <w:r>
        <w:rPr>
          <w:rStyle w:val="FootnoteReference"/>
        </w:rPr>
        <w:footnoteRef/>
      </w:r>
      <w:r>
        <w:t xml:space="preserve"> </w:t>
      </w:r>
      <w:r w:rsidRPr="00330CD9">
        <w:rPr>
          <w:lang w:val="en-GB"/>
        </w:rPr>
        <w:t>Note the concentrations were scaled prior to analysis to support comparison between compounds. Mild COVID-19 patients’ group (n=28) and discharged COVID-19 patients’ group (n=72) were compared to control patients. All results are presented as ORs and 90% CIs. Significant relationships with OR &gt; 2 or &lt; 0.5 are coloured in dark blue and significant relationship with smaller effect are coloured in light blue to enhance readability. The strongest differentiator of COVID-19 cases vs. controls was the level of ddhC which, for most cases, is non-existent in control patients. In general, the mild and discharged patient population is quite comparable to the control population, despite significant logistic regression results indicting lower levels in mild COVID-19 cases e.g., KYNA, KYN, KYNA/TRP. As shown in the case for KYNA/TRP (SI Figure 14) those results are mainly influenced by outliers in the control population rather than general trends. In severity all compounds were significant except tryptophan and ddhC. When looking at the ratios KYNA/TRP ratio shows the strongest OR summarising the trends in the TRP degradation pathway. In outcome KYNA has the strongest relationship to poor outcome with KYNA/KYN ratios. Finally, C4 and iso-C4 carnitines show significance in severity and outcome, where age partially explains the relationship to outcome. No relation of the C4/iso-C4 ratio in COVID-19 severity or outcome was observed.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368352E"/>
    <w:multiLevelType w:val="multilevel"/>
    <w:tmpl w:val="7408C3F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621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ell&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vt9pdzvn0wztmesfpuvs2x0w2fw09x0r5f0&quot;&gt;My EndNote Library&lt;record-ids&gt;&lt;item&gt;3&lt;/item&gt;&lt;item&gt;103&lt;/item&gt;&lt;item&gt;117&lt;/item&gt;&lt;item&gt;153&lt;/item&gt;&lt;item&gt;158&lt;/item&gt;&lt;item&gt;159&lt;/item&gt;&lt;item&gt;160&lt;/item&gt;&lt;item&gt;162&lt;/item&gt;&lt;item&gt;170&lt;/item&gt;&lt;item&gt;171&lt;/item&gt;&lt;item&gt;172&lt;/item&gt;&lt;item&gt;173&lt;/item&gt;&lt;item&gt;174&lt;/item&gt;&lt;item&gt;175&lt;/item&gt;&lt;item&gt;176&lt;/item&gt;&lt;item&gt;178&lt;/item&gt;&lt;item&gt;180&lt;/item&gt;&lt;item&gt;183&lt;/item&gt;&lt;item&gt;184&lt;/item&gt;&lt;item&gt;185&lt;/item&gt;&lt;item&gt;189&lt;/item&gt;&lt;item&gt;191&lt;/item&gt;&lt;item&gt;192&lt;/item&gt;&lt;item&gt;193&lt;/item&gt;&lt;item&gt;194&lt;/item&gt;&lt;item&gt;195&lt;/item&gt;&lt;item&gt;196&lt;/item&gt;&lt;item&gt;197&lt;/item&gt;&lt;item&gt;200&lt;/item&gt;&lt;item&gt;201&lt;/item&gt;&lt;item&gt;202&lt;/item&gt;&lt;item&gt;206&lt;/item&gt;&lt;item&gt;207&lt;/item&gt;&lt;item&gt;209&lt;/item&gt;&lt;item&gt;210&lt;/item&gt;&lt;item&gt;211&lt;/item&gt;&lt;/record-ids&gt;&lt;/item&gt;&lt;/Libraries&gt;"/>
  </w:docVars>
  <w:rsids>
    <w:rsidRoot w:val="001334D7"/>
    <w:rsid w:val="000133D9"/>
    <w:rsid w:val="00016D9F"/>
    <w:rsid w:val="00023068"/>
    <w:rsid w:val="00031FDE"/>
    <w:rsid w:val="00036C75"/>
    <w:rsid w:val="00050A49"/>
    <w:rsid w:val="00053FD3"/>
    <w:rsid w:val="00055FC4"/>
    <w:rsid w:val="000703CC"/>
    <w:rsid w:val="0007129A"/>
    <w:rsid w:val="00073806"/>
    <w:rsid w:val="00085658"/>
    <w:rsid w:val="00085BA3"/>
    <w:rsid w:val="0009275A"/>
    <w:rsid w:val="000950DF"/>
    <w:rsid w:val="000B1ED7"/>
    <w:rsid w:val="000B5C2C"/>
    <w:rsid w:val="000C2633"/>
    <w:rsid w:val="000D5202"/>
    <w:rsid w:val="000F1FFF"/>
    <w:rsid w:val="000F7880"/>
    <w:rsid w:val="00110887"/>
    <w:rsid w:val="00112994"/>
    <w:rsid w:val="00115580"/>
    <w:rsid w:val="00130425"/>
    <w:rsid w:val="001334D7"/>
    <w:rsid w:val="001421C8"/>
    <w:rsid w:val="00160D9E"/>
    <w:rsid w:val="00162BD8"/>
    <w:rsid w:val="001673BD"/>
    <w:rsid w:val="00190B30"/>
    <w:rsid w:val="001A1D14"/>
    <w:rsid w:val="001A71B9"/>
    <w:rsid w:val="001C19A8"/>
    <w:rsid w:val="001D7A3B"/>
    <w:rsid w:val="001E3946"/>
    <w:rsid w:val="001F43C7"/>
    <w:rsid w:val="0022509A"/>
    <w:rsid w:val="00225110"/>
    <w:rsid w:val="002275A9"/>
    <w:rsid w:val="0026056D"/>
    <w:rsid w:val="00271F45"/>
    <w:rsid w:val="00273912"/>
    <w:rsid w:val="00280C41"/>
    <w:rsid w:val="0028645A"/>
    <w:rsid w:val="00287272"/>
    <w:rsid w:val="0029081B"/>
    <w:rsid w:val="002945BF"/>
    <w:rsid w:val="002A41A8"/>
    <w:rsid w:val="002C0370"/>
    <w:rsid w:val="002C18CE"/>
    <w:rsid w:val="002E1E40"/>
    <w:rsid w:val="002F5058"/>
    <w:rsid w:val="003009FB"/>
    <w:rsid w:val="003048F9"/>
    <w:rsid w:val="00313AAD"/>
    <w:rsid w:val="003175E6"/>
    <w:rsid w:val="003202FE"/>
    <w:rsid w:val="00330CD9"/>
    <w:rsid w:val="0033253D"/>
    <w:rsid w:val="00333304"/>
    <w:rsid w:val="00341049"/>
    <w:rsid w:val="0034442E"/>
    <w:rsid w:val="00355B44"/>
    <w:rsid w:val="003724A0"/>
    <w:rsid w:val="003805B3"/>
    <w:rsid w:val="003A1FB1"/>
    <w:rsid w:val="003B3928"/>
    <w:rsid w:val="003B3E3B"/>
    <w:rsid w:val="003C1E4F"/>
    <w:rsid w:val="003F6515"/>
    <w:rsid w:val="004139EE"/>
    <w:rsid w:val="00415402"/>
    <w:rsid w:val="0042320C"/>
    <w:rsid w:val="00426B49"/>
    <w:rsid w:val="004355F6"/>
    <w:rsid w:val="00436362"/>
    <w:rsid w:val="0044045B"/>
    <w:rsid w:val="00442D6E"/>
    <w:rsid w:val="00447935"/>
    <w:rsid w:val="0046628C"/>
    <w:rsid w:val="004806DC"/>
    <w:rsid w:val="00497C28"/>
    <w:rsid w:val="004B3AF5"/>
    <w:rsid w:val="004D2344"/>
    <w:rsid w:val="004D369A"/>
    <w:rsid w:val="004E3169"/>
    <w:rsid w:val="004E5F3D"/>
    <w:rsid w:val="004F6D59"/>
    <w:rsid w:val="00506D64"/>
    <w:rsid w:val="00510F41"/>
    <w:rsid w:val="005206BA"/>
    <w:rsid w:val="005349AE"/>
    <w:rsid w:val="00537B78"/>
    <w:rsid w:val="00540A18"/>
    <w:rsid w:val="0054503C"/>
    <w:rsid w:val="00553AD8"/>
    <w:rsid w:val="00567A26"/>
    <w:rsid w:val="0058151A"/>
    <w:rsid w:val="0058776D"/>
    <w:rsid w:val="0059515C"/>
    <w:rsid w:val="005A2D6E"/>
    <w:rsid w:val="005A564F"/>
    <w:rsid w:val="005C15A3"/>
    <w:rsid w:val="005C3010"/>
    <w:rsid w:val="005C6CD7"/>
    <w:rsid w:val="005D6A4B"/>
    <w:rsid w:val="005F1C03"/>
    <w:rsid w:val="005F5EC7"/>
    <w:rsid w:val="00602363"/>
    <w:rsid w:val="00612789"/>
    <w:rsid w:val="00632FDC"/>
    <w:rsid w:val="00633C3D"/>
    <w:rsid w:val="006360A1"/>
    <w:rsid w:val="006436AE"/>
    <w:rsid w:val="00662272"/>
    <w:rsid w:val="00664FDD"/>
    <w:rsid w:val="0067090B"/>
    <w:rsid w:val="00676672"/>
    <w:rsid w:val="00677532"/>
    <w:rsid w:val="006A0452"/>
    <w:rsid w:val="006A5D76"/>
    <w:rsid w:val="006B5C57"/>
    <w:rsid w:val="006B697A"/>
    <w:rsid w:val="006C3CA9"/>
    <w:rsid w:val="006E68A6"/>
    <w:rsid w:val="006F040C"/>
    <w:rsid w:val="006F3592"/>
    <w:rsid w:val="006F3FB2"/>
    <w:rsid w:val="00705034"/>
    <w:rsid w:val="00710A05"/>
    <w:rsid w:val="00727834"/>
    <w:rsid w:val="0073078E"/>
    <w:rsid w:val="00756052"/>
    <w:rsid w:val="00767AB5"/>
    <w:rsid w:val="00770B89"/>
    <w:rsid w:val="00775D9C"/>
    <w:rsid w:val="007778AD"/>
    <w:rsid w:val="007856AD"/>
    <w:rsid w:val="00793E27"/>
    <w:rsid w:val="007A0083"/>
    <w:rsid w:val="007C4AEE"/>
    <w:rsid w:val="007E47FA"/>
    <w:rsid w:val="007F6C1F"/>
    <w:rsid w:val="00802FAF"/>
    <w:rsid w:val="00820E19"/>
    <w:rsid w:val="00822674"/>
    <w:rsid w:val="00822C4C"/>
    <w:rsid w:val="00835016"/>
    <w:rsid w:val="00843E63"/>
    <w:rsid w:val="00846B67"/>
    <w:rsid w:val="00851712"/>
    <w:rsid w:val="008639A9"/>
    <w:rsid w:val="00873661"/>
    <w:rsid w:val="00875AB1"/>
    <w:rsid w:val="008803A4"/>
    <w:rsid w:val="008955FF"/>
    <w:rsid w:val="008A06C7"/>
    <w:rsid w:val="008B4270"/>
    <w:rsid w:val="008B6F7A"/>
    <w:rsid w:val="008C678E"/>
    <w:rsid w:val="008D318F"/>
    <w:rsid w:val="008D429A"/>
    <w:rsid w:val="008F7CF8"/>
    <w:rsid w:val="00915864"/>
    <w:rsid w:val="00935BDA"/>
    <w:rsid w:val="009A6109"/>
    <w:rsid w:val="009A725E"/>
    <w:rsid w:val="009B385D"/>
    <w:rsid w:val="009B771C"/>
    <w:rsid w:val="009E012B"/>
    <w:rsid w:val="00A02E80"/>
    <w:rsid w:val="00A14C6C"/>
    <w:rsid w:val="00A16A30"/>
    <w:rsid w:val="00A248A2"/>
    <w:rsid w:val="00A523F5"/>
    <w:rsid w:val="00A55E91"/>
    <w:rsid w:val="00A67BA0"/>
    <w:rsid w:val="00A72BB6"/>
    <w:rsid w:val="00A75879"/>
    <w:rsid w:val="00A838D4"/>
    <w:rsid w:val="00A93414"/>
    <w:rsid w:val="00AA142F"/>
    <w:rsid w:val="00AA5091"/>
    <w:rsid w:val="00AB5C1C"/>
    <w:rsid w:val="00AB65B4"/>
    <w:rsid w:val="00AB7B9A"/>
    <w:rsid w:val="00AC37A3"/>
    <w:rsid w:val="00AD51F9"/>
    <w:rsid w:val="00AF1BD5"/>
    <w:rsid w:val="00AF278E"/>
    <w:rsid w:val="00AF301A"/>
    <w:rsid w:val="00B00C77"/>
    <w:rsid w:val="00B01EBB"/>
    <w:rsid w:val="00B0582B"/>
    <w:rsid w:val="00B2437C"/>
    <w:rsid w:val="00B51491"/>
    <w:rsid w:val="00B5575F"/>
    <w:rsid w:val="00B60BD5"/>
    <w:rsid w:val="00B70047"/>
    <w:rsid w:val="00B7336D"/>
    <w:rsid w:val="00B87FC9"/>
    <w:rsid w:val="00BE37DA"/>
    <w:rsid w:val="00BE40C2"/>
    <w:rsid w:val="00BE5974"/>
    <w:rsid w:val="00C00E87"/>
    <w:rsid w:val="00C01F53"/>
    <w:rsid w:val="00C209DE"/>
    <w:rsid w:val="00C34DDB"/>
    <w:rsid w:val="00C513C3"/>
    <w:rsid w:val="00C51410"/>
    <w:rsid w:val="00C6344D"/>
    <w:rsid w:val="00C652DF"/>
    <w:rsid w:val="00C73C21"/>
    <w:rsid w:val="00C809BD"/>
    <w:rsid w:val="00C8739F"/>
    <w:rsid w:val="00C93145"/>
    <w:rsid w:val="00CA2960"/>
    <w:rsid w:val="00CA43E6"/>
    <w:rsid w:val="00CA71F7"/>
    <w:rsid w:val="00CA75A9"/>
    <w:rsid w:val="00CC7169"/>
    <w:rsid w:val="00CD2C63"/>
    <w:rsid w:val="00CE1115"/>
    <w:rsid w:val="00CF4C1E"/>
    <w:rsid w:val="00D13F4D"/>
    <w:rsid w:val="00D266D4"/>
    <w:rsid w:val="00D42B44"/>
    <w:rsid w:val="00D43989"/>
    <w:rsid w:val="00D44CD0"/>
    <w:rsid w:val="00D45D43"/>
    <w:rsid w:val="00D47497"/>
    <w:rsid w:val="00D47991"/>
    <w:rsid w:val="00D5452C"/>
    <w:rsid w:val="00D5554E"/>
    <w:rsid w:val="00D55A43"/>
    <w:rsid w:val="00D56982"/>
    <w:rsid w:val="00D6651F"/>
    <w:rsid w:val="00D72459"/>
    <w:rsid w:val="00D906E5"/>
    <w:rsid w:val="00DA1F27"/>
    <w:rsid w:val="00DA71DE"/>
    <w:rsid w:val="00DC2EBF"/>
    <w:rsid w:val="00E07B7E"/>
    <w:rsid w:val="00E10ED6"/>
    <w:rsid w:val="00E20379"/>
    <w:rsid w:val="00E24C77"/>
    <w:rsid w:val="00E43C32"/>
    <w:rsid w:val="00E4696E"/>
    <w:rsid w:val="00E5018B"/>
    <w:rsid w:val="00E55121"/>
    <w:rsid w:val="00E6733D"/>
    <w:rsid w:val="00E91B2C"/>
    <w:rsid w:val="00E943F6"/>
    <w:rsid w:val="00EE6EF5"/>
    <w:rsid w:val="00F2411C"/>
    <w:rsid w:val="00F43A61"/>
    <w:rsid w:val="00F43F64"/>
    <w:rsid w:val="00F46E7E"/>
    <w:rsid w:val="00F51C7F"/>
    <w:rsid w:val="00F575CB"/>
    <w:rsid w:val="00F63825"/>
    <w:rsid w:val="00F77511"/>
    <w:rsid w:val="00F809EB"/>
    <w:rsid w:val="00F82129"/>
    <w:rsid w:val="00F84A62"/>
    <w:rsid w:val="00F91E6C"/>
    <w:rsid w:val="00FA7338"/>
    <w:rsid w:val="00FA776F"/>
    <w:rsid w:val="00FD774E"/>
    <w:rsid w:val="00FE0326"/>
    <w:rsid w:val="00FF60EB"/>
    <w:rsid w:val="3FD9B4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B00617"/>
  <w15:chartTrackingRefBased/>
  <w15:docId w15:val="{1FC9758B-AC93-4B00-9B9F-D86CEDEB7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34D7"/>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01F53"/>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next w:val="Normal"/>
    <w:link w:val="Heading3Char"/>
    <w:uiPriority w:val="9"/>
    <w:unhideWhenUsed/>
    <w:qFormat/>
    <w:rsid w:val="00C01F53"/>
    <w:pPr>
      <w:keepNext/>
      <w:keepLines/>
      <w:numPr>
        <w:ilvl w:val="2"/>
        <w:numId w:val="1"/>
      </w:numPr>
      <w:spacing w:before="40" w:after="0"/>
      <w:ind w:left="72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01F53"/>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01F53"/>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01F53"/>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01F53"/>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01F5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01F5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2title">
    <w:name w:val="MDPI_1.2_title"/>
    <w:next w:val="Normal"/>
    <w:rsid w:val="001334D7"/>
    <w:pPr>
      <w:adjustRightInd w:val="0"/>
      <w:snapToGrid w:val="0"/>
      <w:spacing w:after="240" w:line="240" w:lineRule="atLeast"/>
    </w:pPr>
    <w:rPr>
      <w:rFonts w:ascii="Palatino Linotype" w:eastAsia="Times New Roman" w:hAnsi="Palatino Linotype" w:cs="Times New Roman"/>
      <w:b/>
      <w:snapToGrid w:val="0"/>
      <w:color w:val="000000"/>
      <w:sz w:val="36"/>
      <w:szCs w:val="20"/>
      <w:lang w:eastAsia="de-DE" w:bidi="en-US"/>
    </w:rPr>
  </w:style>
  <w:style w:type="paragraph" w:customStyle="1" w:styleId="MDPI13authornames">
    <w:name w:val="MDPI_1.3_authornames"/>
    <w:next w:val="Normal"/>
    <w:rsid w:val="001334D7"/>
    <w:pPr>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paragraph" w:customStyle="1" w:styleId="MDPI16affiliation">
    <w:name w:val="MDPI_1.6_affiliation"/>
    <w:rsid w:val="001334D7"/>
    <w:pPr>
      <w:adjustRightInd w:val="0"/>
      <w:snapToGrid w:val="0"/>
      <w:spacing w:after="0" w:line="200" w:lineRule="atLeast"/>
      <w:ind w:left="2806" w:hanging="198"/>
    </w:pPr>
    <w:rPr>
      <w:rFonts w:ascii="Palatino Linotype" w:eastAsia="Times New Roman" w:hAnsi="Palatino Linotype" w:cs="Times New Roman"/>
      <w:color w:val="000000"/>
      <w:sz w:val="16"/>
      <w:szCs w:val="18"/>
      <w:lang w:eastAsia="de-DE" w:bidi="en-US"/>
    </w:rPr>
  </w:style>
  <w:style w:type="character" w:styleId="Hyperlink">
    <w:name w:val="Hyperlink"/>
    <w:basedOn w:val="DefaultParagraphFont"/>
    <w:uiPriority w:val="99"/>
    <w:unhideWhenUsed/>
    <w:rsid w:val="001334D7"/>
    <w:rPr>
      <w:color w:val="0563C1" w:themeColor="hyperlink"/>
      <w:u w:val="single"/>
    </w:rPr>
  </w:style>
  <w:style w:type="character" w:styleId="UnresolvedMention">
    <w:name w:val="Unresolved Mention"/>
    <w:basedOn w:val="DefaultParagraphFont"/>
    <w:uiPriority w:val="99"/>
    <w:semiHidden/>
    <w:unhideWhenUsed/>
    <w:rsid w:val="001334D7"/>
    <w:rPr>
      <w:color w:val="605E5C"/>
      <w:shd w:val="clear" w:color="auto" w:fill="E1DFDD"/>
    </w:rPr>
  </w:style>
  <w:style w:type="paragraph" w:customStyle="1" w:styleId="MDPI31text">
    <w:name w:val="MDPI_3.1_text"/>
    <w:link w:val="MDPI31textChar"/>
    <w:rsid w:val="001334D7"/>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21heading1">
    <w:name w:val="MDPI_2.1_heading1"/>
    <w:rsid w:val="001334D7"/>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eastAsia="de-DE" w:bidi="en-US"/>
    </w:rPr>
  </w:style>
  <w:style w:type="character" w:styleId="CommentReference">
    <w:name w:val="annotation reference"/>
    <w:uiPriority w:val="99"/>
    <w:rsid w:val="001334D7"/>
    <w:rPr>
      <w:sz w:val="21"/>
      <w:szCs w:val="21"/>
    </w:rPr>
  </w:style>
  <w:style w:type="paragraph" w:styleId="CommentText">
    <w:name w:val="annotation text"/>
    <w:basedOn w:val="Normal"/>
    <w:link w:val="CommentTextChar"/>
    <w:uiPriority w:val="99"/>
    <w:rsid w:val="001334D7"/>
    <w:pPr>
      <w:spacing w:after="0" w:line="260" w:lineRule="atLeast"/>
      <w:jc w:val="both"/>
    </w:pPr>
    <w:rPr>
      <w:rFonts w:ascii="Palatino Linotype" w:eastAsia="SimSun" w:hAnsi="Palatino Linotype" w:cs="Times New Roman"/>
      <w:color w:val="000000"/>
      <w:sz w:val="20"/>
      <w:szCs w:val="20"/>
      <w:lang w:eastAsia="zh-CN"/>
    </w:rPr>
  </w:style>
  <w:style w:type="character" w:customStyle="1" w:styleId="CommentTextChar">
    <w:name w:val="Comment Text Char"/>
    <w:basedOn w:val="DefaultParagraphFont"/>
    <w:link w:val="CommentText"/>
    <w:uiPriority w:val="99"/>
    <w:rsid w:val="001334D7"/>
    <w:rPr>
      <w:rFonts w:ascii="Palatino Linotype" w:eastAsia="SimSun" w:hAnsi="Palatino Linotype" w:cs="Times New Roman"/>
      <w:color w:val="000000"/>
      <w:sz w:val="20"/>
      <w:szCs w:val="20"/>
      <w:lang w:eastAsia="zh-CN"/>
    </w:rPr>
  </w:style>
  <w:style w:type="character" w:customStyle="1" w:styleId="MDPI31textChar">
    <w:name w:val="MDPI_3.1_text Char"/>
    <w:basedOn w:val="DefaultParagraphFont"/>
    <w:link w:val="MDPI31text"/>
    <w:rsid w:val="001334D7"/>
    <w:rPr>
      <w:rFonts w:ascii="Palatino Linotype" w:eastAsia="Times New Roman" w:hAnsi="Palatino Linotype" w:cs="Times New Roman"/>
      <w:snapToGrid w:val="0"/>
      <w:color w:val="000000"/>
      <w:sz w:val="20"/>
      <w:lang w:eastAsia="de-DE" w:bidi="en-US"/>
    </w:rPr>
  </w:style>
  <w:style w:type="character" w:customStyle="1" w:styleId="Heading1Char">
    <w:name w:val="Heading 1 Char"/>
    <w:basedOn w:val="DefaultParagraphFont"/>
    <w:link w:val="Heading1"/>
    <w:uiPriority w:val="9"/>
    <w:rsid w:val="001334D7"/>
    <w:rPr>
      <w:rFonts w:asciiTheme="majorHAnsi" w:eastAsiaTheme="majorEastAsia" w:hAnsiTheme="majorHAnsi" w:cstheme="majorBidi"/>
      <w:color w:val="2F5496" w:themeColor="accent1" w:themeShade="BF"/>
      <w:sz w:val="32"/>
      <w:szCs w:val="32"/>
    </w:rPr>
  </w:style>
  <w:style w:type="paragraph" w:customStyle="1" w:styleId="EndNoteBibliographyTitle">
    <w:name w:val="EndNote Bibliography Title"/>
    <w:basedOn w:val="Normal"/>
    <w:link w:val="EndNoteBibliographyTitleChar"/>
    <w:rsid w:val="001334D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334D7"/>
    <w:rPr>
      <w:rFonts w:ascii="Calibri" w:hAnsi="Calibri" w:cs="Calibri"/>
      <w:noProof/>
    </w:rPr>
  </w:style>
  <w:style w:type="paragraph" w:customStyle="1" w:styleId="EndNoteBibliography">
    <w:name w:val="EndNote Bibliography"/>
    <w:basedOn w:val="Normal"/>
    <w:link w:val="EndNoteBibliographyChar"/>
    <w:rsid w:val="001334D7"/>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1334D7"/>
    <w:rPr>
      <w:rFonts w:ascii="Calibri" w:hAnsi="Calibri" w:cs="Calibri"/>
      <w:noProof/>
    </w:rPr>
  </w:style>
  <w:style w:type="paragraph" w:customStyle="1" w:styleId="MDPI22heading2">
    <w:name w:val="MDPI_2.2_heading2"/>
    <w:rsid w:val="001334D7"/>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eastAsia="de-DE" w:bidi="en-US"/>
    </w:rPr>
  </w:style>
  <w:style w:type="paragraph" w:styleId="Caption">
    <w:name w:val="caption"/>
    <w:basedOn w:val="Normal"/>
    <w:next w:val="Normal"/>
    <w:uiPriority w:val="35"/>
    <w:unhideWhenUsed/>
    <w:qFormat/>
    <w:rsid w:val="001334D7"/>
    <w:pPr>
      <w:spacing w:after="200" w:line="240" w:lineRule="auto"/>
    </w:pPr>
    <w:rPr>
      <w:i/>
      <w:iCs/>
      <w:color w:val="44546A" w:themeColor="text2"/>
      <w:sz w:val="18"/>
      <w:szCs w:val="18"/>
    </w:rPr>
  </w:style>
  <w:style w:type="paragraph" w:styleId="EndnoteText">
    <w:name w:val="endnote text"/>
    <w:basedOn w:val="Normal"/>
    <w:link w:val="EndnoteTextChar"/>
    <w:uiPriority w:val="99"/>
    <w:semiHidden/>
    <w:unhideWhenUsed/>
    <w:rsid w:val="007E47F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47FA"/>
    <w:rPr>
      <w:sz w:val="20"/>
      <w:szCs w:val="20"/>
    </w:rPr>
  </w:style>
  <w:style w:type="character" w:styleId="EndnoteReference">
    <w:name w:val="endnote reference"/>
    <w:basedOn w:val="DefaultParagraphFont"/>
    <w:uiPriority w:val="99"/>
    <w:semiHidden/>
    <w:unhideWhenUsed/>
    <w:rsid w:val="007E47FA"/>
    <w:rPr>
      <w:vertAlign w:val="superscript"/>
    </w:rPr>
  </w:style>
  <w:style w:type="paragraph" w:styleId="FootnoteText">
    <w:name w:val="footnote text"/>
    <w:basedOn w:val="Normal"/>
    <w:link w:val="FootnoteTextChar"/>
    <w:uiPriority w:val="99"/>
    <w:semiHidden/>
    <w:unhideWhenUsed/>
    <w:rsid w:val="007E47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47FA"/>
    <w:rPr>
      <w:sz w:val="20"/>
      <w:szCs w:val="20"/>
    </w:rPr>
  </w:style>
  <w:style w:type="character" w:styleId="FootnoteReference">
    <w:name w:val="footnote reference"/>
    <w:basedOn w:val="DefaultParagraphFont"/>
    <w:uiPriority w:val="99"/>
    <w:semiHidden/>
    <w:unhideWhenUsed/>
    <w:rsid w:val="007E47FA"/>
    <w:rPr>
      <w:vertAlign w:val="superscript"/>
    </w:rPr>
  </w:style>
  <w:style w:type="paragraph" w:styleId="CommentSubject">
    <w:name w:val="annotation subject"/>
    <w:basedOn w:val="CommentText"/>
    <w:next w:val="CommentText"/>
    <w:link w:val="CommentSubjectChar"/>
    <w:uiPriority w:val="99"/>
    <w:semiHidden/>
    <w:unhideWhenUsed/>
    <w:rsid w:val="007E47FA"/>
    <w:pPr>
      <w:spacing w:after="160" w:line="240" w:lineRule="auto"/>
      <w:jc w:val="left"/>
    </w:pPr>
    <w:rPr>
      <w:rFonts w:asciiTheme="minorHAnsi" w:eastAsiaTheme="minorHAnsi" w:hAnsiTheme="minorHAnsi" w:cstheme="minorBidi"/>
      <w:b/>
      <w:bCs/>
      <w:color w:val="auto"/>
      <w:lang w:eastAsia="en-US"/>
    </w:rPr>
  </w:style>
  <w:style w:type="character" w:customStyle="1" w:styleId="CommentSubjectChar">
    <w:name w:val="Comment Subject Char"/>
    <w:basedOn w:val="CommentTextChar"/>
    <w:link w:val="CommentSubject"/>
    <w:uiPriority w:val="99"/>
    <w:semiHidden/>
    <w:rsid w:val="007E47FA"/>
    <w:rPr>
      <w:rFonts w:ascii="Palatino Linotype" w:eastAsia="SimSun" w:hAnsi="Palatino Linotype" w:cs="Times New Roman"/>
      <w:b/>
      <w:bCs/>
      <w:color w:val="000000"/>
      <w:sz w:val="20"/>
      <w:szCs w:val="20"/>
      <w:lang w:eastAsia="zh-CN"/>
    </w:rPr>
  </w:style>
  <w:style w:type="character" w:customStyle="1" w:styleId="Heading2Char">
    <w:name w:val="Heading 2 Char"/>
    <w:basedOn w:val="DefaultParagraphFont"/>
    <w:link w:val="Heading2"/>
    <w:uiPriority w:val="9"/>
    <w:rsid w:val="00C01F53"/>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C01F5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C01F53"/>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01F5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01F53"/>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01F53"/>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01F5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01F53"/>
    <w:rPr>
      <w:rFonts w:asciiTheme="majorHAnsi" w:eastAsiaTheme="majorEastAsia" w:hAnsiTheme="majorHAnsi" w:cstheme="majorBidi"/>
      <w:i/>
      <w:iCs/>
      <w:color w:val="272727" w:themeColor="text1" w:themeTint="D8"/>
      <w:sz w:val="21"/>
      <w:szCs w:val="21"/>
    </w:rPr>
  </w:style>
  <w:style w:type="paragraph" w:customStyle="1" w:styleId="MDPI42tablebody">
    <w:name w:val="MDPI_4.2_table_body"/>
    <w:rsid w:val="00C01F53"/>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23heading3">
    <w:name w:val="MDPI_2.3_heading3"/>
    <w:rsid w:val="00330CD9"/>
    <w:pPr>
      <w:adjustRightInd w:val="0"/>
      <w:snapToGrid w:val="0"/>
      <w:spacing w:before="60" w:after="60" w:line="228" w:lineRule="auto"/>
      <w:ind w:left="2608"/>
      <w:outlineLvl w:val="2"/>
    </w:pPr>
    <w:rPr>
      <w:rFonts w:ascii="Palatino Linotype" w:eastAsia="Times New Roman" w:hAnsi="Palatino Linotype" w:cs="Times New Roman"/>
      <w:snapToGrid w:val="0"/>
      <w:color w:val="000000"/>
      <w:sz w:val="20"/>
      <w:lang w:eastAsia="de-DE" w:bidi="en-US"/>
    </w:rPr>
  </w:style>
  <w:style w:type="character" w:customStyle="1" w:styleId="html-italic">
    <w:name w:val="html-italic"/>
    <w:basedOn w:val="DefaultParagraphFont"/>
    <w:rsid w:val="00341049"/>
  </w:style>
  <w:style w:type="character" w:customStyle="1" w:styleId="u-small-caps">
    <w:name w:val="u-small-caps"/>
    <w:basedOn w:val="DefaultParagraphFont"/>
    <w:rsid w:val="00341049"/>
  </w:style>
  <w:style w:type="paragraph" w:styleId="NormalWeb">
    <w:name w:val="Normal (Web)"/>
    <w:basedOn w:val="Normal"/>
    <w:uiPriority w:val="99"/>
    <w:unhideWhenUsed/>
    <w:rsid w:val="0034104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E6EF5"/>
    <w:rPr>
      <w:i/>
      <w:iCs/>
    </w:rPr>
  </w:style>
  <w:style w:type="paragraph" w:customStyle="1" w:styleId="pf0">
    <w:name w:val="pf0"/>
    <w:basedOn w:val="Normal"/>
    <w:rsid w:val="007560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56052"/>
    <w:rPr>
      <w:rFonts w:ascii="Segoe UI" w:hAnsi="Segoe UI" w:cs="Segoe UI" w:hint="default"/>
      <w:sz w:val="18"/>
      <w:szCs w:val="18"/>
    </w:rPr>
  </w:style>
  <w:style w:type="character" w:styleId="LineNumber">
    <w:name w:val="line number"/>
    <w:basedOn w:val="DefaultParagraphFont"/>
    <w:uiPriority w:val="99"/>
    <w:semiHidden/>
    <w:unhideWhenUsed/>
    <w:rsid w:val="008B4270"/>
  </w:style>
  <w:style w:type="paragraph" w:styleId="Header">
    <w:name w:val="header"/>
    <w:basedOn w:val="Normal"/>
    <w:link w:val="HeaderChar"/>
    <w:uiPriority w:val="99"/>
    <w:unhideWhenUsed/>
    <w:rsid w:val="00AA50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091"/>
  </w:style>
  <w:style w:type="paragraph" w:styleId="Footer">
    <w:name w:val="footer"/>
    <w:basedOn w:val="Normal"/>
    <w:link w:val="FooterChar"/>
    <w:uiPriority w:val="99"/>
    <w:unhideWhenUsed/>
    <w:rsid w:val="00AA50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091"/>
  </w:style>
  <w:style w:type="character" w:customStyle="1" w:styleId="has-text-link">
    <w:name w:val="has-text-link"/>
    <w:basedOn w:val="DefaultParagraphFont"/>
    <w:rsid w:val="004662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4921594">
      <w:bodyDiv w:val="1"/>
      <w:marLeft w:val="0"/>
      <w:marRight w:val="0"/>
      <w:marTop w:val="0"/>
      <w:marBottom w:val="0"/>
      <w:divBdr>
        <w:top w:val="none" w:sz="0" w:space="0" w:color="auto"/>
        <w:left w:val="none" w:sz="0" w:space="0" w:color="auto"/>
        <w:bottom w:val="none" w:sz="0" w:space="0" w:color="auto"/>
        <w:right w:val="none" w:sz="0" w:space="0" w:color="auto"/>
      </w:divBdr>
    </w:div>
    <w:div w:id="573393368">
      <w:bodyDiv w:val="1"/>
      <w:marLeft w:val="0"/>
      <w:marRight w:val="0"/>
      <w:marTop w:val="0"/>
      <w:marBottom w:val="0"/>
      <w:divBdr>
        <w:top w:val="none" w:sz="0" w:space="0" w:color="auto"/>
        <w:left w:val="none" w:sz="0" w:space="0" w:color="auto"/>
        <w:bottom w:val="none" w:sz="0" w:space="0" w:color="auto"/>
        <w:right w:val="none" w:sz="0" w:space="0" w:color="auto"/>
      </w:divBdr>
    </w:div>
    <w:div w:id="1330252548">
      <w:bodyDiv w:val="1"/>
      <w:marLeft w:val="0"/>
      <w:marRight w:val="0"/>
      <w:marTop w:val="0"/>
      <w:marBottom w:val="0"/>
      <w:divBdr>
        <w:top w:val="none" w:sz="0" w:space="0" w:color="auto"/>
        <w:left w:val="none" w:sz="0" w:space="0" w:color="auto"/>
        <w:bottom w:val="none" w:sz="0" w:space="0" w:color="auto"/>
        <w:right w:val="none" w:sz="0" w:space="0" w:color="auto"/>
      </w:divBdr>
    </w:div>
    <w:div w:id="211474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91D97-A3A8-4F6A-A9B4-7CA5386F5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6760</TotalTime>
  <Pages>4</Pages>
  <Words>240</Words>
  <Characters>1369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CharactersWithSpaces>
  <SharedDoc>false</SharedDoc>
  <HLinks>
    <vt:vector size="42" baseType="variant">
      <vt:variant>
        <vt:i4>8323197</vt:i4>
      </vt:variant>
      <vt:variant>
        <vt:i4>245</vt:i4>
      </vt:variant>
      <vt:variant>
        <vt:i4>0</vt:i4>
      </vt:variant>
      <vt:variant>
        <vt:i4>5</vt:i4>
      </vt:variant>
      <vt:variant>
        <vt:lpwstr>https://covid19whoint/</vt:lpwstr>
      </vt:variant>
      <vt:variant>
        <vt:lpwstr/>
      </vt:variant>
      <vt:variant>
        <vt:i4>7340065</vt:i4>
      </vt:variant>
      <vt:variant>
        <vt:i4>242</vt:i4>
      </vt:variant>
      <vt:variant>
        <vt:i4>0</vt:i4>
      </vt:variant>
      <vt:variant>
        <vt:i4>5</vt:i4>
      </vt:variant>
      <vt:variant>
        <vt:lpwstr>https://wwwwhoint/activities/tracking-SARS-CoV-2-variants/</vt:lpwstr>
      </vt:variant>
      <vt:variant>
        <vt:lpwstr/>
      </vt:variant>
      <vt:variant>
        <vt:i4>1572873</vt:i4>
      </vt:variant>
      <vt:variant>
        <vt:i4>239</vt:i4>
      </vt:variant>
      <vt:variant>
        <vt:i4>0</vt:i4>
      </vt:variant>
      <vt:variant>
        <vt:i4>5</vt:i4>
      </vt:variant>
      <vt:variant>
        <vt:lpwstr>https://wwwfdagov/files/drugs/published/Bioanalytical-Method-Validation-Guidance-for-Industrypdf</vt:lpwstr>
      </vt:variant>
      <vt:variant>
        <vt:lpwstr/>
      </vt:variant>
      <vt:variant>
        <vt:i4>2621500</vt:i4>
      </vt:variant>
      <vt:variant>
        <vt:i4>234</vt:i4>
      </vt:variant>
      <vt:variant>
        <vt:i4>0</vt:i4>
      </vt:variant>
      <vt:variant>
        <vt:i4>5</vt:i4>
      </vt:variant>
      <vt:variant>
        <vt:lpwstr>http://www.ebi.ac.uk/metabolights/</vt:lpwstr>
      </vt:variant>
      <vt:variant>
        <vt:lpwstr/>
      </vt:variant>
      <vt:variant>
        <vt:i4>6094919</vt:i4>
      </vt:variant>
      <vt:variant>
        <vt:i4>222</vt:i4>
      </vt:variant>
      <vt:variant>
        <vt:i4>0</vt:i4>
      </vt:variant>
      <vt:variant>
        <vt:i4>5</vt:i4>
      </vt:variant>
      <vt:variant>
        <vt:lpwstr>https://github.com/dbkgroup/COVID</vt:lpwstr>
      </vt:variant>
      <vt:variant>
        <vt:lpwstr/>
      </vt:variant>
      <vt:variant>
        <vt:i4>32</vt:i4>
      </vt:variant>
      <vt:variant>
        <vt:i4>3</vt:i4>
      </vt:variant>
      <vt:variant>
        <vt:i4>0</vt:i4>
      </vt:variant>
      <vt:variant>
        <vt:i4>5</vt:i4>
      </vt:variant>
      <vt:variant>
        <vt:lpwstr>mailto:Douglas.Kell@liverpool.ac.uk</vt:lpwstr>
      </vt:variant>
      <vt:variant>
        <vt:lpwstr/>
      </vt:variant>
      <vt:variant>
        <vt:i4>3997713</vt:i4>
      </vt:variant>
      <vt:variant>
        <vt:i4>0</vt:i4>
      </vt:variant>
      <vt:variant>
        <vt:i4>0</vt:i4>
      </vt:variant>
      <vt:variant>
        <vt:i4>5</vt:i4>
      </vt:variant>
      <vt:variant>
        <vt:lpwstr>mailto:Ivayla.Roberts@liverpool.ac.uk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Roberts</dc:creator>
  <cp:keywords/>
  <dc:description/>
  <cp:lastModifiedBy>Poonam Mutha</cp:lastModifiedBy>
  <cp:revision>250</cp:revision>
  <dcterms:created xsi:type="dcterms:W3CDTF">2023-03-04T12:17:00Z</dcterms:created>
  <dcterms:modified xsi:type="dcterms:W3CDTF">2023-03-21T17:28:00Z</dcterms:modified>
</cp:coreProperties>
</file>