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8DA9D" w14:textId="6FD3C9CE" w:rsidR="0061065A" w:rsidRDefault="00C37ECC">
      <w:r>
        <w:rPr>
          <w:noProof/>
        </w:rPr>
        <w:drawing>
          <wp:inline distT="0" distB="0" distL="0" distR="0" wp14:anchorId="084B2748" wp14:editId="53F4C26E">
            <wp:extent cx="5943600" cy="2821305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2CC08" w14:textId="77777777" w:rsidR="00D35997" w:rsidRPr="003373EC" w:rsidRDefault="00C37ECC" w:rsidP="00D72A11">
      <w:pPr>
        <w:rPr>
          <w:rFonts w:eastAsia="Times New Roman"/>
        </w:rPr>
      </w:pPr>
      <w:r w:rsidRPr="00C37ECC">
        <w:rPr>
          <w:b/>
          <w:bCs/>
        </w:rPr>
        <w:t>Supplementary Figure S1.</w:t>
      </w:r>
      <w:r>
        <w:t xml:space="preserve"> </w:t>
      </w:r>
      <w:r w:rsidR="00D35997" w:rsidRPr="00032B0A">
        <w:rPr>
          <w:rFonts w:eastAsia="Times New Roman"/>
          <w:b/>
          <w:bCs/>
          <w:color w:val="000000"/>
        </w:rPr>
        <w:t>Surface expression of Angiotensin-converting enzyme 2 (ACE2)</w:t>
      </w:r>
      <w:r w:rsidR="00D35997">
        <w:rPr>
          <w:rFonts w:eastAsia="Times New Roman"/>
          <w:b/>
          <w:bCs/>
          <w:color w:val="000000"/>
        </w:rPr>
        <w:t xml:space="preserve">. </w:t>
      </w:r>
      <w:r w:rsidR="00D35997" w:rsidRPr="00032B0A">
        <w:rPr>
          <w:rFonts w:eastAsia="Times New Roman"/>
          <w:color w:val="000000"/>
        </w:rPr>
        <w:t>Target cell</w:t>
      </w:r>
      <w:r w:rsidR="00D35997">
        <w:rPr>
          <w:rFonts w:eastAsia="Times New Roman"/>
          <w:color w:val="000000"/>
        </w:rPr>
        <w:t>s</w:t>
      </w:r>
      <w:r w:rsidR="00D35997" w:rsidRPr="00032B0A">
        <w:rPr>
          <w:rFonts w:eastAsia="Times New Roman"/>
          <w:color w:val="000000"/>
        </w:rPr>
        <w:t xml:space="preserve"> were stained with FITC-conjugated anti-</w:t>
      </w:r>
      <w:proofErr w:type="spellStart"/>
      <w:r w:rsidR="00D35997" w:rsidRPr="00032B0A">
        <w:rPr>
          <w:rFonts w:eastAsia="Times New Roman"/>
          <w:color w:val="000000"/>
        </w:rPr>
        <w:t>myc</w:t>
      </w:r>
      <w:proofErr w:type="spellEnd"/>
      <w:r w:rsidR="00D35997" w:rsidRPr="00032B0A">
        <w:rPr>
          <w:rFonts w:eastAsia="Times New Roman"/>
          <w:color w:val="000000"/>
        </w:rPr>
        <w:t xml:space="preserve">-tag and ACE2 (FITC) positive cells detected by flow cytometry. Data was analyzed using </w:t>
      </w:r>
      <w:proofErr w:type="spellStart"/>
      <w:r w:rsidR="00D35997" w:rsidRPr="00032B0A">
        <w:rPr>
          <w:rFonts w:eastAsia="Times New Roman"/>
          <w:color w:val="000000"/>
        </w:rPr>
        <w:t>FlowJo</w:t>
      </w:r>
      <w:proofErr w:type="spellEnd"/>
      <w:r w:rsidR="00D35997" w:rsidRPr="00032B0A">
        <w:rPr>
          <w:rFonts w:eastAsia="Times New Roman"/>
          <w:color w:val="000000"/>
        </w:rPr>
        <w:t xml:space="preserve"> software. The left panel correspond to a control sample with 293T-cells. The right panel correspond </w:t>
      </w:r>
      <w:r w:rsidR="00D35997">
        <w:rPr>
          <w:rFonts w:eastAsia="Times New Roman"/>
          <w:color w:val="000000"/>
        </w:rPr>
        <w:t xml:space="preserve">to </w:t>
      </w:r>
      <w:r w:rsidR="00D35997" w:rsidRPr="00032B0A">
        <w:rPr>
          <w:rFonts w:eastAsia="Times New Roman"/>
          <w:color w:val="000000"/>
        </w:rPr>
        <w:t>293TACE2 target cells. FITC:</w:t>
      </w:r>
      <w:r w:rsidR="00D35997">
        <w:rPr>
          <w:rFonts w:eastAsia="Times New Roman"/>
          <w:color w:val="000000"/>
        </w:rPr>
        <w:t xml:space="preserve"> </w:t>
      </w:r>
      <w:r w:rsidR="00D35997" w:rsidRPr="00032B0A">
        <w:rPr>
          <w:rFonts w:eastAsia="Times New Roman"/>
          <w:color w:val="000000"/>
        </w:rPr>
        <w:t>Fluorescein isothiocyanate. FSC-H: Forward Scatter Height. </w:t>
      </w:r>
    </w:p>
    <w:p w14:paraId="2AF1C77E" w14:textId="28AEF612" w:rsidR="00C37ECC" w:rsidRDefault="00C37ECC" w:rsidP="00D72A11"/>
    <w:p w14:paraId="683AF322" w14:textId="388E44E1" w:rsidR="00C37ECC" w:rsidRDefault="00C37ECC" w:rsidP="00D72A11">
      <w:pPr>
        <w:rPr>
          <w:highlight w:val="yellow"/>
        </w:rPr>
      </w:pPr>
      <w:r>
        <w:rPr>
          <w:highlight w:val="yellow"/>
        </w:rPr>
        <w:br w:type="page"/>
      </w:r>
    </w:p>
    <w:p w14:paraId="44F54A4C" w14:textId="2CAF6CE9" w:rsidR="00C37ECC" w:rsidRDefault="00C37ECC">
      <w:r>
        <w:rPr>
          <w:noProof/>
        </w:rPr>
        <w:lastRenderedPageBreak/>
        <w:drawing>
          <wp:inline distT="0" distB="0" distL="0" distR="0" wp14:anchorId="6616F443" wp14:editId="7E94C751">
            <wp:extent cx="5943600" cy="2821305"/>
            <wp:effectExtent l="0" t="0" r="0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5CA74" w14:textId="672FB55F" w:rsidR="00C37ECC" w:rsidRDefault="00C37ECC" w:rsidP="00D72A11">
      <w:r w:rsidRPr="00C37ECC">
        <w:rPr>
          <w:b/>
          <w:bCs/>
        </w:rPr>
        <w:t>Supplementary Figure S2.</w:t>
      </w:r>
      <w:r>
        <w:t xml:space="preserve"> </w:t>
      </w:r>
      <w:proofErr w:type="spellStart"/>
      <w:r w:rsidR="00D35997" w:rsidRPr="00032B0A">
        <w:rPr>
          <w:rFonts w:eastAsia="Times New Roman"/>
          <w:b/>
          <w:bCs/>
          <w:color w:val="000000"/>
        </w:rPr>
        <w:t>Pseudovirus</w:t>
      </w:r>
      <w:proofErr w:type="spellEnd"/>
      <w:r w:rsidR="00D35997" w:rsidRPr="00032B0A">
        <w:rPr>
          <w:rFonts w:eastAsia="Times New Roman"/>
          <w:b/>
          <w:bCs/>
          <w:color w:val="000000"/>
        </w:rPr>
        <w:t xml:space="preserve"> titration </w:t>
      </w:r>
      <w:r w:rsidR="00D35997">
        <w:rPr>
          <w:rFonts w:eastAsia="Times New Roman"/>
          <w:b/>
          <w:bCs/>
          <w:color w:val="000000"/>
        </w:rPr>
        <w:t>using</w:t>
      </w:r>
      <w:r w:rsidR="00D35997" w:rsidRPr="00032B0A">
        <w:rPr>
          <w:rFonts w:eastAsia="Times New Roman"/>
          <w:b/>
          <w:bCs/>
          <w:color w:val="000000"/>
        </w:rPr>
        <w:t xml:space="preserve"> 293-ACE2 target cells</w:t>
      </w:r>
      <w:r w:rsidR="00D35997">
        <w:rPr>
          <w:rFonts w:eastAsia="Times New Roman"/>
          <w:b/>
          <w:bCs/>
          <w:color w:val="000000"/>
        </w:rPr>
        <w:t>.</w:t>
      </w:r>
      <w:r w:rsidR="00D35997">
        <w:rPr>
          <w:rFonts w:eastAsia="Times New Roman"/>
        </w:rPr>
        <w:t xml:space="preserve"> C</w:t>
      </w:r>
      <w:r w:rsidR="00D35997" w:rsidRPr="00032B0A">
        <w:rPr>
          <w:rFonts w:eastAsia="Times New Roman"/>
          <w:color w:val="000000"/>
        </w:rPr>
        <w:t>ells were infected with serial dilution</w:t>
      </w:r>
      <w:r w:rsidR="00D35997">
        <w:rPr>
          <w:rFonts w:eastAsia="Times New Roman"/>
          <w:color w:val="000000"/>
        </w:rPr>
        <w:t>s of</w:t>
      </w:r>
      <w:r w:rsidR="00D35997" w:rsidRPr="00032B0A">
        <w:rPr>
          <w:rFonts w:eastAsia="Times New Roman"/>
          <w:color w:val="000000"/>
        </w:rPr>
        <w:t xml:space="preserve"> the </w:t>
      </w:r>
      <w:proofErr w:type="spellStart"/>
      <w:r w:rsidR="00D35997" w:rsidRPr="00032B0A">
        <w:rPr>
          <w:rFonts w:eastAsia="Times New Roman"/>
          <w:color w:val="000000"/>
        </w:rPr>
        <w:t>pseudovirus</w:t>
      </w:r>
      <w:proofErr w:type="spellEnd"/>
      <w:r w:rsidR="00D35997" w:rsidRPr="00032B0A">
        <w:rPr>
          <w:rFonts w:eastAsia="Times New Roman"/>
          <w:color w:val="000000"/>
        </w:rPr>
        <w:t xml:space="preserve"> preparation. </w:t>
      </w:r>
      <w:r w:rsidR="00D35997">
        <w:rPr>
          <w:rFonts w:eastAsia="Times New Roman"/>
          <w:color w:val="000000"/>
        </w:rPr>
        <w:t>T</w:t>
      </w:r>
      <w:r w:rsidR="00D35997" w:rsidRPr="00032B0A">
        <w:rPr>
          <w:rFonts w:eastAsia="Times New Roman"/>
          <w:color w:val="000000"/>
        </w:rPr>
        <w:t>he number of infectious units (IU)</w:t>
      </w:r>
      <w:r w:rsidR="00D35997">
        <w:rPr>
          <w:rFonts w:eastAsia="Times New Roman"/>
          <w:color w:val="000000"/>
        </w:rPr>
        <w:t xml:space="preserve"> correspond to the</w:t>
      </w:r>
      <w:r w:rsidR="00D35997" w:rsidRPr="00032B0A">
        <w:rPr>
          <w:rFonts w:eastAsia="Times New Roman"/>
          <w:color w:val="000000"/>
        </w:rPr>
        <w:t xml:space="preserve"> percentage of GFP positive cells. The left panel </w:t>
      </w:r>
      <w:r w:rsidR="00D35997">
        <w:rPr>
          <w:rFonts w:eastAsia="Times New Roman"/>
          <w:color w:val="000000"/>
        </w:rPr>
        <w:t>represents</w:t>
      </w:r>
      <w:r w:rsidR="00D35997" w:rsidRPr="00032B0A">
        <w:rPr>
          <w:rFonts w:eastAsia="Times New Roman"/>
          <w:color w:val="000000"/>
        </w:rPr>
        <w:t xml:space="preserve"> a control sample with no virus </w:t>
      </w:r>
      <w:r w:rsidR="00D35997">
        <w:rPr>
          <w:rFonts w:eastAsia="Times New Roman"/>
          <w:color w:val="000000"/>
        </w:rPr>
        <w:t>addition</w:t>
      </w:r>
      <w:r w:rsidR="00D35997" w:rsidRPr="00032B0A">
        <w:rPr>
          <w:rFonts w:eastAsia="Times New Roman"/>
          <w:color w:val="000000"/>
        </w:rPr>
        <w:t xml:space="preserve">. The right panel correspond a 2x dilution of this </w:t>
      </w:r>
      <w:proofErr w:type="spellStart"/>
      <w:r w:rsidR="00D35997" w:rsidRPr="00032B0A">
        <w:rPr>
          <w:rFonts w:eastAsia="Times New Roman"/>
          <w:color w:val="000000"/>
        </w:rPr>
        <w:t>pseudovirus</w:t>
      </w:r>
      <w:proofErr w:type="spellEnd"/>
      <w:r w:rsidR="00D35997" w:rsidRPr="00032B0A">
        <w:rPr>
          <w:rFonts w:eastAsia="Times New Roman"/>
          <w:color w:val="000000"/>
        </w:rPr>
        <w:t xml:space="preserve"> preparation. GFP: Green Fluorescent Protein. FITC: Fluorescein isothiocyanate. FSC-H: Forward Scatter Height. </w:t>
      </w:r>
      <w:r>
        <w:br w:type="page"/>
      </w:r>
    </w:p>
    <w:p w14:paraId="49F42A34" w14:textId="5E5CF99D" w:rsidR="00C37ECC" w:rsidRDefault="00C37ECC">
      <w:r>
        <w:rPr>
          <w:noProof/>
        </w:rPr>
        <w:lastRenderedPageBreak/>
        <w:drawing>
          <wp:inline distT="0" distB="0" distL="0" distR="0" wp14:anchorId="49623EDF" wp14:editId="5D7F09DA">
            <wp:extent cx="5943600" cy="2376170"/>
            <wp:effectExtent l="0" t="0" r="0" b="0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0E10A" w14:textId="77777777" w:rsidR="00C37ECC" w:rsidRDefault="00C37ECC"/>
    <w:p w14:paraId="172114B6" w14:textId="77777777" w:rsidR="00D35997" w:rsidRPr="00032B0A" w:rsidRDefault="00C37ECC" w:rsidP="00D72A11">
      <w:pPr>
        <w:rPr>
          <w:rFonts w:eastAsia="Times New Roman"/>
        </w:rPr>
      </w:pPr>
      <w:r w:rsidRPr="00C37ECC">
        <w:rPr>
          <w:b/>
          <w:bCs/>
        </w:rPr>
        <w:t>Supplementary Figure S3</w:t>
      </w:r>
      <w:r>
        <w:t xml:space="preserve">. </w:t>
      </w:r>
      <w:r w:rsidR="00D35997" w:rsidRPr="00032B0A">
        <w:rPr>
          <w:rFonts w:eastAsia="Times New Roman"/>
          <w:b/>
          <w:bCs/>
          <w:color w:val="000000"/>
        </w:rPr>
        <w:t>Plasma neutralization antibody assay.</w:t>
      </w:r>
      <w:r w:rsidR="00D35997">
        <w:rPr>
          <w:rFonts w:eastAsia="Times New Roman"/>
        </w:rPr>
        <w:t xml:space="preserve"> </w:t>
      </w:r>
      <w:r w:rsidR="00D35997" w:rsidRPr="00032B0A">
        <w:rPr>
          <w:rFonts w:eastAsia="Times New Roman"/>
          <w:color w:val="000000"/>
        </w:rPr>
        <w:t>Serial dilution</w:t>
      </w:r>
      <w:r w:rsidR="00D35997">
        <w:rPr>
          <w:rFonts w:eastAsia="Times New Roman"/>
          <w:color w:val="000000"/>
        </w:rPr>
        <w:t>s</w:t>
      </w:r>
      <w:r w:rsidR="00D35997" w:rsidRPr="00032B0A">
        <w:rPr>
          <w:rFonts w:eastAsia="Times New Roman"/>
          <w:color w:val="000000"/>
        </w:rPr>
        <w:t xml:space="preserve"> of patient plasma</w:t>
      </w:r>
      <w:r w:rsidR="00D35997">
        <w:rPr>
          <w:rFonts w:eastAsia="Times New Roman"/>
          <w:color w:val="000000"/>
        </w:rPr>
        <w:t>s</w:t>
      </w:r>
      <w:r w:rsidR="00D35997" w:rsidRPr="00032B0A">
        <w:rPr>
          <w:rFonts w:eastAsia="Times New Roman"/>
          <w:color w:val="000000"/>
        </w:rPr>
        <w:t xml:space="preserve"> were tested for neutralization of SARS-CoV-2 </w:t>
      </w:r>
      <w:proofErr w:type="spellStart"/>
      <w:r w:rsidR="00D35997" w:rsidRPr="00032B0A">
        <w:rPr>
          <w:rFonts w:eastAsia="Times New Roman"/>
          <w:color w:val="000000"/>
        </w:rPr>
        <w:t>pseudovirus</w:t>
      </w:r>
      <w:proofErr w:type="spellEnd"/>
      <w:r w:rsidR="00D35997" w:rsidRPr="00032B0A">
        <w:rPr>
          <w:rFonts w:eastAsia="Times New Roman"/>
          <w:color w:val="000000"/>
        </w:rPr>
        <w:t xml:space="preserve"> preparation. The plasma dilutions were incubated </w:t>
      </w:r>
      <w:r w:rsidR="00D35997">
        <w:rPr>
          <w:rFonts w:eastAsia="Times New Roman"/>
          <w:color w:val="000000"/>
        </w:rPr>
        <w:t xml:space="preserve">with </w:t>
      </w:r>
      <w:r w:rsidR="00D35997" w:rsidRPr="00032B0A">
        <w:rPr>
          <w:rFonts w:eastAsia="Times New Roman"/>
          <w:color w:val="000000"/>
        </w:rPr>
        <w:t xml:space="preserve">equal amount of </w:t>
      </w:r>
      <w:proofErr w:type="spellStart"/>
      <w:r w:rsidR="00D35997" w:rsidRPr="00032B0A">
        <w:rPr>
          <w:rFonts w:eastAsia="Times New Roman"/>
          <w:color w:val="000000"/>
        </w:rPr>
        <w:t>pseudovirus</w:t>
      </w:r>
      <w:proofErr w:type="spellEnd"/>
      <w:r w:rsidR="00D35997" w:rsidRPr="00032B0A">
        <w:rPr>
          <w:rFonts w:eastAsia="Times New Roman"/>
          <w:color w:val="000000"/>
        </w:rPr>
        <w:t xml:space="preserve"> and tested for a single round infection of 293T-ACE2 target cells.</w:t>
      </w:r>
      <w:r w:rsidR="00D35997">
        <w:rPr>
          <w:rFonts w:eastAsia="Times New Roman"/>
        </w:rPr>
        <w:t xml:space="preserve"> </w:t>
      </w:r>
      <w:r w:rsidR="00D35997" w:rsidRPr="00032B0A">
        <w:rPr>
          <w:rFonts w:eastAsia="Times New Roman"/>
          <w:color w:val="000000"/>
        </w:rPr>
        <w:t xml:space="preserve">Data </w:t>
      </w:r>
      <w:r w:rsidR="00D35997">
        <w:rPr>
          <w:rFonts w:eastAsia="Times New Roman"/>
          <w:color w:val="000000"/>
        </w:rPr>
        <w:t>are</w:t>
      </w:r>
      <w:r w:rsidR="00D35997" w:rsidRPr="00032B0A">
        <w:rPr>
          <w:rFonts w:eastAsia="Times New Roman"/>
          <w:color w:val="000000"/>
        </w:rPr>
        <w:t xml:space="preserve"> representative of </w:t>
      </w:r>
      <w:r w:rsidR="00D35997">
        <w:rPr>
          <w:rFonts w:eastAsia="Times New Roman"/>
          <w:color w:val="000000"/>
        </w:rPr>
        <w:t>two</w:t>
      </w:r>
      <w:r w:rsidR="00D35997" w:rsidRPr="00032B0A">
        <w:rPr>
          <w:rFonts w:eastAsia="Times New Roman"/>
          <w:color w:val="000000"/>
        </w:rPr>
        <w:t xml:space="preserve"> independent experiments. Patients who never smoked are presented in panel “a” and smokers (former and current) are presented in panel “b”. Dotted lines represent 50% neutralization. A pool of 10 naïve plasma “NP” from pre-pandemic non-infected individual was used as a negative control.</w:t>
      </w:r>
    </w:p>
    <w:p w14:paraId="08F548D6" w14:textId="3782270E" w:rsidR="00C37ECC" w:rsidRDefault="00C37ECC">
      <w:r>
        <w:br w:type="page"/>
      </w:r>
    </w:p>
    <w:p w14:paraId="76430FCA" w14:textId="4291CF3E" w:rsidR="00C37ECC" w:rsidRDefault="00C37ECC">
      <w:r>
        <w:rPr>
          <w:noProof/>
        </w:rPr>
        <w:lastRenderedPageBreak/>
        <w:drawing>
          <wp:inline distT="0" distB="0" distL="0" distR="0" wp14:anchorId="6EC86632" wp14:editId="6F04A090">
            <wp:extent cx="5943600" cy="6013450"/>
            <wp:effectExtent l="0" t="0" r="0" b="0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93EA3" w14:textId="77777777" w:rsidR="00C37ECC" w:rsidRDefault="00C37ECC"/>
    <w:p w14:paraId="0611F0C1" w14:textId="3406B0FC" w:rsidR="00AD42CF" w:rsidRDefault="00C37ECC" w:rsidP="00AD42CF">
      <w:pPr>
        <w:pStyle w:val="NormalWeb"/>
        <w:spacing w:before="200" w:beforeAutospacing="0" w:after="0" w:afterAutospacing="0"/>
        <w:rPr>
          <w:color w:val="000000"/>
        </w:rPr>
      </w:pPr>
      <w:r w:rsidRPr="00C37ECC">
        <w:rPr>
          <w:b/>
          <w:bCs/>
        </w:rPr>
        <w:t>Supplementary Figure S4.</w:t>
      </w:r>
      <w:r>
        <w:t xml:space="preserve"> </w:t>
      </w:r>
      <w:r w:rsidR="00AD42CF">
        <w:rPr>
          <w:b/>
          <w:bCs/>
          <w:color w:val="000000"/>
        </w:rPr>
        <w:t>Associations</w:t>
      </w:r>
      <w:r w:rsidR="00AD42CF" w:rsidRPr="008712C5">
        <w:rPr>
          <w:b/>
          <w:bCs/>
          <w:color w:val="000000"/>
        </w:rPr>
        <w:t xml:space="preserve"> between </w:t>
      </w:r>
      <w:r w:rsidR="00AD42CF">
        <w:rPr>
          <w:b/>
          <w:bCs/>
          <w:color w:val="000000"/>
        </w:rPr>
        <w:t xml:space="preserve">antibodies and viral load with smoking status parsed by former and current smokers. </w:t>
      </w:r>
      <w:r w:rsidR="00AD42CF" w:rsidRPr="008712C5">
        <w:rPr>
          <w:b/>
          <w:bCs/>
          <w:color w:val="000000"/>
        </w:rPr>
        <w:t>(a)</w:t>
      </w:r>
      <w:r w:rsidR="00AD42CF" w:rsidRPr="008712C5">
        <w:rPr>
          <w:color w:val="000000"/>
        </w:rPr>
        <w:t xml:space="preserve"> Antibody responses (</w:t>
      </w:r>
      <w:r w:rsidR="00AD42CF">
        <w:rPr>
          <w:color w:val="000000"/>
        </w:rPr>
        <w:t>a</w:t>
      </w:r>
      <w:r w:rsidR="00AD42CF" w:rsidRPr="008712C5">
        <w:rPr>
          <w:color w:val="000000"/>
        </w:rPr>
        <w:t xml:space="preserve">nti-RBD and anti-Trimer IgM, IgA, IgG) in patients with </w:t>
      </w:r>
      <w:r w:rsidR="00AD42CF">
        <w:rPr>
          <w:color w:val="000000"/>
        </w:rPr>
        <w:t xml:space="preserve">and without CVD. </w:t>
      </w:r>
      <w:r w:rsidR="00AD42CF" w:rsidRPr="00AD42CF">
        <w:rPr>
          <w:b/>
          <w:bCs/>
          <w:color w:val="000000"/>
        </w:rPr>
        <w:t>(b)</w:t>
      </w:r>
      <w:r w:rsidR="00AD42CF">
        <w:rPr>
          <w:color w:val="000000"/>
        </w:rPr>
        <w:t xml:space="preserve"> </w:t>
      </w:r>
      <w:r w:rsidR="00AD42CF" w:rsidRPr="008712C5">
        <w:rPr>
          <w:color w:val="000000"/>
        </w:rPr>
        <w:t xml:space="preserve">SARS-CoV-2 plasma viral load of patients with or without CVD. </w:t>
      </w:r>
      <w:r w:rsidR="00AD42CF" w:rsidRPr="008712C5">
        <w:rPr>
          <w:b/>
          <w:bCs/>
          <w:color w:val="000000"/>
        </w:rPr>
        <w:t>(c)</w:t>
      </w:r>
      <w:r w:rsidR="00AD42CF" w:rsidRPr="008712C5">
        <w:rPr>
          <w:color w:val="000000"/>
        </w:rPr>
        <w:t xml:space="preserve"> Neutralization antibody titers for patients with and without CVD. </w:t>
      </w:r>
      <w:r w:rsidR="00AD42CF">
        <w:rPr>
          <w:color w:val="000000"/>
        </w:rPr>
        <w:t xml:space="preserve">Comparisons based on CVD status were made </w:t>
      </w:r>
      <w:r w:rsidR="00AD42CF" w:rsidRPr="008712C5">
        <w:rPr>
          <w:color w:val="000000"/>
        </w:rPr>
        <w:t xml:space="preserve">using </w:t>
      </w:r>
      <w:r w:rsidR="00AD42CF">
        <w:rPr>
          <w:color w:val="000000"/>
        </w:rPr>
        <w:t xml:space="preserve">nonparametric Mann-Whitney </w:t>
      </w:r>
      <w:r w:rsidR="00AD42CF" w:rsidRPr="009110C1">
        <w:rPr>
          <w:i/>
          <w:iCs/>
          <w:color w:val="000000"/>
        </w:rPr>
        <w:t>U</w:t>
      </w:r>
      <w:r w:rsidR="00AD42CF">
        <w:rPr>
          <w:color w:val="000000"/>
        </w:rPr>
        <w:t>-tests, with adjustments for multiple tests using the false discovery rate. All tests were not significant (</w:t>
      </w:r>
      <w:r w:rsidR="00AD42CF" w:rsidRPr="00C37ECC">
        <w:rPr>
          <w:i/>
          <w:iCs/>
          <w:color w:val="000000"/>
        </w:rPr>
        <w:t>Q</w:t>
      </w:r>
      <w:r w:rsidR="00AD42CF">
        <w:rPr>
          <w:color w:val="000000"/>
        </w:rPr>
        <w:t xml:space="preserve"> &gt; 0.05).</w:t>
      </w:r>
    </w:p>
    <w:p w14:paraId="6A5EB325" w14:textId="794DC013" w:rsidR="00C37ECC" w:rsidRDefault="00C37ECC" w:rsidP="00C37ECC">
      <w:pPr>
        <w:pStyle w:val="NormalWeb"/>
        <w:spacing w:before="200" w:beforeAutospacing="0" w:after="0" w:afterAutospacing="0" w:line="480" w:lineRule="auto"/>
        <w:rPr>
          <w:b/>
          <w:bCs/>
          <w:color w:val="000000"/>
        </w:rPr>
      </w:pPr>
    </w:p>
    <w:p w14:paraId="79DF000A" w14:textId="4530D62D" w:rsidR="00C37ECC" w:rsidRDefault="00C37ECC">
      <w:pPr>
        <w:rPr>
          <w:rFonts w:eastAsia="Times New Roman"/>
          <w:b/>
          <w:bCs/>
          <w:color w:val="000000"/>
          <w:kern w:val="0"/>
          <w14:ligatures w14:val="none"/>
        </w:rPr>
      </w:pPr>
      <w:r>
        <w:rPr>
          <w:b/>
          <w:bCs/>
          <w:color w:val="000000"/>
        </w:rPr>
        <w:br w:type="page"/>
      </w:r>
    </w:p>
    <w:p w14:paraId="7D956565" w14:textId="5BEA054E" w:rsidR="00C37ECC" w:rsidRDefault="00C37ECC" w:rsidP="00C37ECC">
      <w:pPr>
        <w:pStyle w:val="NormalWeb"/>
        <w:spacing w:before="200" w:beforeAutospacing="0" w:after="0" w:afterAutospacing="0" w:line="480" w:lineRule="auto"/>
      </w:pPr>
      <w:r>
        <w:rPr>
          <w:noProof/>
          <w14:ligatures w14:val="standardContextual"/>
        </w:rPr>
        <w:lastRenderedPageBreak/>
        <w:drawing>
          <wp:inline distT="0" distB="0" distL="0" distR="0" wp14:anchorId="7CEB5DA6" wp14:editId="7D2051AB">
            <wp:extent cx="5943600" cy="6013450"/>
            <wp:effectExtent l="0" t="0" r="0" b="0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AF911" w14:textId="6F7AB5F1" w:rsidR="00C37ECC" w:rsidRDefault="00C37ECC" w:rsidP="00C37ECC">
      <w:pPr>
        <w:pStyle w:val="NormalWeb"/>
        <w:spacing w:before="20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Supplementary </w:t>
      </w:r>
      <w:r w:rsidRPr="008712C5">
        <w:rPr>
          <w:b/>
          <w:bCs/>
          <w:color w:val="000000"/>
        </w:rPr>
        <w:t xml:space="preserve">Figure </w:t>
      </w:r>
      <w:r>
        <w:rPr>
          <w:b/>
          <w:bCs/>
          <w:color w:val="000000"/>
        </w:rPr>
        <w:t>S5</w:t>
      </w:r>
      <w:r w:rsidRPr="008712C5">
        <w:rPr>
          <w:b/>
          <w:bCs/>
          <w:color w:val="000000"/>
        </w:rPr>
        <w:t xml:space="preserve">. No association between </w:t>
      </w:r>
      <w:r>
        <w:rPr>
          <w:b/>
          <w:bCs/>
          <w:color w:val="000000"/>
        </w:rPr>
        <w:t>c</w:t>
      </w:r>
      <w:r w:rsidRPr="008712C5">
        <w:rPr>
          <w:b/>
          <w:bCs/>
          <w:color w:val="000000"/>
        </w:rPr>
        <w:t>ardiovascular disease (CVD) and viral load</w:t>
      </w:r>
      <w:r>
        <w:rPr>
          <w:b/>
          <w:bCs/>
          <w:color w:val="000000"/>
        </w:rPr>
        <w:t xml:space="preserve"> or antibodies. </w:t>
      </w:r>
      <w:r w:rsidRPr="008712C5">
        <w:rPr>
          <w:b/>
          <w:bCs/>
          <w:color w:val="000000"/>
        </w:rPr>
        <w:t>(a)</w:t>
      </w:r>
      <w:r w:rsidRPr="008712C5">
        <w:rPr>
          <w:color w:val="000000"/>
        </w:rPr>
        <w:t xml:space="preserve"> Antibody responses (</w:t>
      </w:r>
      <w:r>
        <w:rPr>
          <w:color w:val="000000"/>
        </w:rPr>
        <w:t>a</w:t>
      </w:r>
      <w:r w:rsidRPr="008712C5">
        <w:rPr>
          <w:color w:val="000000"/>
        </w:rPr>
        <w:t xml:space="preserve">nti-RBD and anti-Trimer IgM, IgA, IgG) in patients with </w:t>
      </w:r>
      <w:r>
        <w:rPr>
          <w:color w:val="000000"/>
        </w:rPr>
        <w:t xml:space="preserve">and without CVD. (b) </w:t>
      </w:r>
      <w:r w:rsidRPr="008712C5">
        <w:rPr>
          <w:color w:val="000000"/>
        </w:rPr>
        <w:t xml:space="preserve">SARS-CoV-2 plasma viral load of patients with or without CVD. </w:t>
      </w:r>
      <w:r w:rsidRPr="008712C5">
        <w:rPr>
          <w:b/>
          <w:bCs/>
          <w:color w:val="000000"/>
        </w:rPr>
        <w:t>(c)</w:t>
      </w:r>
      <w:r w:rsidRPr="008712C5">
        <w:rPr>
          <w:color w:val="000000"/>
        </w:rPr>
        <w:t xml:space="preserve"> Neutralization antibody titers for patients with and without CVD. </w:t>
      </w:r>
      <w:r>
        <w:rPr>
          <w:color w:val="000000"/>
        </w:rPr>
        <w:t xml:space="preserve">Comparisons based on CVD status were made </w:t>
      </w:r>
      <w:r w:rsidRPr="008712C5">
        <w:rPr>
          <w:color w:val="000000"/>
        </w:rPr>
        <w:t xml:space="preserve">using </w:t>
      </w:r>
      <w:r>
        <w:rPr>
          <w:color w:val="000000"/>
        </w:rPr>
        <w:t xml:space="preserve">nonparametric Mann-Whitney </w:t>
      </w:r>
      <w:r w:rsidRPr="009110C1">
        <w:rPr>
          <w:i/>
          <w:iCs/>
          <w:color w:val="000000"/>
        </w:rPr>
        <w:t>U</w:t>
      </w:r>
      <w:r>
        <w:rPr>
          <w:color w:val="000000"/>
        </w:rPr>
        <w:t>-tests, with adjustments for multiple tests using the false discovery rate. All tests were not significant (</w:t>
      </w:r>
      <w:r w:rsidRPr="00C37ECC">
        <w:rPr>
          <w:i/>
          <w:iCs/>
          <w:color w:val="000000"/>
        </w:rPr>
        <w:t>Q</w:t>
      </w:r>
      <w:r>
        <w:rPr>
          <w:color w:val="000000"/>
        </w:rPr>
        <w:t xml:space="preserve"> &gt; 0.05).</w:t>
      </w:r>
    </w:p>
    <w:p w14:paraId="1493A7FA" w14:textId="77777777" w:rsidR="00D35997" w:rsidRDefault="00D35997">
      <w:pPr>
        <w:rPr>
          <w:color w:val="000000"/>
        </w:rPr>
      </w:pPr>
    </w:p>
    <w:p w14:paraId="62DACE16" w14:textId="34008FA6" w:rsidR="00C37ECC" w:rsidRDefault="00C37ECC">
      <w:pPr>
        <w:rPr>
          <w:rFonts w:eastAsia="Times New Roman"/>
          <w:color w:val="000000"/>
          <w:kern w:val="0"/>
          <w14:ligatures w14:val="none"/>
        </w:rPr>
      </w:pPr>
      <w:r>
        <w:rPr>
          <w:color w:val="000000"/>
        </w:rPr>
        <w:br w:type="page"/>
      </w:r>
    </w:p>
    <w:p w14:paraId="30E27B1C" w14:textId="11CA4F51" w:rsidR="00C37ECC" w:rsidRDefault="00C37ECC" w:rsidP="00C37ECC">
      <w:pPr>
        <w:pStyle w:val="NormalWeb"/>
        <w:spacing w:before="200" w:beforeAutospacing="0" w:after="0" w:afterAutospacing="0"/>
        <w:rPr>
          <w:color w:val="000000"/>
        </w:rPr>
      </w:pPr>
      <w:r>
        <w:rPr>
          <w:noProof/>
          <w:color w:val="000000"/>
          <w14:ligatures w14:val="standardContextual"/>
        </w:rPr>
        <w:lastRenderedPageBreak/>
        <w:drawing>
          <wp:inline distT="0" distB="0" distL="0" distR="0" wp14:anchorId="46D71ABE" wp14:editId="636A6236">
            <wp:extent cx="5943600" cy="6013450"/>
            <wp:effectExtent l="0" t="0" r="0" b="0"/>
            <wp:docPr id="8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17081" w14:textId="0DF5A327" w:rsidR="00C37ECC" w:rsidRDefault="00C37ECC" w:rsidP="00C37ECC">
      <w:pPr>
        <w:pStyle w:val="NormalWeb"/>
        <w:spacing w:before="20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Supplementary </w:t>
      </w:r>
      <w:r w:rsidRPr="008712C5">
        <w:rPr>
          <w:b/>
          <w:bCs/>
          <w:color w:val="000000"/>
        </w:rPr>
        <w:t xml:space="preserve">Figure </w:t>
      </w:r>
      <w:r>
        <w:rPr>
          <w:b/>
          <w:bCs/>
          <w:color w:val="000000"/>
        </w:rPr>
        <w:t>S6</w:t>
      </w:r>
      <w:r w:rsidRPr="008712C5">
        <w:rPr>
          <w:b/>
          <w:bCs/>
          <w:color w:val="000000"/>
        </w:rPr>
        <w:t xml:space="preserve">. No association between </w:t>
      </w:r>
      <w:r>
        <w:rPr>
          <w:b/>
          <w:bCs/>
          <w:color w:val="000000"/>
        </w:rPr>
        <w:t>chronic lung disease</w:t>
      </w:r>
      <w:r w:rsidRPr="008712C5">
        <w:rPr>
          <w:b/>
          <w:bCs/>
          <w:color w:val="000000"/>
        </w:rPr>
        <w:t xml:space="preserve"> (C</w:t>
      </w:r>
      <w:r>
        <w:rPr>
          <w:b/>
          <w:bCs/>
          <w:color w:val="000000"/>
        </w:rPr>
        <w:t>L</w:t>
      </w:r>
      <w:r w:rsidRPr="008712C5">
        <w:rPr>
          <w:b/>
          <w:bCs/>
          <w:color w:val="000000"/>
        </w:rPr>
        <w:t>D) and viral load</w:t>
      </w:r>
      <w:r>
        <w:rPr>
          <w:b/>
          <w:bCs/>
          <w:color w:val="000000"/>
        </w:rPr>
        <w:t xml:space="preserve"> or antibodies. </w:t>
      </w:r>
      <w:r w:rsidRPr="008712C5">
        <w:rPr>
          <w:b/>
          <w:bCs/>
          <w:color w:val="000000"/>
        </w:rPr>
        <w:t>(a)</w:t>
      </w:r>
      <w:r w:rsidRPr="008712C5">
        <w:rPr>
          <w:color w:val="000000"/>
        </w:rPr>
        <w:t xml:space="preserve"> Antibody responses (</w:t>
      </w:r>
      <w:r>
        <w:rPr>
          <w:color w:val="000000"/>
        </w:rPr>
        <w:t>a</w:t>
      </w:r>
      <w:r w:rsidRPr="008712C5">
        <w:rPr>
          <w:color w:val="000000"/>
        </w:rPr>
        <w:t xml:space="preserve">nti-RBD and anti-Trimer IgM, IgA, IgG) in patients with </w:t>
      </w:r>
      <w:r>
        <w:rPr>
          <w:color w:val="000000"/>
        </w:rPr>
        <w:t xml:space="preserve">and without CLD. (b) </w:t>
      </w:r>
      <w:r w:rsidRPr="008712C5">
        <w:rPr>
          <w:color w:val="000000"/>
        </w:rPr>
        <w:t xml:space="preserve">SARS-CoV-2 plasma viral load of patients with or without CVD. </w:t>
      </w:r>
      <w:r w:rsidRPr="008712C5">
        <w:rPr>
          <w:b/>
          <w:bCs/>
          <w:color w:val="000000"/>
        </w:rPr>
        <w:t>(c)</w:t>
      </w:r>
      <w:r w:rsidRPr="008712C5">
        <w:rPr>
          <w:color w:val="000000"/>
        </w:rPr>
        <w:t xml:space="preserve"> Neutralization antibody titers for patients with and without C</w:t>
      </w:r>
      <w:r>
        <w:rPr>
          <w:color w:val="000000"/>
        </w:rPr>
        <w:t>L</w:t>
      </w:r>
      <w:r w:rsidRPr="008712C5">
        <w:rPr>
          <w:color w:val="000000"/>
        </w:rPr>
        <w:t xml:space="preserve">D. </w:t>
      </w:r>
      <w:r>
        <w:rPr>
          <w:color w:val="000000"/>
        </w:rPr>
        <w:t xml:space="preserve">Comparisons based on CLD status were made </w:t>
      </w:r>
      <w:r w:rsidRPr="008712C5">
        <w:rPr>
          <w:color w:val="000000"/>
        </w:rPr>
        <w:t xml:space="preserve">using </w:t>
      </w:r>
      <w:r>
        <w:rPr>
          <w:color w:val="000000"/>
        </w:rPr>
        <w:t xml:space="preserve">nonparametric Mann-Whitney </w:t>
      </w:r>
      <w:r w:rsidRPr="009110C1">
        <w:rPr>
          <w:i/>
          <w:iCs/>
          <w:color w:val="000000"/>
        </w:rPr>
        <w:t>U</w:t>
      </w:r>
      <w:r>
        <w:rPr>
          <w:color w:val="000000"/>
        </w:rPr>
        <w:t>-tests, with adjustments for multiple tests using the false discovery rate. All tests were not significant (</w:t>
      </w:r>
      <w:r w:rsidRPr="00C37ECC">
        <w:rPr>
          <w:i/>
          <w:iCs/>
          <w:color w:val="000000"/>
        </w:rPr>
        <w:t>Q</w:t>
      </w:r>
      <w:r>
        <w:rPr>
          <w:color w:val="000000"/>
        </w:rPr>
        <w:t xml:space="preserve"> &gt; 0.05).</w:t>
      </w:r>
    </w:p>
    <w:p w14:paraId="195199F0" w14:textId="2380D5AD" w:rsidR="00C37ECC" w:rsidRDefault="00C37ECC">
      <w:pPr>
        <w:rPr>
          <w:rFonts w:eastAsia="Times New Roman"/>
          <w:color w:val="000000"/>
          <w:kern w:val="0"/>
          <w14:ligatures w14:val="none"/>
        </w:rPr>
      </w:pPr>
      <w:r>
        <w:rPr>
          <w:color w:val="000000"/>
        </w:rPr>
        <w:br w:type="page"/>
      </w:r>
    </w:p>
    <w:p w14:paraId="209224C4" w14:textId="65780D4E" w:rsidR="00C37ECC" w:rsidRDefault="00C37ECC" w:rsidP="00C37ECC">
      <w:pPr>
        <w:pStyle w:val="NormalWeb"/>
        <w:spacing w:before="200" w:beforeAutospacing="0" w:after="0" w:afterAutospacing="0"/>
        <w:rPr>
          <w:color w:val="000000"/>
        </w:rPr>
      </w:pPr>
      <w:r>
        <w:rPr>
          <w:noProof/>
          <w:color w:val="000000"/>
          <w14:ligatures w14:val="standardContextual"/>
        </w:rPr>
        <w:lastRenderedPageBreak/>
        <w:drawing>
          <wp:inline distT="0" distB="0" distL="0" distR="0" wp14:anchorId="1D794A22" wp14:editId="38C966FE">
            <wp:extent cx="5943600" cy="6029960"/>
            <wp:effectExtent l="0" t="0" r="0" b="2540"/>
            <wp:docPr id="9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3511D" w14:textId="31862C76" w:rsidR="00C37ECC" w:rsidRDefault="00C37ECC" w:rsidP="00C37ECC">
      <w:pPr>
        <w:pStyle w:val="NormalWeb"/>
        <w:spacing w:before="200" w:beforeAutospacing="0" w:after="0" w:afterAutospacing="0"/>
        <w:rPr>
          <w:color w:val="000000"/>
        </w:rPr>
      </w:pPr>
      <w:r w:rsidRPr="00FB56D5">
        <w:rPr>
          <w:b/>
          <w:bCs/>
          <w:color w:val="000000"/>
        </w:rPr>
        <w:t>Supplementary Figure S7. Associations between patient deat</w:t>
      </w:r>
      <w:bookmarkStart w:id="0" w:name="_GoBack"/>
      <w:bookmarkEnd w:id="0"/>
      <w:r w:rsidRPr="00FB56D5">
        <w:rPr>
          <w:b/>
          <w:bCs/>
          <w:color w:val="000000"/>
        </w:rPr>
        <w:t>h and antibodies or viral load.</w:t>
      </w:r>
      <w:r w:rsidR="00FB56D5">
        <w:rPr>
          <w:color w:val="000000"/>
        </w:rPr>
        <w:t xml:space="preserve"> </w:t>
      </w:r>
      <w:r w:rsidR="00FC434A">
        <w:rPr>
          <w:color w:val="000000"/>
        </w:rPr>
        <w:t>Logistic regression r</w:t>
      </w:r>
      <w:r>
        <w:rPr>
          <w:color w:val="000000"/>
        </w:rPr>
        <w:t xml:space="preserve">elationships between </w:t>
      </w:r>
      <w:r w:rsidR="00FB56D5">
        <w:rPr>
          <w:color w:val="000000"/>
        </w:rPr>
        <w:t xml:space="preserve">whether patients </w:t>
      </w:r>
      <w:r w:rsidR="00FC434A">
        <w:rPr>
          <w:color w:val="000000"/>
        </w:rPr>
        <w:t>survived</w:t>
      </w:r>
      <w:r w:rsidR="00FB56D5">
        <w:rPr>
          <w:color w:val="000000"/>
        </w:rPr>
        <w:t xml:space="preserve"> or </w:t>
      </w:r>
      <w:r w:rsidR="00FC434A">
        <w:rPr>
          <w:color w:val="000000"/>
        </w:rPr>
        <w:t>died</w:t>
      </w:r>
      <w:r w:rsidR="00FB56D5">
        <w:rPr>
          <w:color w:val="000000"/>
        </w:rPr>
        <w:t xml:space="preserve"> and </w:t>
      </w:r>
      <w:r w:rsidR="00FB56D5" w:rsidRPr="00FB56D5">
        <w:rPr>
          <w:b/>
          <w:bCs/>
          <w:color w:val="000000"/>
        </w:rPr>
        <w:t>(a-c)</w:t>
      </w:r>
      <w:r w:rsidR="00FB56D5">
        <w:rPr>
          <w:color w:val="000000"/>
        </w:rPr>
        <w:t xml:space="preserve"> </w:t>
      </w:r>
      <w:r>
        <w:rPr>
          <w:color w:val="000000"/>
        </w:rPr>
        <w:t>anti-RBD antibody levels</w:t>
      </w:r>
      <w:r w:rsidR="00FB56D5">
        <w:rPr>
          <w:color w:val="000000"/>
        </w:rPr>
        <w:t xml:space="preserve">, </w:t>
      </w:r>
      <w:r w:rsidR="00FB56D5" w:rsidRPr="00FB56D5">
        <w:rPr>
          <w:b/>
          <w:bCs/>
          <w:color w:val="000000"/>
        </w:rPr>
        <w:t>(</w:t>
      </w:r>
      <w:r w:rsidRPr="00FB56D5">
        <w:rPr>
          <w:b/>
          <w:bCs/>
          <w:color w:val="000000"/>
        </w:rPr>
        <w:t>d-f)</w:t>
      </w:r>
      <w:r>
        <w:rPr>
          <w:color w:val="000000"/>
        </w:rPr>
        <w:t xml:space="preserve"> anti-Trimer antibody levels</w:t>
      </w:r>
      <w:r w:rsidR="00FB56D5">
        <w:rPr>
          <w:color w:val="000000"/>
        </w:rPr>
        <w:t xml:space="preserve">, </w:t>
      </w:r>
      <w:r w:rsidRPr="00FB56D5">
        <w:rPr>
          <w:b/>
          <w:bCs/>
          <w:color w:val="000000"/>
        </w:rPr>
        <w:t>(g)</w:t>
      </w:r>
      <w:r>
        <w:rPr>
          <w:color w:val="000000"/>
        </w:rPr>
        <w:t xml:space="preserve"> </w:t>
      </w:r>
      <w:r w:rsidRPr="008712C5">
        <w:rPr>
          <w:color w:val="000000"/>
        </w:rPr>
        <w:t>SARS-CoV-2 plasma viral load</w:t>
      </w:r>
      <w:r w:rsidR="00FB56D5">
        <w:rPr>
          <w:color w:val="000000"/>
        </w:rPr>
        <w:t xml:space="preserve">, and </w:t>
      </w:r>
      <w:r w:rsidRPr="008712C5">
        <w:rPr>
          <w:b/>
          <w:bCs/>
          <w:color w:val="000000"/>
        </w:rPr>
        <w:t>(</w:t>
      </w:r>
      <w:r w:rsidR="00FB56D5">
        <w:rPr>
          <w:b/>
          <w:bCs/>
          <w:color w:val="000000"/>
        </w:rPr>
        <w:t>f</w:t>
      </w:r>
      <w:r w:rsidRPr="008712C5">
        <w:rPr>
          <w:b/>
          <w:bCs/>
          <w:color w:val="000000"/>
        </w:rPr>
        <w:t>)</w:t>
      </w:r>
      <w:r w:rsidRPr="008712C5">
        <w:rPr>
          <w:color w:val="000000"/>
        </w:rPr>
        <w:t xml:space="preserve"> </w:t>
      </w:r>
      <w:r w:rsidR="00FB56D5">
        <w:rPr>
          <w:color w:val="000000"/>
        </w:rPr>
        <w:t>n</w:t>
      </w:r>
      <w:r w:rsidRPr="008712C5">
        <w:rPr>
          <w:color w:val="000000"/>
        </w:rPr>
        <w:t>eutralization antibody titers</w:t>
      </w:r>
      <w:r w:rsidR="00FB56D5">
        <w:rPr>
          <w:color w:val="000000"/>
        </w:rPr>
        <w:t xml:space="preserve">. </w:t>
      </w:r>
      <w:r w:rsidR="00FC434A">
        <w:rPr>
          <w:color w:val="000000"/>
        </w:rPr>
        <w:t xml:space="preserve">The slope of the linear regression analyzing the relationship between death and </w:t>
      </w:r>
      <w:r w:rsidR="00FC434A" w:rsidRPr="008712C5">
        <w:rPr>
          <w:color w:val="000000"/>
        </w:rPr>
        <w:t>SARS-CoV-2 plasma viral load</w:t>
      </w:r>
      <w:r w:rsidR="00FC434A">
        <w:rPr>
          <w:color w:val="000000"/>
        </w:rPr>
        <w:t xml:space="preserve"> was significant (</w:t>
      </w:r>
      <w:r w:rsidR="00FC434A" w:rsidRPr="00FC434A">
        <w:rPr>
          <w:i/>
          <w:iCs/>
          <w:color w:val="000000"/>
        </w:rPr>
        <w:t>P</w:t>
      </w:r>
      <w:r w:rsidR="00FC434A">
        <w:rPr>
          <w:color w:val="000000"/>
        </w:rPr>
        <w:t xml:space="preserve"> = 0.03), but after adjusting for running multiple tests all slopes were not significant (</w:t>
      </w:r>
      <w:r w:rsidR="00FC434A" w:rsidRPr="00FC434A">
        <w:rPr>
          <w:i/>
          <w:iCs/>
          <w:color w:val="000000"/>
        </w:rPr>
        <w:t>Q</w:t>
      </w:r>
      <w:r w:rsidR="00FC434A">
        <w:rPr>
          <w:color w:val="000000"/>
        </w:rPr>
        <w:t xml:space="preserve"> &gt; 0.05)</w:t>
      </w:r>
      <w:r w:rsidR="00A64C1A">
        <w:rPr>
          <w:color w:val="000000"/>
        </w:rPr>
        <w:t>.</w:t>
      </w:r>
    </w:p>
    <w:p w14:paraId="3BDA68AA" w14:textId="47F1CB81" w:rsidR="00C37ECC" w:rsidRPr="008712C5" w:rsidRDefault="00C37ECC" w:rsidP="00C37ECC">
      <w:pPr>
        <w:pStyle w:val="NormalWeb"/>
        <w:spacing w:before="200" w:beforeAutospacing="0" w:after="0" w:afterAutospacing="0" w:line="480" w:lineRule="auto"/>
      </w:pPr>
    </w:p>
    <w:p w14:paraId="312AE0D8" w14:textId="4E0B9557" w:rsidR="00C37ECC" w:rsidRDefault="00C37ECC"/>
    <w:sectPr w:rsidR="00C37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042"/>
    <w:rsid w:val="000B7042"/>
    <w:rsid w:val="0012625A"/>
    <w:rsid w:val="00391337"/>
    <w:rsid w:val="0046506E"/>
    <w:rsid w:val="0061065A"/>
    <w:rsid w:val="00863B24"/>
    <w:rsid w:val="00A64C1A"/>
    <w:rsid w:val="00AD42CF"/>
    <w:rsid w:val="00C37ECC"/>
    <w:rsid w:val="00D35997"/>
    <w:rsid w:val="00D72A11"/>
    <w:rsid w:val="00FB56D5"/>
    <w:rsid w:val="00FC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A82042"/>
  <w15:chartTrackingRefBased/>
  <w15:docId w15:val="{CD14536B-2EE8-654A-96D9-73CD6551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7ECC"/>
    <w:pPr>
      <w:spacing w:before="100" w:beforeAutospacing="1" w:after="100" w:afterAutospacing="1"/>
    </w:pPr>
    <w:rPr>
      <w:rFonts w:eastAsia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DaCosta</dc:creator>
  <cp:keywords/>
  <dc:description/>
  <cp:lastModifiedBy>Microsoft Office User</cp:lastModifiedBy>
  <cp:revision>4</cp:revision>
  <dcterms:created xsi:type="dcterms:W3CDTF">2023-03-13T21:48:00Z</dcterms:created>
  <dcterms:modified xsi:type="dcterms:W3CDTF">2023-03-14T01:08:00Z</dcterms:modified>
</cp:coreProperties>
</file>