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98ED6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Appendix</w:t>
      </w:r>
    </w:p>
    <w:p w14:paraId="646979F0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</w:p>
    <w:p w14:paraId="3D77CFFE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bookmarkStart w:id="0" w:name="_Hlk33048988"/>
      <w:bookmarkStart w:id="1" w:name="_Hlk33048972"/>
      <w:r>
        <w:rPr>
          <w:rFonts w:ascii="Times New Roman" w:hAnsi="Times New Roman" w:cs="Times New Roman"/>
          <w:sz w:val="24"/>
          <w:szCs w:val="24"/>
          <w:lang w:eastAsia="ko-KR"/>
        </w:rPr>
        <w:t>Table 5. Kaiser-Meyer-Olkin test of sampling adequacy by sample</w:t>
      </w:r>
      <w:bookmarkEnd w:id="0"/>
    </w:p>
    <w:tbl>
      <w:tblPr>
        <w:tblStyle w:val="TableGrid"/>
        <w:tblW w:w="7026" w:type="dxa"/>
        <w:tblInd w:w="0" w:type="dxa"/>
        <w:tblLook w:val="04A0" w:firstRow="1" w:lastRow="0" w:firstColumn="1" w:lastColumn="0" w:noHBand="0" w:noVBand="1"/>
      </w:tblPr>
      <w:tblGrid>
        <w:gridCol w:w="978"/>
        <w:gridCol w:w="3024"/>
        <w:gridCol w:w="3024"/>
      </w:tblGrid>
      <w:tr w:rsidR="00924DAA" w14:paraId="5DB9AF7D" w14:textId="77777777" w:rsidTr="00924DAA">
        <w:trPr>
          <w:trHeight w:val="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"/>
          <w:p w14:paraId="38731B0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36D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indicators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3CB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indicators</w:t>
            </w:r>
          </w:p>
        </w:tc>
      </w:tr>
      <w:tr w:rsidR="00924DAA" w14:paraId="7F2699EF" w14:textId="77777777" w:rsidTr="00924DAA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300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E37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0.699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46BC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0.562</w:t>
            </w:r>
          </w:p>
        </w:tc>
      </w:tr>
      <w:tr w:rsidR="00924DAA" w14:paraId="13A9E48D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695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669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E66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0.580</w:t>
            </w:r>
          </w:p>
        </w:tc>
      </w:tr>
      <w:tr w:rsidR="00924DAA" w14:paraId="218DEA01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BFD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FBB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711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</w:tc>
      </w:tr>
      <w:tr w:rsidR="00924DAA" w14:paraId="519A1721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E4D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5894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868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0.583</w:t>
            </w:r>
          </w:p>
        </w:tc>
      </w:tr>
      <w:tr w:rsidR="00924DAA" w14:paraId="44C09DD1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3E8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8BBD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0.730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42C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</w:tr>
      <w:tr w:rsidR="00924DAA" w14:paraId="69F63C7F" w14:textId="77777777" w:rsidTr="00924DAA">
        <w:trPr>
          <w:trHeight w:val="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3266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2DB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43C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0.551</w:t>
            </w:r>
          </w:p>
        </w:tc>
      </w:tr>
      <w:tr w:rsidR="00924DAA" w14:paraId="06EA4C54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B7D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906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51B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0.567</w:t>
            </w:r>
          </w:p>
        </w:tc>
      </w:tr>
      <w:tr w:rsidR="00924DAA" w14:paraId="6E7B9A21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DA6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86F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38A4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0.545</w:t>
            </w:r>
          </w:p>
        </w:tc>
      </w:tr>
      <w:tr w:rsidR="00924DAA" w14:paraId="45A42551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DEE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F50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6D4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0.559</w:t>
            </w:r>
          </w:p>
        </w:tc>
      </w:tr>
      <w:tr w:rsidR="00924DAA" w14:paraId="68CADB47" w14:textId="77777777" w:rsidTr="00924DAA">
        <w:trPr>
          <w:trHeight w:val="2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87D2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6FEA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A48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0.548</w:t>
            </w:r>
          </w:p>
        </w:tc>
      </w:tr>
    </w:tbl>
    <w:p w14:paraId="494B1AA5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ko-KR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ko-KR"/>
        </w:rPr>
        <w:t>Note: The higher value demonstrates the more adequate sample to extract a designated factor.</w:t>
      </w:r>
    </w:p>
    <w:p w14:paraId="6149FC56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</w:rPr>
      </w:pPr>
    </w:p>
    <w:p w14:paraId="6E626B9F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  <w:lang w:eastAsia="ko-KR"/>
        </w:rPr>
        <w:t>Table 6. Total variance of general-purpose governments’ financial condition explained by number of factor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1064"/>
        <w:gridCol w:w="2070"/>
        <w:gridCol w:w="2072"/>
        <w:gridCol w:w="2072"/>
        <w:gridCol w:w="2072"/>
      </w:tblGrid>
      <w:tr w:rsidR="00924DAA" w14:paraId="4D03AAD7" w14:textId="77777777" w:rsidTr="00924DAA">
        <w:trPr>
          <w:trHeight w:val="256"/>
        </w:trPr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A0A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Year</w:t>
            </w:r>
          </w:p>
        </w:tc>
        <w:tc>
          <w:tcPr>
            <w:tcW w:w="22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1F0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 indicators</w:t>
            </w:r>
          </w:p>
        </w:tc>
        <w:tc>
          <w:tcPr>
            <w:tcW w:w="2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5E5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 indicators</w:t>
            </w:r>
          </w:p>
        </w:tc>
      </w:tr>
      <w:tr w:rsidR="00924DAA" w14:paraId="4E04A3FC" w14:textId="77777777" w:rsidTr="00924DAA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DD598" w14:textId="77777777" w:rsidR="00924DAA" w:rsidRDefault="00924DAA">
            <w:pPr>
              <w:spacing w:line="240" w:lineRule="auto"/>
              <w:rPr>
                <w:rFonts w:ascii="Times New Roman" w:hAnsi="Times New Roman" w:cs="Times New Roman"/>
                <w:sz w:val="24"/>
                <w:szCs w:val="26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F9B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First factor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B97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Second factor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53C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First factor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376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Second factor</w:t>
            </w:r>
          </w:p>
        </w:tc>
      </w:tr>
      <w:tr w:rsidR="00924DAA" w14:paraId="39B4C84F" w14:textId="77777777" w:rsidTr="00924DAA">
        <w:trPr>
          <w:trHeight w:val="263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DE4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1972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31A9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68.15%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FF2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17.12%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0144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46.27%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953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16.94%</w:t>
            </w:r>
          </w:p>
        </w:tc>
      </w:tr>
      <w:tr w:rsidR="00924DAA" w14:paraId="4DEA9C8A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4A4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1977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0506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68.76%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85C0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16.55%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E3FC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48.35%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454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15.25%</w:t>
            </w:r>
          </w:p>
        </w:tc>
      </w:tr>
      <w:tr w:rsidR="00924DAA" w14:paraId="72FC6303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4306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1982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0AF5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66.01%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355A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17.56%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BDB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48.81%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38A4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13.50%</w:t>
            </w:r>
          </w:p>
        </w:tc>
      </w:tr>
      <w:tr w:rsidR="00924DAA" w14:paraId="4169D97B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642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1987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DB9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67.15%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559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17.78%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A05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49.60%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96E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13.35%</w:t>
            </w:r>
          </w:p>
        </w:tc>
      </w:tr>
      <w:tr w:rsidR="00924DAA" w14:paraId="24F26A23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0FD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1992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670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64.52%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CF71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18.31%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2A1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45.67%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C6A2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13.79%</w:t>
            </w:r>
          </w:p>
        </w:tc>
      </w:tr>
      <w:tr w:rsidR="00924DAA" w14:paraId="159C782D" w14:textId="77777777" w:rsidTr="00924DAA">
        <w:trPr>
          <w:trHeight w:val="263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E8B1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1997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E5E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67.52%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86E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17.88%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BD9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46.92%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C8E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14.23%</w:t>
            </w:r>
          </w:p>
        </w:tc>
      </w:tr>
      <w:tr w:rsidR="00924DAA" w14:paraId="0D4F7874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0E8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2002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CD2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66.56%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9A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16.46%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2017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44.85%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393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15.01%</w:t>
            </w:r>
          </w:p>
        </w:tc>
      </w:tr>
      <w:tr w:rsidR="00924DAA" w14:paraId="32DD7AD6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B79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2007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BA6D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63.64%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D876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18.27%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BAA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43.70%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882C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12.19%</w:t>
            </w:r>
          </w:p>
        </w:tc>
      </w:tr>
      <w:tr w:rsidR="00924DAA" w14:paraId="1D5D9497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313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2012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042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65.43%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2A7F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18.60%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305E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45.04%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225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12.31%</w:t>
            </w:r>
          </w:p>
        </w:tc>
      </w:tr>
      <w:tr w:rsidR="00924DAA" w14:paraId="37599C03" w14:textId="77777777" w:rsidTr="00924DAA">
        <w:trPr>
          <w:trHeight w:val="256"/>
        </w:trPr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9A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2017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043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67.29%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6DAA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17.16%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C0E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44.99%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83B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12.38%</w:t>
            </w:r>
          </w:p>
        </w:tc>
      </w:tr>
    </w:tbl>
    <w:p w14:paraId="03C2FB55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eastAsia="ko-KR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ko-KR"/>
        </w:rPr>
        <w:t>Note: The greater portion of variance explained by the first factor and the greater the gap of explained variance between the first and second factor, the more appropriate is a sample of indicators to accurately extract a given factor number.</w:t>
      </w:r>
    </w:p>
    <w:p w14:paraId="6A308FFE" w14:textId="77777777" w:rsidR="00924DAA" w:rsidRDefault="00924DAA" w:rsidP="00924D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10F23E" w14:textId="77777777" w:rsidR="00924DAA" w:rsidRDefault="00924DAA" w:rsidP="00924D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ko-KR"/>
        </w:rPr>
      </w:pPr>
      <w:bookmarkStart w:id="2" w:name="_Hlk33049171"/>
      <w:r>
        <w:rPr>
          <w:rFonts w:ascii="Times New Roman" w:hAnsi="Times New Roman" w:cs="Times New Roman"/>
          <w:sz w:val="24"/>
          <w:szCs w:val="24"/>
          <w:lang w:eastAsia="ko-KR"/>
        </w:rPr>
        <w:t xml:space="preserve">Table 7. Factor loadings for financial condition indicators of </w:t>
      </w:r>
      <w:bookmarkEnd w:id="2"/>
      <w:r>
        <w:rPr>
          <w:rFonts w:ascii="Times New Roman" w:hAnsi="Times New Roman" w:cs="Times New Roman"/>
          <w:sz w:val="24"/>
          <w:szCs w:val="24"/>
          <w:lang w:eastAsia="ko-KR"/>
        </w:rPr>
        <w:t>general-purpose governments</w:t>
      </w:r>
    </w:p>
    <w:tbl>
      <w:tblPr>
        <w:tblStyle w:val="TableGrid"/>
        <w:tblW w:w="89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5"/>
        <w:gridCol w:w="1355"/>
        <w:gridCol w:w="1357"/>
        <w:gridCol w:w="1357"/>
        <w:gridCol w:w="1357"/>
        <w:gridCol w:w="1357"/>
        <w:gridCol w:w="1357"/>
      </w:tblGrid>
      <w:tr w:rsidR="00924DAA" w14:paraId="1806B18F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A0EB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436C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Budget surplus/deficit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78E6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Capital expenditure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F9C4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Cash and security holdings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C125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Current operating expenditure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92BD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Long-term debt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3977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Own-source revenue</w:t>
            </w:r>
          </w:p>
        </w:tc>
      </w:tr>
      <w:tr w:rsidR="00924DAA" w14:paraId="526C4317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D6820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83B6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-0.263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B18C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93A0D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8EBB5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6B57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-0.805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CE93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0.956</w:t>
            </w:r>
          </w:p>
        </w:tc>
      </w:tr>
      <w:tr w:rsidR="00924DAA" w14:paraId="48684A34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6AE3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6613D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3671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5896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453C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E2D8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5EED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0.946</w:t>
            </w:r>
          </w:p>
        </w:tc>
      </w:tr>
      <w:tr w:rsidR="00924DAA" w14:paraId="509DAA27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38B26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E1DF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-0.019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0CC4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713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0.739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C2D2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C6F9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-0.798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269B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0.999</w:t>
            </w:r>
          </w:p>
        </w:tc>
      </w:tr>
      <w:tr w:rsidR="00924DAA" w14:paraId="32395032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587D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A002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3B97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5F156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0.798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3C31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1151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-0.845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1E55F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0.968</w:t>
            </w:r>
          </w:p>
        </w:tc>
      </w:tr>
      <w:tr w:rsidR="00924DAA" w14:paraId="4760802B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64A1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15D3A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-0.211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4E84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00AB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0.766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7F24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6B24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-0.738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182B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0.966</w:t>
            </w:r>
          </w:p>
        </w:tc>
      </w:tr>
      <w:tr w:rsidR="00924DAA" w14:paraId="17C8DC67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1DBB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7037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-0.148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D2CCC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0.808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C60E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0.806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E731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2AFF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4A84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0.961</w:t>
            </w:r>
          </w:p>
        </w:tc>
      </w:tr>
      <w:tr w:rsidR="00924DAA" w14:paraId="5B70F931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C13C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F107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-0.196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37329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BCB40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149A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2E7E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-0.832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856A5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0.96</w:t>
            </w:r>
          </w:p>
        </w:tc>
      </w:tr>
      <w:tr w:rsidR="00924DAA" w14:paraId="28182128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4B36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325D4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0C90D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0.657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DDF5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0.834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E3B3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182D2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-0.836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478B9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0.979</w:t>
            </w:r>
          </w:p>
        </w:tc>
      </w:tr>
      <w:tr w:rsidR="00924DAA" w14:paraId="64D579A8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CCE1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B9BBB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2181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0.747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23AC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61F7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1E808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F3F8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0.974</w:t>
            </w:r>
          </w:p>
        </w:tc>
      </w:tr>
      <w:tr w:rsidR="00924DAA" w14:paraId="319C564E" w14:textId="77777777" w:rsidTr="00924DAA">
        <w:trPr>
          <w:trHeight w:val="3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90AC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F71F3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-0.129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934247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0.771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2972E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0.827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E7D14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1390A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-0.844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0721" w14:textId="77777777" w:rsidR="00924DAA" w:rsidRDefault="00924DAA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0.989</w:t>
            </w:r>
          </w:p>
        </w:tc>
      </w:tr>
    </w:tbl>
    <w:p w14:paraId="55A7B597" w14:textId="77777777" w:rsidR="00924DAA" w:rsidRDefault="00924DAA" w:rsidP="00924DAA">
      <w:pPr>
        <w:rPr>
          <w:vertAlign w:val="superscript"/>
        </w:rPr>
      </w:pPr>
    </w:p>
    <w:p w14:paraId="17D349D0" w14:textId="77777777" w:rsidR="001760E5" w:rsidRDefault="00924DAA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DAA"/>
    <w:rsid w:val="006E225C"/>
    <w:rsid w:val="008A3324"/>
    <w:rsid w:val="00924DAA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728FC"/>
  <w15:chartTrackingRefBased/>
  <w15:docId w15:val="{178951E7-ABE4-46AF-825F-4439BB774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DAA"/>
    <w:pPr>
      <w:spacing w:line="256" w:lineRule="auto"/>
    </w:pPr>
    <w:rPr>
      <w:rFonts w:ascii="Calibri" w:eastAsiaTheme="minorEastAsia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DA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16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1556</Characters>
  <Application>Microsoft Office Word</Application>
  <DocSecurity>0</DocSecurity>
  <Lines>12</Lines>
  <Paragraphs>3</Paragraphs>
  <ScaleCrop>false</ScaleCrop>
  <Company>Springer Nature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2023-03-23T04:41:00Z</dcterms:created>
  <dcterms:modified xsi:type="dcterms:W3CDTF">2023-03-23T04:41:00Z</dcterms:modified>
</cp:coreProperties>
</file>