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0CB" w:rsidRPr="00B36AD4" w:rsidRDefault="00B36AD4" w:rsidP="00272BDB">
      <w:pPr>
        <w:jc w:val="both"/>
        <w:rPr>
          <w:rFonts w:cstheme="minorHAnsi"/>
          <w:b/>
          <w:sz w:val="24"/>
          <w:szCs w:val="24"/>
        </w:rPr>
      </w:pPr>
      <w:r w:rsidRPr="00B36AD4">
        <w:rPr>
          <w:rFonts w:cstheme="minorHAnsi"/>
          <w:b/>
          <w:sz w:val="24"/>
          <w:szCs w:val="24"/>
        </w:rPr>
        <w:t>Additional file 2 : Comparison of country health profiles (i.e., GBD metric) with national health statistics in European Countries</w:t>
      </w:r>
    </w:p>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bookmarkStart w:id="0" w:name="_GoBack"/>
      <w:bookmarkEnd w:id="0"/>
    </w:p>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p w:rsidR="00B36AD4" w:rsidRDefault="00B36AD4"/>
    <w:sdt>
      <w:sdtPr>
        <w:rPr>
          <w:rFonts w:asciiTheme="minorHAnsi" w:eastAsiaTheme="minorHAnsi" w:hAnsiTheme="minorHAnsi" w:cstheme="minorBidi"/>
          <w:b w:val="0"/>
          <w:bCs w:val="0"/>
          <w:color w:val="auto"/>
          <w:sz w:val="22"/>
          <w:szCs w:val="22"/>
          <w:lang w:eastAsia="en-US"/>
        </w:rPr>
        <w:id w:val="1349607494"/>
        <w:docPartObj>
          <w:docPartGallery w:val="Table of Contents"/>
          <w:docPartUnique/>
        </w:docPartObj>
      </w:sdtPr>
      <w:sdtEndPr>
        <w:rPr>
          <w:noProof/>
          <w:lang w:val="fr-FR"/>
        </w:rPr>
      </w:sdtEndPr>
      <w:sdtContent>
        <w:p w:rsidR="00B36AD4" w:rsidRPr="00FD26A2" w:rsidRDefault="00B36AD4" w:rsidP="00B36AD4">
          <w:pPr>
            <w:pStyle w:val="En-ttedetabledesmatires"/>
            <w:spacing w:after="240"/>
            <w:rPr>
              <w:rFonts w:ascii="Trebuchet MS" w:hAnsi="Trebuchet MS"/>
              <w:lang w:val="en-GB"/>
            </w:rPr>
          </w:pPr>
          <w:r w:rsidRPr="00FD26A2">
            <w:rPr>
              <w:rFonts w:ascii="Trebuchet MS" w:hAnsi="Trebuchet MS"/>
              <w:lang w:val="en-GB"/>
            </w:rPr>
            <w:t>Table of Contents</w:t>
          </w:r>
        </w:p>
        <w:p w:rsidR="00B36AD4" w:rsidRDefault="00B36AD4" w:rsidP="00B36AD4">
          <w:pPr>
            <w:pStyle w:val="TM1"/>
            <w:tabs>
              <w:tab w:val="right" w:leader="dot" w:pos="9017"/>
            </w:tabs>
            <w:rPr>
              <w:rFonts w:asciiTheme="minorHAnsi" w:eastAsiaTheme="minorEastAsia" w:hAnsiTheme="minorHAnsi"/>
              <w:noProof/>
              <w:lang w:val="fr-FR" w:eastAsia="fr-FR"/>
            </w:rPr>
          </w:pPr>
          <w:r w:rsidRPr="00FD26A2">
            <w:fldChar w:fldCharType="begin"/>
          </w:r>
          <w:r w:rsidRPr="00FD26A2">
            <w:instrText xml:space="preserve"> TOC \o "1-3" \h \z \u </w:instrText>
          </w:r>
          <w:r w:rsidRPr="00FD26A2">
            <w:fldChar w:fldCharType="separate"/>
          </w:r>
          <w:hyperlink w:anchor="_Toc53067349" w:history="1">
            <w:r w:rsidRPr="004509D0">
              <w:rPr>
                <w:rStyle w:val="Lienhypertexte"/>
                <w:noProof/>
                <w:lang w:eastAsia="ja-JP"/>
              </w:rPr>
              <w:t>Executive summary</w:t>
            </w:r>
            <w:r>
              <w:rPr>
                <w:noProof/>
                <w:webHidden/>
              </w:rPr>
              <w:tab/>
            </w:r>
            <w:r>
              <w:rPr>
                <w:noProof/>
                <w:webHidden/>
              </w:rPr>
              <w:fldChar w:fldCharType="begin"/>
            </w:r>
            <w:r>
              <w:rPr>
                <w:noProof/>
                <w:webHidden/>
              </w:rPr>
              <w:instrText xml:space="preserve"> PAGEREF _Toc53067349 \h </w:instrText>
            </w:r>
            <w:r>
              <w:rPr>
                <w:noProof/>
                <w:webHidden/>
              </w:rPr>
            </w:r>
            <w:r>
              <w:rPr>
                <w:noProof/>
                <w:webHidden/>
              </w:rPr>
              <w:fldChar w:fldCharType="separate"/>
            </w:r>
            <w:r>
              <w:rPr>
                <w:noProof/>
                <w:webHidden/>
              </w:rPr>
              <w:t>2</w:t>
            </w:r>
            <w:r>
              <w:rPr>
                <w:noProof/>
                <w:webHidden/>
              </w:rPr>
              <w:fldChar w:fldCharType="end"/>
            </w:r>
          </w:hyperlink>
        </w:p>
        <w:p w:rsidR="00B36AD4" w:rsidRDefault="00B36AD4" w:rsidP="00B36AD4">
          <w:pPr>
            <w:pStyle w:val="TM1"/>
            <w:tabs>
              <w:tab w:val="right" w:leader="dot" w:pos="9017"/>
            </w:tabs>
            <w:rPr>
              <w:rFonts w:asciiTheme="minorHAnsi" w:eastAsiaTheme="minorEastAsia" w:hAnsiTheme="minorHAnsi"/>
              <w:noProof/>
              <w:lang w:val="fr-FR" w:eastAsia="fr-FR"/>
            </w:rPr>
          </w:pPr>
          <w:hyperlink w:anchor="_Toc53067350" w:history="1">
            <w:r w:rsidRPr="004509D0">
              <w:rPr>
                <w:rStyle w:val="Lienhypertexte"/>
                <w:noProof/>
                <w:lang w:eastAsia="ja-JP"/>
              </w:rPr>
              <w:t>Key points</w:t>
            </w:r>
            <w:r>
              <w:rPr>
                <w:noProof/>
                <w:webHidden/>
              </w:rPr>
              <w:tab/>
            </w:r>
            <w:r>
              <w:rPr>
                <w:noProof/>
                <w:webHidden/>
              </w:rPr>
              <w:fldChar w:fldCharType="begin"/>
            </w:r>
            <w:r>
              <w:rPr>
                <w:noProof/>
                <w:webHidden/>
              </w:rPr>
              <w:instrText xml:space="preserve"> PAGEREF _Toc53067350 \h </w:instrText>
            </w:r>
            <w:r>
              <w:rPr>
                <w:noProof/>
                <w:webHidden/>
              </w:rPr>
            </w:r>
            <w:r>
              <w:rPr>
                <w:noProof/>
                <w:webHidden/>
              </w:rPr>
              <w:fldChar w:fldCharType="separate"/>
            </w:r>
            <w:r>
              <w:rPr>
                <w:noProof/>
                <w:webHidden/>
              </w:rPr>
              <w:t>3</w:t>
            </w:r>
            <w:r>
              <w:rPr>
                <w:noProof/>
                <w:webHidden/>
              </w:rPr>
              <w:fldChar w:fldCharType="end"/>
            </w:r>
          </w:hyperlink>
        </w:p>
        <w:p w:rsidR="00B36AD4" w:rsidRDefault="00B36AD4" w:rsidP="00B36AD4">
          <w:pPr>
            <w:pStyle w:val="TM1"/>
            <w:tabs>
              <w:tab w:val="left" w:pos="440"/>
              <w:tab w:val="right" w:leader="dot" w:pos="9017"/>
            </w:tabs>
            <w:rPr>
              <w:rFonts w:asciiTheme="minorHAnsi" w:eastAsiaTheme="minorEastAsia" w:hAnsiTheme="minorHAnsi"/>
              <w:noProof/>
              <w:lang w:val="fr-FR" w:eastAsia="fr-FR"/>
            </w:rPr>
          </w:pPr>
          <w:hyperlink w:anchor="_Toc53067351" w:history="1">
            <w:r w:rsidRPr="004509D0">
              <w:rPr>
                <w:rStyle w:val="Lienhypertexte"/>
                <w:noProof/>
              </w:rPr>
              <w:t>I.</w:t>
            </w:r>
            <w:r>
              <w:rPr>
                <w:rFonts w:asciiTheme="minorHAnsi" w:eastAsiaTheme="minorEastAsia" w:hAnsiTheme="minorHAnsi"/>
                <w:noProof/>
                <w:lang w:val="fr-FR" w:eastAsia="fr-FR"/>
              </w:rPr>
              <w:tab/>
            </w:r>
            <w:r w:rsidRPr="004509D0">
              <w:rPr>
                <w:rStyle w:val="Lienhypertexte"/>
                <w:noProof/>
              </w:rPr>
              <w:t>Background</w:t>
            </w:r>
            <w:r>
              <w:rPr>
                <w:noProof/>
                <w:webHidden/>
              </w:rPr>
              <w:tab/>
            </w:r>
            <w:r>
              <w:rPr>
                <w:noProof/>
                <w:webHidden/>
              </w:rPr>
              <w:fldChar w:fldCharType="begin"/>
            </w:r>
            <w:r>
              <w:rPr>
                <w:noProof/>
                <w:webHidden/>
              </w:rPr>
              <w:instrText xml:space="preserve"> PAGEREF _Toc53067351 \h </w:instrText>
            </w:r>
            <w:r>
              <w:rPr>
                <w:noProof/>
                <w:webHidden/>
              </w:rPr>
            </w:r>
            <w:r>
              <w:rPr>
                <w:noProof/>
                <w:webHidden/>
              </w:rPr>
              <w:fldChar w:fldCharType="separate"/>
            </w:r>
            <w:r>
              <w:rPr>
                <w:noProof/>
                <w:webHidden/>
              </w:rPr>
              <w:t>4</w:t>
            </w:r>
            <w:r>
              <w:rPr>
                <w:noProof/>
                <w:webHidden/>
              </w:rPr>
              <w:fldChar w:fldCharType="end"/>
            </w:r>
          </w:hyperlink>
        </w:p>
        <w:p w:rsidR="00B36AD4" w:rsidRDefault="00B36AD4" w:rsidP="00B36AD4">
          <w:pPr>
            <w:pStyle w:val="TM1"/>
            <w:tabs>
              <w:tab w:val="left" w:pos="440"/>
              <w:tab w:val="right" w:leader="dot" w:pos="9017"/>
            </w:tabs>
            <w:rPr>
              <w:rFonts w:asciiTheme="minorHAnsi" w:eastAsiaTheme="minorEastAsia" w:hAnsiTheme="minorHAnsi"/>
              <w:noProof/>
              <w:lang w:val="fr-FR" w:eastAsia="fr-FR"/>
            </w:rPr>
          </w:pPr>
          <w:hyperlink w:anchor="_Toc53067352" w:history="1">
            <w:r w:rsidRPr="004509D0">
              <w:rPr>
                <w:rStyle w:val="Lienhypertexte"/>
                <w:noProof/>
              </w:rPr>
              <w:t>II.</w:t>
            </w:r>
            <w:r>
              <w:rPr>
                <w:rFonts w:asciiTheme="minorHAnsi" w:eastAsiaTheme="minorEastAsia" w:hAnsiTheme="minorHAnsi"/>
                <w:noProof/>
                <w:lang w:val="fr-FR" w:eastAsia="fr-FR"/>
              </w:rPr>
              <w:tab/>
            </w:r>
            <w:r w:rsidRPr="004509D0">
              <w:rPr>
                <w:rStyle w:val="Lienhypertexte"/>
                <w:noProof/>
              </w:rPr>
              <w:t>Objectives</w:t>
            </w:r>
            <w:r>
              <w:rPr>
                <w:noProof/>
                <w:webHidden/>
              </w:rPr>
              <w:tab/>
            </w:r>
            <w:r>
              <w:rPr>
                <w:noProof/>
                <w:webHidden/>
              </w:rPr>
              <w:fldChar w:fldCharType="begin"/>
            </w:r>
            <w:r>
              <w:rPr>
                <w:noProof/>
                <w:webHidden/>
              </w:rPr>
              <w:instrText xml:space="preserve"> PAGEREF _Toc53067352 \h </w:instrText>
            </w:r>
            <w:r>
              <w:rPr>
                <w:noProof/>
                <w:webHidden/>
              </w:rPr>
            </w:r>
            <w:r>
              <w:rPr>
                <w:noProof/>
                <w:webHidden/>
              </w:rPr>
              <w:fldChar w:fldCharType="separate"/>
            </w:r>
            <w:r>
              <w:rPr>
                <w:noProof/>
                <w:webHidden/>
              </w:rPr>
              <w:t>4</w:t>
            </w:r>
            <w:r>
              <w:rPr>
                <w:noProof/>
                <w:webHidden/>
              </w:rPr>
              <w:fldChar w:fldCharType="end"/>
            </w:r>
          </w:hyperlink>
        </w:p>
        <w:p w:rsidR="00B36AD4" w:rsidRDefault="00B36AD4" w:rsidP="00B36AD4">
          <w:pPr>
            <w:pStyle w:val="TM1"/>
            <w:tabs>
              <w:tab w:val="left" w:pos="660"/>
              <w:tab w:val="right" w:leader="dot" w:pos="9017"/>
            </w:tabs>
            <w:rPr>
              <w:rFonts w:asciiTheme="minorHAnsi" w:eastAsiaTheme="minorEastAsia" w:hAnsiTheme="minorHAnsi"/>
              <w:noProof/>
              <w:lang w:val="fr-FR" w:eastAsia="fr-FR"/>
            </w:rPr>
          </w:pPr>
          <w:hyperlink w:anchor="_Toc53067353" w:history="1">
            <w:r w:rsidRPr="004509D0">
              <w:rPr>
                <w:rStyle w:val="Lienhypertexte"/>
                <w:noProof/>
              </w:rPr>
              <w:t>III.</w:t>
            </w:r>
            <w:r>
              <w:rPr>
                <w:rFonts w:asciiTheme="minorHAnsi" w:eastAsiaTheme="minorEastAsia" w:hAnsiTheme="minorHAnsi"/>
                <w:noProof/>
                <w:lang w:val="fr-FR" w:eastAsia="fr-FR"/>
              </w:rPr>
              <w:tab/>
            </w:r>
            <w:r w:rsidRPr="004509D0">
              <w:rPr>
                <w:rStyle w:val="Lienhypertexte"/>
                <w:noProof/>
              </w:rPr>
              <w:t>Methodology</w:t>
            </w:r>
            <w:r>
              <w:rPr>
                <w:noProof/>
                <w:webHidden/>
              </w:rPr>
              <w:tab/>
            </w:r>
            <w:r>
              <w:rPr>
                <w:noProof/>
                <w:webHidden/>
              </w:rPr>
              <w:fldChar w:fldCharType="begin"/>
            </w:r>
            <w:r>
              <w:rPr>
                <w:noProof/>
                <w:webHidden/>
              </w:rPr>
              <w:instrText xml:space="preserve"> PAGEREF _Toc53067353 \h </w:instrText>
            </w:r>
            <w:r>
              <w:rPr>
                <w:noProof/>
                <w:webHidden/>
              </w:rPr>
            </w:r>
            <w:r>
              <w:rPr>
                <w:noProof/>
                <w:webHidden/>
              </w:rPr>
              <w:fldChar w:fldCharType="separate"/>
            </w:r>
            <w:r>
              <w:rPr>
                <w:noProof/>
                <w:webHidden/>
              </w:rPr>
              <w:t>4</w:t>
            </w:r>
            <w:r>
              <w:rPr>
                <w:noProof/>
                <w:webHidden/>
              </w:rPr>
              <w:fldChar w:fldCharType="end"/>
            </w:r>
          </w:hyperlink>
        </w:p>
        <w:p w:rsidR="00B36AD4" w:rsidRDefault="00B36AD4" w:rsidP="00B36AD4">
          <w:pPr>
            <w:pStyle w:val="TM1"/>
            <w:tabs>
              <w:tab w:val="left" w:pos="660"/>
              <w:tab w:val="right" w:leader="dot" w:pos="9017"/>
            </w:tabs>
            <w:rPr>
              <w:rFonts w:asciiTheme="minorHAnsi" w:eastAsiaTheme="minorEastAsia" w:hAnsiTheme="minorHAnsi"/>
              <w:noProof/>
              <w:lang w:val="fr-FR" w:eastAsia="fr-FR"/>
            </w:rPr>
          </w:pPr>
          <w:hyperlink w:anchor="_Toc53067354" w:history="1">
            <w:r w:rsidRPr="004509D0">
              <w:rPr>
                <w:rStyle w:val="Lienhypertexte"/>
                <w:noProof/>
              </w:rPr>
              <w:t>IV.</w:t>
            </w:r>
            <w:r>
              <w:rPr>
                <w:rFonts w:asciiTheme="minorHAnsi" w:eastAsiaTheme="minorEastAsia" w:hAnsiTheme="minorHAnsi"/>
                <w:noProof/>
                <w:lang w:val="fr-FR" w:eastAsia="fr-FR"/>
              </w:rPr>
              <w:tab/>
            </w:r>
            <w:r w:rsidRPr="004509D0">
              <w:rPr>
                <w:rStyle w:val="Lienhypertexte"/>
                <w:noProof/>
              </w:rPr>
              <w:t>Results</w:t>
            </w:r>
            <w:r>
              <w:rPr>
                <w:noProof/>
                <w:webHidden/>
              </w:rPr>
              <w:tab/>
            </w:r>
            <w:r>
              <w:rPr>
                <w:noProof/>
                <w:webHidden/>
              </w:rPr>
              <w:fldChar w:fldCharType="begin"/>
            </w:r>
            <w:r>
              <w:rPr>
                <w:noProof/>
                <w:webHidden/>
              </w:rPr>
              <w:instrText xml:space="preserve"> PAGEREF _Toc53067354 \h </w:instrText>
            </w:r>
            <w:r>
              <w:rPr>
                <w:noProof/>
                <w:webHidden/>
              </w:rPr>
            </w:r>
            <w:r>
              <w:rPr>
                <w:noProof/>
                <w:webHidden/>
              </w:rPr>
              <w:fldChar w:fldCharType="separate"/>
            </w:r>
            <w:r>
              <w:rPr>
                <w:noProof/>
                <w:webHidden/>
              </w:rPr>
              <w:t>5</w:t>
            </w:r>
            <w:r>
              <w:rPr>
                <w:noProof/>
                <w:webHidden/>
              </w:rPr>
              <w:fldChar w:fldCharType="end"/>
            </w:r>
          </w:hyperlink>
        </w:p>
        <w:p w:rsidR="00B36AD4" w:rsidRDefault="00B36AD4" w:rsidP="00B36AD4">
          <w:pPr>
            <w:pStyle w:val="TM2"/>
            <w:tabs>
              <w:tab w:val="left" w:pos="660"/>
              <w:tab w:val="right" w:leader="dot" w:pos="9017"/>
            </w:tabs>
            <w:rPr>
              <w:rFonts w:asciiTheme="minorHAnsi" w:eastAsiaTheme="minorEastAsia" w:hAnsiTheme="minorHAnsi"/>
              <w:noProof/>
              <w:lang w:val="fr-FR" w:eastAsia="fr-FR"/>
            </w:rPr>
          </w:pPr>
          <w:hyperlink w:anchor="_Toc53067355" w:history="1">
            <w:r w:rsidRPr="004509D0">
              <w:rPr>
                <w:rStyle w:val="Lienhypertexte"/>
                <w:noProof/>
              </w:rPr>
              <w:t>A.</w:t>
            </w:r>
            <w:r>
              <w:rPr>
                <w:rFonts w:asciiTheme="minorHAnsi" w:eastAsiaTheme="minorEastAsia" w:hAnsiTheme="minorHAnsi"/>
                <w:noProof/>
                <w:lang w:val="fr-FR" w:eastAsia="fr-FR"/>
              </w:rPr>
              <w:tab/>
            </w:r>
            <w:r w:rsidRPr="004509D0">
              <w:rPr>
                <w:rStyle w:val="Lienhypertexte"/>
                <w:noProof/>
              </w:rPr>
              <w:t>Comments on country health profiles and potential differences in estimates/trends</w:t>
            </w:r>
            <w:r>
              <w:rPr>
                <w:noProof/>
                <w:webHidden/>
              </w:rPr>
              <w:tab/>
            </w:r>
            <w:r>
              <w:rPr>
                <w:noProof/>
                <w:webHidden/>
              </w:rPr>
              <w:fldChar w:fldCharType="begin"/>
            </w:r>
            <w:r>
              <w:rPr>
                <w:noProof/>
                <w:webHidden/>
              </w:rPr>
              <w:instrText xml:space="preserve"> PAGEREF _Toc53067355 \h </w:instrText>
            </w:r>
            <w:r>
              <w:rPr>
                <w:noProof/>
                <w:webHidden/>
              </w:rPr>
            </w:r>
            <w:r>
              <w:rPr>
                <w:noProof/>
                <w:webHidden/>
              </w:rPr>
              <w:fldChar w:fldCharType="separate"/>
            </w:r>
            <w:r>
              <w:rPr>
                <w:noProof/>
                <w:webHidden/>
              </w:rPr>
              <w:t>5</w:t>
            </w:r>
            <w:r>
              <w:rPr>
                <w:noProof/>
                <w:webHidden/>
              </w:rPr>
              <w:fldChar w:fldCharType="end"/>
            </w:r>
          </w:hyperlink>
        </w:p>
        <w:p w:rsidR="00B36AD4" w:rsidRDefault="00B36AD4" w:rsidP="00B36AD4">
          <w:pPr>
            <w:pStyle w:val="TM3"/>
            <w:tabs>
              <w:tab w:val="left" w:pos="880"/>
              <w:tab w:val="right" w:leader="dot" w:pos="9017"/>
            </w:tabs>
            <w:rPr>
              <w:rFonts w:asciiTheme="minorHAnsi" w:eastAsiaTheme="minorEastAsia" w:hAnsiTheme="minorHAnsi"/>
              <w:noProof/>
              <w:lang w:val="fr-FR" w:eastAsia="fr-FR"/>
            </w:rPr>
          </w:pPr>
          <w:hyperlink w:anchor="_Toc53067356" w:history="1">
            <w:r w:rsidRPr="004509D0">
              <w:rPr>
                <w:rStyle w:val="Lienhypertexte"/>
                <w:noProof/>
              </w:rPr>
              <w:t>1.</w:t>
            </w:r>
            <w:r>
              <w:rPr>
                <w:rFonts w:asciiTheme="minorHAnsi" w:eastAsiaTheme="minorEastAsia" w:hAnsiTheme="minorHAnsi"/>
                <w:noProof/>
                <w:lang w:val="fr-FR" w:eastAsia="fr-FR"/>
              </w:rPr>
              <w:tab/>
            </w:r>
            <w:r w:rsidRPr="004509D0">
              <w:rPr>
                <w:rStyle w:val="Lienhypertexte"/>
                <w:noProof/>
              </w:rPr>
              <w:t>Life expectancy [LE] 1990 – 2017 (Figure 1)</w:t>
            </w:r>
            <w:r>
              <w:rPr>
                <w:noProof/>
                <w:webHidden/>
              </w:rPr>
              <w:tab/>
            </w:r>
            <w:r>
              <w:rPr>
                <w:noProof/>
                <w:webHidden/>
              </w:rPr>
              <w:fldChar w:fldCharType="begin"/>
            </w:r>
            <w:r>
              <w:rPr>
                <w:noProof/>
                <w:webHidden/>
              </w:rPr>
              <w:instrText xml:space="preserve"> PAGEREF _Toc53067356 \h </w:instrText>
            </w:r>
            <w:r>
              <w:rPr>
                <w:noProof/>
                <w:webHidden/>
              </w:rPr>
            </w:r>
            <w:r>
              <w:rPr>
                <w:noProof/>
                <w:webHidden/>
              </w:rPr>
              <w:fldChar w:fldCharType="separate"/>
            </w:r>
            <w:r>
              <w:rPr>
                <w:noProof/>
                <w:webHidden/>
              </w:rPr>
              <w:t>5</w:t>
            </w:r>
            <w:r>
              <w:rPr>
                <w:noProof/>
                <w:webHidden/>
              </w:rPr>
              <w:fldChar w:fldCharType="end"/>
            </w:r>
          </w:hyperlink>
        </w:p>
        <w:p w:rsidR="00B36AD4" w:rsidRDefault="00B36AD4" w:rsidP="00B36AD4">
          <w:pPr>
            <w:pStyle w:val="TM3"/>
            <w:tabs>
              <w:tab w:val="left" w:pos="880"/>
              <w:tab w:val="right" w:leader="dot" w:pos="9017"/>
            </w:tabs>
            <w:rPr>
              <w:rFonts w:asciiTheme="minorHAnsi" w:eastAsiaTheme="minorEastAsia" w:hAnsiTheme="minorHAnsi"/>
              <w:noProof/>
              <w:lang w:val="fr-FR" w:eastAsia="fr-FR"/>
            </w:rPr>
          </w:pPr>
          <w:hyperlink w:anchor="_Toc53067357" w:history="1">
            <w:r w:rsidRPr="004509D0">
              <w:rPr>
                <w:rStyle w:val="Lienhypertexte"/>
                <w:noProof/>
              </w:rPr>
              <w:t>2.</w:t>
            </w:r>
            <w:r>
              <w:rPr>
                <w:rFonts w:asciiTheme="minorHAnsi" w:eastAsiaTheme="minorEastAsia" w:hAnsiTheme="minorHAnsi"/>
                <w:noProof/>
                <w:lang w:val="fr-FR" w:eastAsia="fr-FR"/>
              </w:rPr>
              <w:tab/>
            </w:r>
            <w:r w:rsidRPr="004509D0">
              <w:rPr>
                <w:rStyle w:val="Lienhypertexte"/>
                <w:noProof/>
              </w:rPr>
              <w:t>Age-standardized mortality rates by top ten conditions 1990 – 2017 (Figure 2)</w:t>
            </w:r>
            <w:r>
              <w:rPr>
                <w:noProof/>
                <w:webHidden/>
              </w:rPr>
              <w:tab/>
            </w:r>
            <w:r>
              <w:rPr>
                <w:noProof/>
                <w:webHidden/>
              </w:rPr>
              <w:fldChar w:fldCharType="begin"/>
            </w:r>
            <w:r>
              <w:rPr>
                <w:noProof/>
                <w:webHidden/>
              </w:rPr>
              <w:instrText xml:space="preserve"> PAGEREF _Toc53067357 \h </w:instrText>
            </w:r>
            <w:r>
              <w:rPr>
                <w:noProof/>
                <w:webHidden/>
              </w:rPr>
            </w:r>
            <w:r>
              <w:rPr>
                <w:noProof/>
                <w:webHidden/>
              </w:rPr>
              <w:fldChar w:fldCharType="separate"/>
            </w:r>
            <w:r>
              <w:rPr>
                <w:noProof/>
                <w:webHidden/>
              </w:rPr>
              <w:t>6</w:t>
            </w:r>
            <w:r>
              <w:rPr>
                <w:noProof/>
                <w:webHidden/>
              </w:rPr>
              <w:fldChar w:fldCharType="end"/>
            </w:r>
          </w:hyperlink>
        </w:p>
        <w:p w:rsidR="00B36AD4" w:rsidRDefault="00B36AD4" w:rsidP="00B36AD4">
          <w:pPr>
            <w:pStyle w:val="TM3"/>
            <w:tabs>
              <w:tab w:val="left" w:pos="880"/>
              <w:tab w:val="right" w:leader="dot" w:pos="9017"/>
            </w:tabs>
            <w:rPr>
              <w:rFonts w:asciiTheme="minorHAnsi" w:eastAsiaTheme="minorEastAsia" w:hAnsiTheme="minorHAnsi"/>
              <w:noProof/>
              <w:lang w:val="fr-FR" w:eastAsia="fr-FR"/>
            </w:rPr>
          </w:pPr>
          <w:hyperlink w:anchor="_Toc53067358" w:history="1">
            <w:r w:rsidRPr="004509D0">
              <w:rPr>
                <w:rStyle w:val="Lienhypertexte"/>
                <w:noProof/>
              </w:rPr>
              <w:t>3.</w:t>
            </w:r>
            <w:r>
              <w:rPr>
                <w:rFonts w:asciiTheme="minorHAnsi" w:eastAsiaTheme="minorEastAsia" w:hAnsiTheme="minorHAnsi"/>
                <w:noProof/>
                <w:lang w:val="fr-FR" w:eastAsia="fr-FR"/>
              </w:rPr>
              <w:tab/>
            </w:r>
            <w:r w:rsidRPr="004509D0">
              <w:rPr>
                <w:rStyle w:val="Lienhypertexte"/>
                <w:noProof/>
              </w:rPr>
              <w:t>Age-standardized Years of Life Lost [YLL] 1990 – 2017 (Figure 3)</w:t>
            </w:r>
            <w:r>
              <w:rPr>
                <w:noProof/>
                <w:webHidden/>
              </w:rPr>
              <w:tab/>
            </w:r>
            <w:r>
              <w:rPr>
                <w:noProof/>
                <w:webHidden/>
              </w:rPr>
              <w:fldChar w:fldCharType="begin"/>
            </w:r>
            <w:r>
              <w:rPr>
                <w:noProof/>
                <w:webHidden/>
              </w:rPr>
              <w:instrText xml:space="preserve"> PAGEREF _Toc53067358 \h </w:instrText>
            </w:r>
            <w:r>
              <w:rPr>
                <w:noProof/>
                <w:webHidden/>
              </w:rPr>
            </w:r>
            <w:r>
              <w:rPr>
                <w:noProof/>
                <w:webHidden/>
              </w:rPr>
              <w:fldChar w:fldCharType="separate"/>
            </w:r>
            <w:r>
              <w:rPr>
                <w:noProof/>
                <w:webHidden/>
              </w:rPr>
              <w:t>7</w:t>
            </w:r>
            <w:r>
              <w:rPr>
                <w:noProof/>
                <w:webHidden/>
              </w:rPr>
              <w:fldChar w:fldCharType="end"/>
            </w:r>
          </w:hyperlink>
        </w:p>
        <w:p w:rsidR="00B36AD4" w:rsidRDefault="00B36AD4" w:rsidP="00B36AD4">
          <w:pPr>
            <w:pStyle w:val="TM3"/>
            <w:tabs>
              <w:tab w:val="left" w:pos="880"/>
              <w:tab w:val="right" w:leader="dot" w:pos="9017"/>
            </w:tabs>
            <w:rPr>
              <w:rFonts w:asciiTheme="minorHAnsi" w:eastAsiaTheme="minorEastAsia" w:hAnsiTheme="minorHAnsi"/>
              <w:noProof/>
              <w:lang w:val="fr-FR" w:eastAsia="fr-FR"/>
            </w:rPr>
          </w:pPr>
          <w:hyperlink w:anchor="_Toc53067359" w:history="1">
            <w:r w:rsidRPr="004509D0">
              <w:rPr>
                <w:rStyle w:val="Lienhypertexte"/>
                <w:noProof/>
              </w:rPr>
              <w:t>4.</w:t>
            </w:r>
            <w:r>
              <w:rPr>
                <w:rFonts w:asciiTheme="minorHAnsi" w:eastAsiaTheme="minorEastAsia" w:hAnsiTheme="minorHAnsi"/>
                <w:noProof/>
                <w:lang w:val="fr-FR" w:eastAsia="fr-FR"/>
              </w:rPr>
              <w:tab/>
            </w:r>
            <w:r w:rsidRPr="004509D0">
              <w:rPr>
                <w:rStyle w:val="Lienhypertexte"/>
                <w:noProof/>
              </w:rPr>
              <w:t>Age-standardized Years Lived with Disability [YLD] 1990 – 2017 (Figure 4)</w:t>
            </w:r>
            <w:r>
              <w:rPr>
                <w:noProof/>
                <w:webHidden/>
              </w:rPr>
              <w:tab/>
            </w:r>
            <w:r>
              <w:rPr>
                <w:noProof/>
                <w:webHidden/>
              </w:rPr>
              <w:fldChar w:fldCharType="begin"/>
            </w:r>
            <w:r>
              <w:rPr>
                <w:noProof/>
                <w:webHidden/>
              </w:rPr>
              <w:instrText xml:space="preserve"> PAGEREF _Toc53067359 \h </w:instrText>
            </w:r>
            <w:r>
              <w:rPr>
                <w:noProof/>
                <w:webHidden/>
              </w:rPr>
            </w:r>
            <w:r>
              <w:rPr>
                <w:noProof/>
                <w:webHidden/>
              </w:rPr>
              <w:fldChar w:fldCharType="separate"/>
            </w:r>
            <w:r>
              <w:rPr>
                <w:noProof/>
                <w:webHidden/>
              </w:rPr>
              <w:t>8</w:t>
            </w:r>
            <w:r>
              <w:rPr>
                <w:noProof/>
                <w:webHidden/>
              </w:rPr>
              <w:fldChar w:fldCharType="end"/>
            </w:r>
          </w:hyperlink>
        </w:p>
        <w:p w:rsidR="00B36AD4" w:rsidRDefault="00B36AD4" w:rsidP="00B36AD4">
          <w:pPr>
            <w:pStyle w:val="TM3"/>
            <w:tabs>
              <w:tab w:val="left" w:pos="880"/>
              <w:tab w:val="right" w:leader="dot" w:pos="9017"/>
            </w:tabs>
            <w:rPr>
              <w:rFonts w:asciiTheme="minorHAnsi" w:eastAsiaTheme="minorEastAsia" w:hAnsiTheme="minorHAnsi"/>
              <w:noProof/>
              <w:lang w:val="fr-FR" w:eastAsia="fr-FR"/>
            </w:rPr>
          </w:pPr>
          <w:hyperlink w:anchor="_Toc53067360" w:history="1">
            <w:r w:rsidRPr="004509D0">
              <w:rPr>
                <w:rStyle w:val="Lienhypertexte"/>
                <w:noProof/>
              </w:rPr>
              <w:t>5.</w:t>
            </w:r>
            <w:r>
              <w:rPr>
                <w:rFonts w:asciiTheme="minorHAnsi" w:eastAsiaTheme="minorEastAsia" w:hAnsiTheme="minorHAnsi"/>
                <w:noProof/>
                <w:lang w:val="fr-FR" w:eastAsia="fr-FR"/>
              </w:rPr>
              <w:tab/>
            </w:r>
            <w:r w:rsidRPr="004509D0">
              <w:rPr>
                <w:rStyle w:val="Lienhypertexte"/>
                <w:noProof/>
              </w:rPr>
              <w:t>Age-standardized DALYs 1990 – 2017 (Figure 5)</w:t>
            </w:r>
            <w:r>
              <w:rPr>
                <w:noProof/>
                <w:webHidden/>
              </w:rPr>
              <w:tab/>
            </w:r>
            <w:r>
              <w:rPr>
                <w:noProof/>
                <w:webHidden/>
              </w:rPr>
              <w:fldChar w:fldCharType="begin"/>
            </w:r>
            <w:r>
              <w:rPr>
                <w:noProof/>
                <w:webHidden/>
              </w:rPr>
              <w:instrText xml:space="preserve"> PAGEREF _Toc53067360 \h </w:instrText>
            </w:r>
            <w:r>
              <w:rPr>
                <w:noProof/>
                <w:webHidden/>
              </w:rPr>
            </w:r>
            <w:r>
              <w:rPr>
                <w:noProof/>
                <w:webHidden/>
              </w:rPr>
              <w:fldChar w:fldCharType="separate"/>
            </w:r>
            <w:r>
              <w:rPr>
                <w:noProof/>
                <w:webHidden/>
              </w:rPr>
              <w:t>9</w:t>
            </w:r>
            <w:r>
              <w:rPr>
                <w:noProof/>
                <w:webHidden/>
              </w:rPr>
              <w:fldChar w:fldCharType="end"/>
            </w:r>
          </w:hyperlink>
        </w:p>
        <w:p w:rsidR="00B36AD4" w:rsidRDefault="00B36AD4" w:rsidP="00B36AD4">
          <w:pPr>
            <w:pStyle w:val="TM3"/>
            <w:tabs>
              <w:tab w:val="left" w:pos="880"/>
              <w:tab w:val="right" w:leader="dot" w:pos="9017"/>
            </w:tabs>
            <w:rPr>
              <w:rFonts w:asciiTheme="minorHAnsi" w:eastAsiaTheme="minorEastAsia" w:hAnsiTheme="minorHAnsi"/>
              <w:noProof/>
              <w:lang w:val="fr-FR" w:eastAsia="fr-FR"/>
            </w:rPr>
          </w:pPr>
          <w:hyperlink w:anchor="_Toc53067361" w:history="1">
            <w:r w:rsidRPr="004509D0">
              <w:rPr>
                <w:rStyle w:val="Lienhypertexte"/>
                <w:noProof/>
              </w:rPr>
              <w:t>6.</w:t>
            </w:r>
            <w:r>
              <w:rPr>
                <w:rFonts w:asciiTheme="minorHAnsi" w:eastAsiaTheme="minorEastAsia" w:hAnsiTheme="minorHAnsi"/>
                <w:noProof/>
                <w:lang w:val="fr-FR" w:eastAsia="fr-FR"/>
              </w:rPr>
              <w:tab/>
            </w:r>
            <w:r w:rsidRPr="004509D0">
              <w:rPr>
                <w:rStyle w:val="Lienhypertexte"/>
                <w:noProof/>
              </w:rPr>
              <w:t>Age-standardized DALYs due to known risk factors 1990 – 2017 (Figure 6)</w:t>
            </w:r>
            <w:r>
              <w:rPr>
                <w:noProof/>
                <w:webHidden/>
              </w:rPr>
              <w:tab/>
            </w:r>
            <w:r>
              <w:rPr>
                <w:noProof/>
                <w:webHidden/>
              </w:rPr>
              <w:fldChar w:fldCharType="begin"/>
            </w:r>
            <w:r>
              <w:rPr>
                <w:noProof/>
                <w:webHidden/>
              </w:rPr>
              <w:instrText xml:space="preserve"> PAGEREF _Toc53067361 \h </w:instrText>
            </w:r>
            <w:r>
              <w:rPr>
                <w:noProof/>
                <w:webHidden/>
              </w:rPr>
            </w:r>
            <w:r>
              <w:rPr>
                <w:noProof/>
                <w:webHidden/>
              </w:rPr>
              <w:fldChar w:fldCharType="separate"/>
            </w:r>
            <w:r>
              <w:rPr>
                <w:noProof/>
                <w:webHidden/>
              </w:rPr>
              <w:t>10</w:t>
            </w:r>
            <w:r>
              <w:rPr>
                <w:noProof/>
                <w:webHidden/>
              </w:rPr>
              <w:fldChar w:fldCharType="end"/>
            </w:r>
          </w:hyperlink>
        </w:p>
        <w:p w:rsidR="00B36AD4" w:rsidRDefault="00B36AD4" w:rsidP="00B36AD4">
          <w:pPr>
            <w:pStyle w:val="TM3"/>
            <w:tabs>
              <w:tab w:val="left" w:pos="880"/>
              <w:tab w:val="right" w:leader="dot" w:pos="9017"/>
            </w:tabs>
            <w:rPr>
              <w:rFonts w:asciiTheme="minorHAnsi" w:eastAsiaTheme="minorEastAsia" w:hAnsiTheme="minorHAnsi"/>
              <w:noProof/>
              <w:lang w:val="fr-FR" w:eastAsia="fr-FR"/>
            </w:rPr>
          </w:pPr>
          <w:hyperlink w:anchor="_Toc53067362" w:history="1">
            <w:r w:rsidRPr="004509D0">
              <w:rPr>
                <w:rStyle w:val="Lienhypertexte"/>
                <w:noProof/>
              </w:rPr>
              <w:t>7.</w:t>
            </w:r>
            <w:r>
              <w:rPr>
                <w:rFonts w:asciiTheme="minorHAnsi" w:eastAsiaTheme="minorEastAsia" w:hAnsiTheme="minorHAnsi"/>
                <w:noProof/>
                <w:lang w:val="fr-FR" w:eastAsia="fr-FR"/>
              </w:rPr>
              <w:tab/>
            </w:r>
            <w:r w:rsidRPr="004509D0">
              <w:rPr>
                <w:rStyle w:val="Lienhypertexte"/>
                <w:noProof/>
              </w:rPr>
              <w:t>Annual change in age-standardized DALYs attributable to top ten health conditions 1990 – 2017 (Figure 7)</w:t>
            </w:r>
            <w:r>
              <w:rPr>
                <w:noProof/>
                <w:webHidden/>
              </w:rPr>
              <w:tab/>
            </w:r>
            <w:r>
              <w:rPr>
                <w:noProof/>
                <w:webHidden/>
              </w:rPr>
              <w:fldChar w:fldCharType="begin"/>
            </w:r>
            <w:r>
              <w:rPr>
                <w:noProof/>
                <w:webHidden/>
              </w:rPr>
              <w:instrText xml:space="preserve"> PAGEREF _Toc53067362 \h </w:instrText>
            </w:r>
            <w:r>
              <w:rPr>
                <w:noProof/>
                <w:webHidden/>
              </w:rPr>
            </w:r>
            <w:r>
              <w:rPr>
                <w:noProof/>
                <w:webHidden/>
              </w:rPr>
              <w:fldChar w:fldCharType="separate"/>
            </w:r>
            <w:r>
              <w:rPr>
                <w:noProof/>
                <w:webHidden/>
              </w:rPr>
              <w:t>11</w:t>
            </w:r>
            <w:r>
              <w:rPr>
                <w:noProof/>
                <w:webHidden/>
              </w:rPr>
              <w:fldChar w:fldCharType="end"/>
            </w:r>
          </w:hyperlink>
        </w:p>
        <w:p w:rsidR="00B36AD4" w:rsidRDefault="00B36AD4" w:rsidP="00B36AD4">
          <w:pPr>
            <w:pStyle w:val="TM3"/>
            <w:tabs>
              <w:tab w:val="left" w:pos="880"/>
              <w:tab w:val="right" w:leader="dot" w:pos="9017"/>
            </w:tabs>
            <w:rPr>
              <w:rFonts w:asciiTheme="minorHAnsi" w:eastAsiaTheme="minorEastAsia" w:hAnsiTheme="minorHAnsi"/>
              <w:noProof/>
              <w:lang w:val="fr-FR" w:eastAsia="fr-FR"/>
            </w:rPr>
          </w:pPr>
          <w:hyperlink w:anchor="_Toc53067363" w:history="1">
            <w:r w:rsidRPr="004509D0">
              <w:rPr>
                <w:rStyle w:val="Lienhypertexte"/>
                <w:noProof/>
              </w:rPr>
              <w:t>8.</w:t>
            </w:r>
            <w:r>
              <w:rPr>
                <w:rFonts w:asciiTheme="minorHAnsi" w:eastAsiaTheme="minorEastAsia" w:hAnsiTheme="minorHAnsi"/>
                <w:noProof/>
                <w:lang w:val="fr-FR" w:eastAsia="fr-FR"/>
              </w:rPr>
              <w:tab/>
            </w:r>
            <w:r w:rsidRPr="004509D0">
              <w:rPr>
                <w:rStyle w:val="Lienhypertexte"/>
                <w:noProof/>
              </w:rPr>
              <w:t>Healthcare Access and Quality Index (HAQ) based on amenable mortality 2017 (Figure 8)</w:t>
            </w:r>
            <w:r>
              <w:rPr>
                <w:noProof/>
                <w:webHidden/>
              </w:rPr>
              <w:tab/>
            </w:r>
            <w:r>
              <w:rPr>
                <w:noProof/>
                <w:webHidden/>
              </w:rPr>
              <w:fldChar w:fldCharType="begin"/>
            </w:r>
            <w:r>
              <w:rPr>
                <w:noProof/>
                <w:webHidden/>
              </w:rPr>
              <w:instrText xml:space="preserve"> PAGEREF _Toc53067363 \h </w:instrText>
            </w:r>
            <w:r>
              <w:rPr>
                <w:noProof/>
                <w:webHidden/>
              </w:rPr>
            </w:r>
            <w:r>
              <w:rPr>
                <w:noProof/>
                <w:webHidden/>
              </w:rPr>
              <w:fldChar w:fldCharType="separate"/>
            </w:r>
            <w:r>
              <w:rPr>
                <w:noProof/>
                <w:webHidden/>
              </w:rPr>
              <w:t>12</w:t>
            </w:r>
            <w:r>
              <w:rPr>
                <w:noProof/>
                <w:webHidden/>
              </w:rPr>
              <w:fldChar w:fldCharType="end"/>
            </w:r>
          </w:hyperlink>
        </w:p>
        <w:p w:rsidR="00B36AD4" w:rsidRDefault="00B36AD4" w:rsidP="00B36AD4">
          <w:pPr>
            <w:pStyle w:val="TM2"/>
            <w:tabs>
              <w:tab w:val="left" w:pos="660"/>
              <w:tab w:val="right" w:leader="dot" w:pos="9017"/>
            </w:tabs>
            <w:rPr>
              <w:rFonts w:asciiTheme="minorHAnsi" w:eastAsiaTheme="minorEastAsia" w:hAnsiTheme="minorHAnsi"/>
              <w:noProof/>
              <w:lang w:val="fr-FR" w:eastAsia="fr-FR"/>
            </w:rPr>
          </w:pPr>
          <w:hyperlink w:anchor="_Toc53067364" w:history="1">
            <w:r w:rsidRPr="004509D0">
              <w:rPr>
                <w:rStyle w:val="Lienhypertexte"/>
                <w:noProof/>
              </w:rPr>
              <w:t>B.</w:t>
            </w:r>
            <w:r>
              <w:rPr>
                <w:rFonts w:asciiTheme="minorHAnsi" w:eastAsiaTheme="minorEastAsia" w:hAnsiTheme="minorHAnsi"/>
                <w:noProof/>
                <w:lang w:val="fr-FR" w:eastAsia="fr-FR"/>
              </w:rPr>
              <w:tab/>
            </w:r>
            <w:r w:rsidRPr="004509D0">
              <w:rPr>
                <w:rStyle w:val="Lienhypertexte"/>
                <w:noProof/>
              </w:rPr>
              <w:t>Additional data sources used by individual countries for national health reporting</w:t>
            </w:r>
            <w:r>
              <w:rPr>
                <w:noProof/>
                <w:webHidden/>
              </w:rPr>
              <w:tab/>
            </w:r>
            <w:r>
              <w:rPr>
                <w:noProof/>
                <w:webHidden/>
              </w:rPr>
              <w:fldChar w:fldCharType="begin"/>
            </w:r>
            <w:r>
              <w:rPr>
                <w:noProof/>
                <w:webHidden/>
              </w:rPr>
              <w:instrText xml:space="preserve"> PAGEREF _Toc53067364 \h </w:instrText>
            </w:r>
            <w:r>
              <w:rPr>
                <w:noProof/>
                <w:webHidden/>
              </w:rPr>
            </w:r>
            <w:r>
              <w:rPr>
                <w:noProof/>
                <w:webHidden/>
              </w:rPr>
              <w:fldChar w:fldCharType="separate"/>
            </w:r>
            <w:r>
              <w:rPr>
                <w:noProof/>
                <w:webHidden/>
              </w:rPr>
              <w:t>12</w:t>
            </w:r>
            <w:r>
              <w:rPr>
                <w:noProof/>
                <w:webHidden/>
              </w:rPr>
              <w:fldChar w:fldCharType="end"/>
            </w:r>
          </w:hyperlink>
        </w:p>
        <w:p w:rsidR="00B36AD4" w:rsidRDefault="00B36AD4" w:rsidP="00B36AD4">
          <w:pPr>
            <w:pStyle w:val="TM1"/>
            <w:tabs>
              <w:tab w:val="left" w:pos="440"/>
              <w:tab w:val="right" w:leader="dot" w:pos="9017"/>
            </w:tabs>
            <w:rPr>
              <w:rFonts w:asciiTheme="minorHAnsi" w:eastAsiaTheme="minorEastAsia" w:hAnsiTheme="minorHAnsi"/>
              <w:noProof/>
              <w:lang w:val="fr-FR" w:eastAsia="fr-FR"/>
            </w:rPr>
          </w:pPr>
          <w:hyperlink w:anchor="_Toc53067365" w:history="1">
            <w:r w:rsidRPr="004509D0">
              <w:rPr>
                <w:rStyle w:val="Lienhypertexte"/>
                <w:noProof/>
              </w:rPr>
              <w:t>V.</w:t>
            </w:r>
            <w:r>
              <w:rPr>
                <w:rFonts w:asciiTheme="minorHAnsi" w:eastAsiaTheme="minorEastAsia" w:hAnsiTheme="minorHAnsi"/>
                <w:noProof/>
                <w:lang w:val="fr-FR" w:eastAsia="fr-FR"/>
              </w:rPr>
              <w:tab/>
              <w:t xml:space="preserve">    </w:t>
            </w:r>
            <w:r w:rsidRPr="004509D0">
              <w:rPr>
                <w:rStyle w:val="Lienhypertexte"/>
                <w:noProof/>
              </w:rPr>
              <w:t>Discussion</w:t>
            </w:r>
            <w:r>
              <w:rPr>
                <w:noProof/>
                <w:webHidden/>
              </w:rPr>
              <w:tab/>
            </w:r>
            <w:r>
              <w:rPr>
                <w:noProof/>
                <w:webHidden/>
              </w:rPr>
              <w:fldChar w:fldCharType="begin"/>
            </w:r>
            <w:r>
              <w:rPr>
                <w:noProof/>
                <w:webHidden/>
              </w:rPr>
              <w:instrText xml:space="preserve"> PAGEREF _Toc53067365 \h </w:instrText>
            </w:r>
            <w:r>
              <w:rPr>
                <w:noProof/>
                <w:webHidden/>
              </w:rPr>
            </w:r>
            <w:r>
              <w:rPr>
                <w:noProof/>
                <w:webHidden/>
              </w:rPr>
              <w:fldChar w:fldCharType="separate"/>
            </w:r>
            <w:r>
              <w:rPr>
                <w:noProof/>
                <w:webHidden/>
              </w:rPr>
              <w:t>14</w:t>
            </w:r>
            <w:r>
              <w:rPr>
                <w:noProof/>
                <w:webHidden/>
              </w:rPr>
              <w:fldChar w:fldCharType="end"/>
            </w:r>
          </w:hyperlink>
        </w:p>
        <w:p w:rsidR="00B36AD4" w:rsidRDefault="00B36AD4" w:rsidP="00B36AD4">
          <w:pPr>
            <w:pStyle w:val="TM1"/>
            <w:tabs>
              <w:tab w:val="left" w:pos="660"/>
              <w:tab w:val="right" w:leader="dot" w:pos="9017"/>
            </w:tabs>
            <w:rPr>
              <w:rFonts w:asciiTheme="minorHAnsi" w:eastAsiaTheme="minorEastAsia" w:hAnsiTheme="minorHAnsi"/>
              <w:noProof/>
              <w:lang w:val="fr-FR" w:eastAsia="fr-FR"/>
            </w:rPr>
          </w:pPr>
          <w:hyperlink w:anchor="_Toc53067366" w:history="1">
            <w:r w:rsidRPr="004509D0">
              <w:rPr>
                <w:rStyle w:val="Lienhypertexte"/>
                <w:noProof/>
              </w:rPr>
              <w:t>VI.</w:t>
            </w:r>
            <w:r>
              <w:rPr>
                <w:rFonts w:asciiTheme="minorHAnsi" w:eastAsiaTheme="minorEastAsia" w:hAnsiTheme="minorHAnsi"/>
                <w:noProof/>
                <w:lang w:val="fr-FR" w:eastAsia="fr-FR"/>
              </w:rPr>
              <w:tab/>
            </w:r>
            <w:r w:rsidRPr="004509D0">
              <w:rPr>
                <w:rStyle w:val="Lienhypertexte"/>
                <w:noProof/>
              </w:rPr>
              <w:t>Conclusions</w:t>
            </w:r>
            <w:r>
              <w:rPr>
                <w:noProof/>
                <w:webHidden/>
              </w:rPr>
              <w:tab/>
            </w:r>
            <w:r>
              <w:rPr>
                <w:noProof/>
                <w:webHidden/>
              </w:rPr>
              <w:fldChar w:fldCharType="begin"/>
            </w:r>
            <w:r>
              <w:rPr>
                <w:noProof/>
                <w:webHidden/>
              </w:rPr>
              <w:instrText xml:space="preserve"> PAGEREF _Toc53067366 \h </w:instrText>
            </w:r>
            <w:r>
              <w:rPr>
                <w:noProof/>
                <w:webHidden/>
              </w:rPr>
            </w:r>
            <w:r>
              <w:rPr>
                <w:noProof/>
                <w:webHidden/>
              </w:rPr>
              <w:fldChar w:fldCharType="separate"/>
            </w:r>
            <w:r>
              <w:rPr>
                <w:noProof/>
                <w:webHidden/>
              </w:rPr>
              <w:t>16</w:t>
            </w:r>
            <w:r>
              <w:rPr>
                <w:noProof/>
                <w:webHidden/>
              </w:rPr>
              <w:fldChar w:fldCharType="end"/>
            </w:r>
          </w:hyperlink>
        </w:p>
        <w:p w:rsidR="00B36AD4" w:rsidRDefault="00B36AD4" w:rsidP="00B36AD4">
          <w:pPr>
            <w:pStyle w:val="TM1"/>
            <w:tabs>
              <w:tab w:val="left" w:pos="660"/>
              <w:tab w:val="right" w:leader="dot" w:pos="9017"/>
            </w:tabs>
            <w:rPr>
              <w:rFonts w:asciiTheme="minorHAnsi" w:eastAsiaTheme="minorEastAsia" w:hAnsiTheme="minorHAnsi"/>
              <w:noProof/>
              <w:lang w:val="fr-FR" w:eastAsia="fr-FR"/>
            </w:rPr>
          </w:pPr>
          <w:hyperlink w:anchor="_Toc53067367" w:history="1">
            <w:r w:rsidRPr="004509D0">
              <w:rPr>
                <w:rStyle w:val="Lienhypertexte"/>
                <w:noProof/>
              </w:rPr>
              <w:t>VII.</w:t>
            </w:r>
            <w:r>
              <w:rPr>
                <w:rFonts w:asciiTheme="minorHAnsi" w:eastAsiaTheme="minorEastAsia" w:hAnsiTheme="minorHAnsi"/>
                <w:noProof/>
                <w:lang w:val="fr-FR" w:eastAsia="fr-FR"/>
              </w:rPr>
              <w:tab/>
            </w:r>
            <w:r w:rsidRPr="004509D0">
              <w:rPr>
                <w:rStyle w:val="Lienhypertexte"/>
                <w:noProof/>
              </w:rPr>
              <w:t>References</w:t>
            </w:r>
            <w:r>
              <w:rPr>
                <w:noProof/>
                <w:webHidden/>
              </w:rPr>
              <w:tab/>
            </w:r>
            <w:r>
              <w:rPr>
                <w:noProof/>
                <w:webHidden/>
              </w:rPr>
              <w:fldChar w:fldCharType="begin"/>
            </w:r>
            <w:r>
              <w:rPr>
                <w:noProof/>
                <w:webHidden/>
              </w:rPr>
              <w:instrText xml:space="preserve"> PAGEREF _Toc53067367 \h </w:instrText>
            </w:r>
            <w:r>
              <w:rPr>
                <w:noProof/>
                <w:webHidden/>
              </w:rPr>
            </w:r>
            <w:r>
              <w:rPr>
                <w:noProof/>
                <w:webHidden/>
              </w:rPr>
              <w:fldChar w:fldCharType="separate"/>
            </w:r>
            <w:r>
              <w:rPr>
                <w:noProof/>
                <w:webHidden/>
              </w:rPr>
              <w:t>17</w:t>
            </w:r>
            <w:r>
              <w:rPr>
                <w:noProof/>
                <w:webHidden/>
              </w:rPr>
              <w:fldChar w:fldCharType="end"/>
            </w:r>
          </w:hyperlink>
        </w:p>
        <w:p w:rsidR="00B36AD4" w:rsidRDefault="00B36AD4" w:rsidP="00B36AD4">
          <w:pPr>
            <w:pStyle w:val="TM1"/>
            <w:tabs>
              <w:tab w:val="left" w:pos="660"/>
              <w:tab w:val="right" w:leader="dot" w:pos="9017"/>
            </w:tabs>
            <w:rPr>
              <w:rFonts w:asciiTheme="minorHAnsi" w:eastAsiaTheme="minorEastAsia" w:hAnsiTheme="minorHAnsi"/>
              <w:noProof/>
              <w:lang w:val="fr-FR" w:eastAsia="fr-FR"/>
            </w:rPr>
          </w:pPr>
          <w:hyperlink w:anchor="_Toc53067368" w:history="1">
            <w:r w:rsidRPr="004509D0">
              <w:rPr>
                <w:rStyle w:val="Lienhypertexte"/>
                <w:noProof/>
              </w:rPr>
              <w:t>VIII.</w:t>
            </w:r>
            <w:r>
              <w:rPr>
                <w:rFonts w:asciiTheme="minorHAnsi" w:eastAsiaTheme="minorEastAsia" w:hAnsiTheme="minorHAnsi"/>
                <w:noProof/>
                <w:lang w:val="fr-FR" w:eastAsia="fr-FR"/>
              </w:rPr>
              <w:tab/>
            </w:r>
            <w:r w:rsidRPr="004509D0">
              <w:rPr>
                <w:rStyle w:val="Lienhypertexte"/>
                <w:noProof/>
              </w:rPr>
              <w:t>Additional files</w:t>
            </w:r>
            <w:r>
              <w:rPr>
                <w:noProof/>
                <w:webHidden/>
              </w:rPr>
              <w:tab/>
            </w:r>
            <w:r>
              <w:rPr>
                <w:noProof/>
                <w:webHidden/>
              </w:rPr>
              <w:fldChar w:fldCharType="begin"/>
            </w:r>
            <w:r>
              <w:rPr>
                <w:noProof/>
                <w:webHidden/>
              </w:rPr>
              <w:instrText xml:space="preserve"> PAGEREF _Toc53067368 \h </w:instrText>
            </w:r>
            <w:r>
              <w:rPr>
                <w:noProof/>
                <w:webHidden/>
              </w:rPr>
            </w:r>
            <w:r>
              <w:rPr>
                <w:noProof/>
                <w:webHidden/>
              </w:rPr>
              <w:fldChar w:fldCharType="separate"/>
            </w:r>
            <w:r>
              <w:rPr>
                <w:noProof/>
                <w:webHidden/>
              </w:rPr>
              <w:t>18</w:t>
            </w:r>
            <w:r>
              <w:rPr>
                <w:noProof/>
                <w:webHidden/>
              </w:rPr>
              <w:fldChar w:fldCharType="end"/>
            </w:r>
          </w:hyperlink>
        </w:p>
        <w:p w:rsidR="00B36AD4" w:rsidRDefault="00B36AD4" w:rsidP="00B36AD4">
          <w:pPr>
            <w:pStyle w:val="TM2"/>
            <w:tabs>
              <w:tab w:val="left" w:pos="660"/>
              <w:tab w:val="right" w:leader="dot" w:pos="9017"/>
            </w:tabs>
            <w:rPr>
              <w:rFonts w:asciiTheme="minorHAnsi" w:eastAsiaTheme="minorEastAsia" w:hAnsiTheme="minorHAnsi"/>
              <w:noProof/>
              <w:lang w:val="fr-FR" w:eastAsia="fr-FR"/>
            </w:rPr>
          </w:pPr>
          <w:hyperlink w:anchor="_Toc53067369" w:history="1">
            <w:r w:rsidRPr="004509D0">
              <w:rPr>
                <w:rStyle w:val="Lienhypertexte"/>
                <w:noProof/>
              </w:rPr>
              <w:t>A.</w:t>
            </w:r>
            <w:r>
              <w:rPr>
                <w:rFonts w:asciiTheme="minorHAnsi" w:eastAsiaTheme="minorEastAsia" w:hAnsiTheme="minorHAnsi"/>
                <w:noProof/>
                <w:lang w:val="fr-FR" w:eastAsia="fr-FR"/>
              </w:rPr>
              <w:tab/>
            </w:r>
            <w:r w:rsidRPr="004509D0">
              <w:rPr>
                <w:rStyle w:val="Lienhypertexte"/>
                <w:noProof/>
              </w:rPr>
              <w:t>Additional file 1</w:t>
            </w:r>
            <w:r>
              <w:rPr>
                <w:noProof/>
                <w:webHidden/>
              </w:rPr>
              <w:tab/>
            </w:r>
            <w:r>
              <w:rPr>
                <w:noProof/>
                <w:webHidden/>
              </w:rPr>
              <w:fldChar w:fldCharType="begin"/>
            </w:r>
            <w:r>
              <w:rPr>
                <w:noProof/>
                <w:webHidden/>
              </w:rPr>
              <w:instrText xml:space="preserve"> PAGEREF _Toc53067369 \h </w:instrText>
            </w:r>
            <w:r>
              <w:rPr>
                <w:noProof/>
                <w:webHidden/>
              </w:rPr>
            </w:r>
            <w:r>
              <w:rPr>
                <w:noProof/>
                <w:webHidden/>
              </w:rPr>
              <w:fldChar w:fldCharType="separate"/>
            </w:r>
            <w:r>
              <w:rPr>
                <w:noProof/>
                <w:webHidden/>
              </w:rPr>
              <w:t>18</w:t>
            </w:r>
            <w:r>
              <w:rPr>
                <w:noProof/>
                <w:webHidden/>
              </w:rPr>
              <w:fldChar w:fldCharType="end"/>
            </w:r>
          </w:hyperlink>
        </w:p>
        <w:p w:rsidR="00B36AD4" w:rsidRDefault="00B36AD4" w:rsidP="00B36AD4">
          <w:pPr>
            <w:pStyle w:val="TM2"/>
            <w:tabs>
              <w:tab w:val="left" w:pos="660"/>
              <w:tab w:val="right" w:leader="dot" w:pos="9017"/>
            </w:tabs>
            <w:rPr>
              <w:rFonts w:asciiTheme="minorHAnsi" w:eastAsiaTheme="minorEastAsia" w:hAnsiTheme="minorHAnsi"/>
              <w:noProof/>
              <w:lang w:val="fr-FR" w:eastAsia="fr-FR"/>
            </w:rPr>
          </w:pPr>
          <w:hyperlink w:anchor="_Toc53067370" w:history="1">
            <w:r w:rsidRPr="004509D0">
              <w:rPr>
                <w:rStyle w:val="Lienhypertexte"/>
                <w:noProof/>
              </w:rPr>
              <w:t>B.</w:t>
            </w:r>
            <w:r>
              <w:rPr>
                <w:rFonts w:asciiTheme="minorHAnsi" w:eastAsiaTheme="minorEastAsia" w:hAnsiTheme="minorHAnsi"/>
                <w:noProof/>
                <w:lang w:val="fr-FR" w:eastAsia="fr-FR"/>
              </w:rPr>
              <w:tab/>
            </w:r>
            <w:r w:rsidRPr="004509D0">
              <w:rPr>
                <w:rStyle w:val="Lienhypertexte"/>
                <w:noProof/>
              </w:rPr>
              <w:t>Additional file 2</w:t>
            </w:r>
            <w:r>
              <w:rPr>
                <w:noProof/>
                <w:webHidden/>
              </w:rPr>
              <w:tab/>
            </w:r>
            <w:r>
              <w:rPr>
                <w:noProof/>
                <w:webHidden/>
              </w:rPr>
              <w:fldChar w:fldCharType="begin"/>
            </w:r>
            <w:r>
              <w:rPr>
                <w:noProof/>
                <w:webHidden/>
              </w:rPr>
              <w:instrText xml:space="preserve"> PAGEREF _Toc53067370 \h </w:instrText>
            </w:r>
            <w:r>
              <w:rPr>
                <w:noProof/>
                <w:webHidden/>
              </w:rPr>
            </w:r>
            <w:r>
              <w:rPr>
                <w:noProof/>
                <w:webHidden/>
              </w:rPr>
              <w:fldChar w:fldCharType="separate"/>
            </w:r>
            <w:r>
              <w:rPr>
                <w:noProof/>
                <w:webHidden/>
              </w:rPr>
              <w:t>24</w:t>
            </w:r>
            <w:r>
              <w:rPr>
                <w:noProof/>
                <w:webHidden/>
              </w:rPr>
              <w:fldChar w:fldCharType="end"/>
            </w:r>
          </w:hyperlink>
        </w:p>
        <w:p w:rsidR="00B36AD4" w:rsidRDefault="00B36AD4" w:rsidP="00B36AD4">
          <w:pPr>
            <w:pStyle w:val="TM2"/>
            <w:tabs>
              <w:tab w:val="left" w:pos="660"/>
              <w:tab w:val="right" w:leader="dot" w:pos="9017"/>
            </w:tabs>
            <w:rPr>
              <w:rFonts w:asciiTheme="minorHAnsi" w:eastAsiaTheme="minorEastAsia" w:hAnsiTheme="minorHAnsi"/>
              <w:noProof/>
              <w:lang w:val="fr-FR" w:eastAsia="fr-FR"/>
            </w:rPr>
          </w:pPr>
          <w:hyperlink w:anchor="_Toc53067371" w:history="1">
            <w:r w:rsidRPr="004509D0">
              <w:rPr>
                <w:rStyle w:val="Lienhypertexte"/>
                <w:noProof/>
              </w:rPr>
              <w:t>C.</w:t>
            </w:r>
            <w:r>
              <w:rPr>
                <w:rFonts w:asciiTheme="minorHAnsi" w:eastAsiaTheme="minorEastAsia" w:hAnsiTheme="minorHAnsi"/>
                <w:noProof/>
                <w:lang w:val="fr-FR" w:eastAsia="fr-FR"/>
              </w:rPr>
              <w:tab/>
            </w:r>
            <w:r w:rsidRPr="004509D0">
              <w:rPr>
                <w:rStyle w:val="Lienhypertexte"/>
                <w:noProof/>
              </w:rPr>
              <w:t>Additional file 3</w:t>
            </w:r>
            <w:r>
              <w:rPr>
                <w:noProof/>
                <w:webHidden/>
              </w:rPr>
              <w:tab/>
            </w:r>
            <w:r>
              <w:rPr>
                <w:noProof/>
                <w:webHidden/>
              </w:rPr>
              <w:fldChar w:fldCharType="begin"/>
            </w:r>
            <w:r>
              <w:rPr>
                <w:noProof/>
                <w:webHidden/>
              </w:rPr>
              <w:instrText xml:space="preserve"> PAGEREF _Toc53067371 \h </w:instrText>
            </w:r>
            <w:r>
              <w:rPr>
                <w:noProof/>
                <w:webHidden/>
              </w:rPr>
            </w:r>
            <w:r>
              <w:rPr>
                <w:noProof/>
                <w:webHidden/>
              </w:rPr>
              <w:fldChar w:fldCharType="separate"/>
            </w:r>
            <w:r>
              <w:rPr>
                <w:noProof/>
                <w:webHidden/>
              </w:rPr>
              <w:t>27</w:t>
            </w:r>
            <w:r>
              <w:rPr>
                <w:noProof/>
                <w:webHidden/>
              </w:rPr>
              <w:fldChar w:fldCharType="end"/>
            </w:r>
          </w:hyperlink>
        </w:p>
        <w:p w:rsidR="00B36AD4" w:rsidRDefault="00B36AD4" w:rsidP="00B36AD4">
          <w:pPr>
            <w:rPr>
              <w:noProof/>
            </w:rPr>
          </w:pPr>
          <w:r w:rsidRPr="00FD26A2">
            <w:rPr>
              <w:b/>
              <w:bCs/>
              <w:noProof/>
            </w:rPr>
            <w:fldChar w:fldCharType="end"/>
          </w:r>
        </w:p>
      </w:sdtContent>
    </w:sdt>
    <w:p w:rsidR="00B36AD4" w:rsidRPr="00D775F0" w:rsidRDefault="00B36AD4" w:rsidP="00B36AD4">
      <w:pPr>
        <w:pStyle w:val="Titre1"/>
        <w:pageBreakBefore/>
        <w:numPr>
          <w:ilvl w:val="0"/>
          <w:numId w:val="0"/>
        </w:numPr>
        <w:rPr>
          <w:lang w:eastAsia="ja-JP"/>
        </w:rPr>
      </w:pPr>
      <w:bookmarkStart w:id="1" w:name="_Toc53067349"/>
      <w:r>
        <w:rPr>
          <w:lang w:eastAsia="ja-JP"/>
        </w:rPr>
        <w:lastRenderedPageBreak/>
        <w:t>E</w:t>
      </w:r>
      <w:r w:rsidRPr="00A67295">
        <w:rPr>
          <w:lang w:eastAsia="ja-JP"/>
        </w:rPr>
        <w:t>xecutive summary</w:t>
      </w:r>
      <w:bookmarkEnd w:id="1"/>
      <w:r>
        <w:rPr>
          <w:lang w:eastAsia="ja-JP"/>
        </w:rPr>
        <w:t xml:space="preserve"> </w:t>
      </w:r>
    </w:p>
    <w:p w:rsidR="00B36AD4" w:rsidRPr="00587DD7" w:rsidRDefault="00B36AD4" w:rsidP="00B36AD4">
      <w:pPr>
        <w:jc w:val="both"/>
        <w:rPr>
          <w:rFonts w:cs="Times New Roman"/>
          <w:sz w:val="24"/>
          <w:szCs w:val="24"/>
        </w:rPr>
      </w:pPr>
      <w:r w:rsidRPr="00EC588C">
        <w:rPr>
          <w:rFonts w:cs="Times New Roman"/>
          <w:b/>
          <w:sz w:val="24"/>
          <w:szCs w:val="24"/>
        </w:rPr>
        <w:t>Background:</w:t>
      </w:r>
      <w:r w:rsidRPr="00EC588C">
        <w:rPr>
          <w:rFonts w:cs="Times New Roman"/>
          <w:sz w:val="24"/>
          <w:szCs w:val="24"/>
        </w:rPr>
        <w:t xml:space="preserve"> The country profiles provide a measure of priority health conditions and risk factors, a summary breakdown of major causes, and an appreciation of health sector performance, according to the GBD methodology. The main objectives of this study were to compare the way GBD identifies top priorities in health outcomes</w:t>
      </w:r>
      <w:r>
        <w:rPr>
          <w:rFonts w:cs="Times New Roman"/>
          <w:sz w:val="24"/>
          <w:szCs w:val="24"/>
        </w:rPr>
        <w:t>,</w:t>
      </w:r>
      <w:r w:rsidRPr="00EC588C">
        <w:rPr>
          <w:rFonts w:cs="Times New Roman"/>
          <w:sz w:val="24"/>
          <w:szCs w:val="24"/>
        </w:rPr>
        <w:t xml:space="preserve"> risk factors and health sector performance, with a country’s assessment based on their national health reporting and to identify the potential differences in estimates due to different data sources and methods used by</w:t>
      </w:r>
      <w:r w:rsidRPr="00473E6B">
        <w:rPr>
          <w:rFonts w:cs="Times New Roman"/>
          <w:sz w:val="24"/>
          <w:szCs w:val="24"/>
        </w:rPr>
        <w:t xml:space="preserve"> </w:t>
      </w:r>
      <w:r w:rsidRPr="00587DD7">
        <w:rPr>
          <w:rFonts w:cs="Times New Roman"/>
          <w:sz w:val="24"/>
          <w:szCs w:val="24"/>
        </w:rPr>
        <w:t xml:space="preserve">countries producing their own BoD estimates. </w:t>
      </w:r>
    </w:p>
    <w:p w:rsidR="00B36AD4" w:rsidRPr="00EC588C" w:rsidRDefault="00B36AD4" w:rsidP="00B36AD4">
      <w:pPr>
        <w:jc w:val="both"/>
        <w:rPr>
          <w:rFonts w:cs="Times New Roman"/>
          <w:sz w:val="24"/>
          <w:szCs w:val="24"/>
        </w:rPr>
      </w:pPr>
      <w:r w:rsidRPr="00EC588C">
        <w:rPr>
          <w:rFonts w:cs="Times New Roman"/>
          <w:b/>
          <w:sz w:val="24"/>
          <w:szCs w:val="24"/>
        </w:rPr>
        <w:t>Methods:</w:t>
      </w:r>
      <w:r w:rsidRPr="00EC588C">
        <w:rPr>
          <w:rFonts w:cs="Times New Roman"/>
          <w:sz w:val="24"/>
          <w:szCs w:val="24"/>
        </w:rPr>
        <w:t xml:space="preserve"> Using the ‘standard’ GBD metrics</w:t>
      </w:r>
      <w:r w:rsidRPr="0095190E">
        <w:rPr>
          <w:rFonts w:cs="Times New Roman"/>
          <w:sz w:val="24"/>
          <w:szCs w:val="24"/>
        </w:rPr>
        <w:t xml:space="preserve"> </w:t>
      </w:r>
      <w:r>
        <w:rPr>
          <w:rFonts w:cs="Times New Roman"/>
          <w:sz w:val="24"/>
          <w:szCs w:val="24"/>
        </w:rPr>
        <w:t>available in the GBD 2017 study</w:t>
      </w:r>
      <w:r w:rsidRPr="00EC588C">
        <w:rPr>
          <w:rFonts w:cs="Times New Roman"/>
          <w:sz w:val="24"/>
          <w:szCs w:val="24"/>
        </w:rPr>
        <w:t>, we have produced a series of country health profiles</w:t>
      </w:r>
      <w:r>
        <w:rPr>
          <w:rFonts w:cs="Times New Roman"/>
          <w:sz w:val="24"/>
          <w:szCs w:val="24"/>
        </w:rPr>
        <w:t xml:space="preserve"> of European countries</w:t>
      </w:r>
      <w:r w:rsidRPr="00EC588C">
        <w:rPr>
          <w:rFonts w:cs="Times New Roman"/>
          <w:sz w:val="24"/>
          <w:szCs w:val="24"/>
        </w:rPr>
        <w:t>. All charts have been produced using the same R code</w:t>
      </w:r>
      <w:r>
        <w:rPr>
          <w:rFonts w:cs="Times New Roman"/>
          <w:sz w:val="24"/>
          <w:szCs w:val="24"/>
        </w:rPr>
        <w:t>. W</w:t>
      </w:r>
      <w:r w:rsidRPr="000B3F96">
        <w:rPr>
          <w:rFonts w:cs="Times New Roman"/>
          <w:sz w:val="24"/>
          <w:szCs w:val="24"/>
        </w:rPr>
        <w:t>e uploaded them on an interactive website created only for ‘Country Health Profiles’</w:t>
      </w:r>
      <w:r>
        <w:rPr>
          <w:rFonts w:cs="Times New Roman"/>
          <w:sz w:val="24"/>
          <w:szCs w:val="24"/>
        </w:rPr>
        <w:t xml:space="preserve"> and shared with 30 countries with an electronic link. </w:t>
      </w:r>
      <w:r w:rsidRPr="00473E6B">
        <w:rPr>
          <w:rFonts w:cs="Times New Roman"/>
          <w:sz w:val="24"/>
          <w:szCs w:val="24"/>
        </w:rPr>
        <w:t>The survey participants were from public health institutes and were involved in burden of disease activities in their country.</w:t>
      </w:r>
      <w:r>
        <w:rPr>
          <w:rFonts w:cs="Times New Roman"/>
          <w:sz w:val="24"/>
          <w:szCs w:val="24"/>
        </w:rPr>
        <w:t xml:space="preserve"> </w:t>
      </w:r>
    </w:p>
    <w:p w:rsidR="00B36AD4" w:rsidRPr="00EC588C" w:rsidRDefault="00B36AD4" w:rsidP="00B36AD4">
      <w:pPr>
        <w:jc w:val="both"/>
        <w:rPr>
          <w:rFonts w:cs="Times New Roman"/>
          <w:sz w:val="24"/>
          <w:szCs w:val="24"/>
        </w:rPr>
      </w:pPr>
      <w:r w:rsidRPr="00EC588C">
        <w:rPr>
          <w:rFonts w:cs="Times New Roman"/>
          <w:b/>
          <w:sz w:val="24"/>
          <w:szCs w:val="24"/>
        </w:rPr>
        <w:t>Results:</w:t>
      </w:r>
      <w:r w:rsidRPr="00EC588C">
        <w:rPr>
          <w:rFonts w:cs="Times New Roman"/>
          <w:sz w:val="24"/>
          <w:szCs w:val="24"/>
        </w:rPr>
        <w:t xml:space="preserve"> </w:t>
      </w:r>
      <w:r>
        <w:rPr>
          <w:rFonts w:cs="Times New Roman"/>
          <w:sz w:val="24"/>
          <w:szCs w:val="24"/>
        </w:rPr>
        <w:t xml:space="preserve">The response rate was 76 % (23/30). </w:t>
      </w:r>
      <w:r w:rsidRPr="00EC588C">
        <w:rPr>
          <w:rFonts w:cs="Times New Roman"/>
          <w:sz w:val="24"/>
          <w:szCs w:val="24"/>
        </w:rPr>
        <w:t xml:space="preserve">This comparison highlighted that in </w:t>
      </w:r>
      <w:r>
        <w:rPr>
          <w:rFonts w:cs="Times New Roman"/>
          <w:sz w:val="24"/>
          <w:szCs w:val="24"/>
        </w:rPr>
        <w:t xml:space="preserve">the </w:t>
      </w:r>
      <w:r w:rsidRPr="00EC588C">
        <w:rPr>
          <w:rFonts w:cs="Times New Roman"/>
          <w:sz w:val="24"/>
          <w:szCs w:val="24"/>
        </w:rPr>
        <w:t>majority of countries the priority health conditions and risk factors based on national health statistics correspond to the IHME ranking of health conditions. However, in some European countries, certain differences were identified such as in France, the trend of musculoskeletal disorders, mental health and neurological diseases to the disability has changed since 2010 and occupational risks are underestimated by IHME. In Romania, mortality rates for cardiovascular diseases and cancer are under-estimated by IHME as compared to national statistics and premature mortality for cardiovascular diseases are over-estimated by IHME. In Serbia, mortality rates for cardiovascular and respiratory diseases were under-estimated by IHME as compared to the Serbian BoD study in 2000. In Scotland, the mortality rates due to substance use have higher numbers in the national death register</w:t>
      </w:r>
      <w:r>
        <w:rPr>
          <w:rFonts w:cs="Times New Roman"/>
          <w:sz w:val="24"/>
          <w:szCs w:val="24"/>
        </w:rPr>
        <w:t xml:space="preserve"> compared to those used by IHME</w:t>
      </w:r>
      <w:r w:rsidRPr="00EC588C">
        <w:rPr>
          <w:rFonts w:cs="Times New Roman"/>
          <w:sz w:val="24"/>
          <w:szCs w:val="24"/>
        </w:rPr>
        <w:t>. Some countries reported additional data sources used by the individual country for national health reporting</w:t>
      </w:r>
      <w:r>
        <w:rPr>
          <w:rFonts w:cs="Times New Roman"/>
          <w:sz w:val="24"/>
          <w:szCs w:val="24"/>
        </w:rPr>
        <w:t xml:space="preserve"> not enlisted in IHME list</w:t>
      </w:r>
      <w:r w:rsidRPr="00EC588C">
        <w:rPr>
          <w:rFonts w:cs="Times New Roman"/>
          <w:sz w:val="24"/>
          <w:szCs w:val="24"/>
        </w:rPr>
        <w:t xml:space="preserve">. The countries who calculate their own BoD estimates mentioned that choice of </w:t>
      </w:r>
      <w:r>
        <w:rPr>
          <w:rFonts w:cs="Times New Roman"/>
          <w:sz w:val="24"/>
          <w:szCs w:val="24"/>
        </w:rPr>
        <w:t xml:space="preserve">a </w:t>
      </w:r>
      <w:r w:rsidRPr="00EC588C">
        <w:rPr>
          <w:rFonts w:cs="Times New Roman"/>
          <w:sz w:val="24"/>
          <w:szCs w:val="24"/>
        </w:rPr>
        <w:t xml:space="preserve">standard population and </w:t>
      </w:r>
      <w:r>
        <w:rPr>
          <w:rFonts w:cs="Times New Roman"/>
          <w:sz w:val="24"/>
          <w:szCs w:val="24"/>
        </w:rPr>
        <w:t xml:space="preserve">the </w:t>
      </w:r>
      <w:r w:rsidRPr="00EC588C">
        <w:rPr>
          <w:rFonts w:cs="Times New Roman"/>
          <w:sz w:val="24"/>
          <w:szCs w:val="24"/>
        </w:rPr>
        <w:t xml:space="preserve">use of different methodological choices could influence the estimates. </w:t>
      </w:r>
    </w:p>
    <w:p w:rsidR="00B36AD4" w:rsidRDefault="00B36AD4" w:rsidP="00B36AD4">
      <w:pPr>
        <w:jc w:val="both"/>
        <w:rPr>
          <w:rFonts w:cs="Times New Roman"/>
          <w:sz w:val="24"/>
          <w:szCs w:val="24"/>
        </w:rPr>
      </w:pPr>
      <w:r w:rsidRPr="00EC588C">
        <w:rPr>
          <w:rFonts w:cs="Times New Roman"/>
          <w:b/>
          <w:sz w:val="24"/>
          <w:szCs w:val="24"/>
        </w:rPr>
        <w:t xml:space="preserve">Conclusions: </w:t>
      </w:r>
      <w:r w:rsidRPr="00EC588C">
        <w:rPr>
          <w:rFonts w:cs="Times New Roman"/>
          <w:sz w:val="24"/>
          <w:szCs w:val="24"/>
        </w:rPr>
        <w:t xml:space="preserve">Our results highlighted some variations in ranking of health conditions and risk factors </w:t>
      </w:r>
      <w:r>
        <w:rPr>
          <w:rFonts w:cs="Times New Roman"/>
          <w:sz w:val="24"/>
          <w:szCs w:val="24"/>
        </w:rPr>
        <w:t xml:space="preserve">by comparing </w:t>
      </w:r>
      <w:r w:rsidRPr="00EC588C">
        <w:rPr>
          <w:rFonts w:cs="Times New Roman"/>
          <w:sz w:val="24"/>
          <w:szCs w:val="24"/>
        </w:rPr>
        <w:t xml:space="preserve">IHME estimates </w:t>
      </w:r>
      <w:r>
        <w:rPr>
          <w:rFonts w:cs="Times New Roman"/>
          <w:sz w:val="24"/>
          <w:szCs w:val="24"/>
        </w:rPr>
        <w:t xml:space="preserve">with </w:t>
      </w:r>
      <w:r w:rsidRPr="00EC588C">
        <w:rPr>
          <w:rFonts w:cs="Times New Roman"/>
          <w:sz w:val="24"/>
          <w:szCs w:val="24"/>
        </w:rPr>
        <w:t xml:space="preserve">individual countries assessments based on their national health reporting.  Very few countries have a complete BoD assessment, i.e. comprehensive, updated, and repeated over time to identify trends. </w:t>
      </w:r>
      <w:r>
        <w:rPr>
          <w:rFonts w:cs="Times New Roman"/>
          <w:sz w:val="24"/>
          <w:szCs w:val="24"/>
        </w:rPr>
        <w:t>Fo</w:t>
      </w:r>
      <w:r w:rsidRPr="00EC588C">
        <w:rPr>
          <w:rFonts w:cs="Times New Roman"/>
          <w:sz w:val="24"/>
          <w:szCs w:val="24"/>
        </w:rPr>
        <w:t>r countries who develop their own BoD study, the inter-country comparability remains an issue</w:t>
      </w:r>
      <w:r>
        <w:rPr>
          <w:rFonts w:cs="Times New Roman"/>
          <w:sz w:val="24"/>
          <w:szCs w:val="24"/>
        </w:rPr>
        <w:t xml:space="preserve"> due to different </w:t>
      </w:r>
      <w:r w:rsidRPr="00EC588C">
        <w:rPr>
          <w:rFonts w:cs="Times New Roman"/>
          <w:sz w:val="24"/>
          <w:szCs w:val="24"/>
        </w:rPr>
        <w:t>data sources</w:t>
      </w:r>
      <w:r>
        <w:rPr>
          <w:rFonts w:cs="Times New Roman"/>
          <w:sz w:val="24"/>
          <w:szCs w:val="24"/>
        </w:rPr>
        <w:t>,</w:t>
      </w:r>
      <w:r w:rsidRPr="00EC588C">
        <w:rPr>
          <w:rFonts w:cs="Times New Roman"/>
          <w:sz w:val="24"/>
          <w:szCs w:val="24"/>
        </w:rPr>
        <w:t xml:space="preserve"> choice of </w:t>
      </w:r>
      <w:r>
        <w:rPr>
          <w:rFonts w:cs="Times New Roman"/>
          <w:sz w:val="24"/>
          <w:szCs w:val="24"/>
        </w:rPr>
        <w:t xml:space="preserve">a </w:t>
      </w:r>
      <w:r w:rsidRPr="00EC588C">
        <w:rPr>
          <w:rFonts w:cs="Times New Roman"/>
          <w:sz w:val="24"/>
          <w:szCs w:val="24"/>
        </w:rPr>
        <w:t xml:space="preserve">standard population and </w:t>
      </w:r>
      <w:r>
        <w:rPr>
          <w:rFonts w:cs="Times New Roman"/>
          <w:sz w:val="24"/>
          <w:szCs w:val="24"/>
        </w:rPr>
        <w:t>different methodological approaches applied.</w:t>
      </w:r>
    </w:p>
    <w:p w:rsidR="00B36AD4" w:rsidRDefault="00B36AD4" w:rsidP="00B36AD4">
      <w:pPr>
        <w:jc w:val="both"/>
        <w:rPr>
          <w:rFonts w:eastAsiaTheme="minorEastAsia" w:cs="Arial"/>
          <w:color w:val="000000" w:themeColor="text1"/>
          <w:kern w:val="24"/>
          <w:sz w:val="24"/>
          <w:szCs w:val="24"/>
        </w:rPr>
      </w:pPr>
      <w:r w:rsidRPr="003476A8">
        <w:rPr>
          <w:rFonts w:eastAsiaTheme="minorEastAsia" w:cs="Arial"/>
          <w:b/>
          <w:color w:val="000000" w:themeColor="text1"/>
          <w:kern w:val="24"/>
          <w:sz w:val="24"/>
          <w:szCs w:val="24"/>
        </w:rPr>
        <w:t xml:space="preserve">Keywords: </w:t>
      </w:r>
      <w:r w:rsidRPr="003476A8">
        <w:rPr>
          <w:rFonts w:eastAsiaTheme="minorEastAsia" w:cs="Arial"/>
          <w:color w:val="000000" w:themeColor="text1"/>
          <w:kern w:val="24"/>
          <w:sz w:val="24"/>
          <w:szCs w:val="24"/>
        </w:rPr>
        <w:t>Burden of disease; Mortality; Morbidity; DALYs; Risk factors; GBD metrics</w:t>
      </w:r>
    </w:p>
    <w:p w:rsidR="008C7CA5" w:rsidRDefault="008C7CA5" w:rsidP="00B36AD4">
      <w:pPr>
        <w:jc w:val="both"/>
        <w:rPr>
          <w:rFonts w:eastAsiaTheme="minorEastAsia" w:cs="Arial"/>
          <w:color w:val="000000" w:themeColor="text1"/>
          <w:kern w:val="24"/>
          <w:sz w:val="24"/>
          <w:szCs w:val="24"/>
        </w:rPr>
      </w:pPr>
    </w:p>
    <w:p w:rsidR="008C7CA5" w:rsidRDefault="008C7CA5" w:rsidP="00B36AD4">
      <w:pPr>
        <w:jc w:val="both"/>
        <w:rPr>
          <w:rFonts w:eastAsiaTheme="minorEastAsia" w:cs="Arial"/>
          <w:color w:val="000000" w:themeColor="text1"/>
          <w:kern w:val="24"/>
          <w:sz w:val="24"/>
          <w:szCs w:val="24"/>
        </w:rPr>
      </w:pPr>
    </w:p>
    <w:p w:rsidR="008C7CA5" w:rsidRPr="003476A8" w:rsidRDefault="008C7CA5" w:rsidP="00B36AD4">
      <w:pPr>
        <w:jc w:val="both"/>
        <w:rPr>
          <w:rFonts w:eastAsiaTheme="minorEastAsia" w:cs="Arial"/>
          <w:color w:val="000000" w:themeColor="text1"/>
          <w:kern w:val="24"/>
          <w:sz w:val="24"/>
          <w:szCs w:val="24"/>
        </w:rPr>
      </w:pPr>
    </w:p>
    <w:p w:rsidR="00B36AD4" w:rsidRDefault="00B36AD4" w:rsidP="00B36AD4">
      <w:pPr>
        <w:pStyle w:val="Titre1"/>
        <w:numPr>
          <w:ilvl w:val="0"/>
          <w:numId w:val="0"/>
        </w:numPr>
        <w:rPr>
          <w:lang w:eastAsia="ja-JP"/>
        </w:rPr>
      </w:pPr>
      <w:bookmarkStart w:id="2" w:name="_Toc53067350"/>
      <w:r>
        <w:rPr>
          <w:lang w:eastAsia="ja-JP"/>
        </w:rPr>
        <w:lastRenderedPageBreak/>
        <w:t>Key points</w:t>
      </w:r>
      <w:bookmarkEnd w:id="2"/>
    </w:p>
    <w:p w:rsidR="00B36AD4" w:rsidRPr="004B3582" w:rsidRDefault="00B36AD4" w:rsidP="00B36AD4">
      <w:pPr>
        <w:pStyle w:val="Paragraphedeliste"/>
        <w:numPr>
          <w:ilvl w:val="0"/>
          <w:numId w:val="14"/>
        </w:numPr>
        <w:spacing w:line="276" w:lineRule="auto"/>
        <w:rPr>
          <w:rFonts w:ascii="Trebuchet MS" w:hAnsi="Trebuchet MS"/>
        </w:rPr>
      </w:pPr>
      <w:r w:rsidRPr="004B3582">
        <w:rPr>
          <w:rFonts w:ascii="Trebuchet MS" w:hAnsi="Trebuchet MS"/>
        </w:rPr>
        <w:t xml:space="preserve">The importance of key aspects such as good quality data sources, choice of a </w:t>
      </w:r>
      <w:r>
        <w:rPr>
          <w:rFonts w:ascii="Trebuchet MS" w:hAnsi="Trebuchet MS"/>
        </w:rPr>
        <w:t>standard p</w:t>
      </w:r>
      <w:r w:rsidRPr="004B3582">
        <w:rPr>
          <w:rFonts w:ascii="Trebuchet MS" w:hAnsi="Trebuchet MS"/>
        </w:rPr>
        <w:t xml:space="preserve">opulation and </w:t>
      </w:r>
      <w:r>
        <w:rPr>
          <w:rFonts w:ascii="Trebuchet MS" w:hAnsi="Trebuchet MS"/>
        </w:rPr>
        <w:t xml:space="preserve">different </w:t>
      </w:r>
      <w:r w:rsidRPr="004B3582">
        <w:rPr>
          <w:rFonts w:ascii="Trebuchet MS" w:hAnsi="Trebuchet MS"/>
        </w:rPr>
        <w:t>method</w:t>
      </w:r>
      <w:r>
        <w:rPr>
          <w:rFonts w:ascii="Trebuchet MS" w:hAnsi="Trebuchet MS"/>
        </w:rPr>
        <w:t xml:space="preserve">ological choices </w:t>
      </w:r>
      <w:r w:rsidRPr="004B3582">
        <w:rPr>
          <w:rFonts w:ascii="Trebuchet MS" w:hAnsi="Trebuchet MS"/>
        </w:rPr>
        <w:t xml:space="preserve">used to calculate BoD estimates, </w:t>
      </w:r>
      <w:r>
        <w:rPr>
          <w:rFonts w:ascii="Trebuchet MS" w:hAnsi="Trebuchet MS"/>
        </w:rPr>
        <w:t xml:space="preserve">can </w:t>
      </w:r>
      <w:r w:rsidRPr="004B3582">
        <w:rPr>
          <w:rFonts w:ascii="Trebuchet MS" w:hAnsi="Trebuchet MS"/>
        </w:rPr>
        <w:t>influence the estim</w:t>
      </w:r>
      <w:r>
        <w:rPr>
          <w:rFonts w:ascii="Trebuchet MS" w:hAnsi="Trebuchet MS"/>
        </w:rPr>
        <w:t>a</w:t>
      </w:r>
      <w:r w:rsidRPr="004B3582">
        <w:rPr>
          <w:rFonts w:ascii="Trebuchet MS" w:hAnsi="Trebuchet MS"/>
        </w:rPr>
        <w:t xml:space="preserve">tes and </w:t>
      </w:r>
      <w:r>
        <w:rPr>
          <w:rFonts w:ascii="Trebuchet MS" w:hAnsi="Trebuchet MS"/>
        </w:rPr>
        <w:t xml:space="preserve">the </w:t>
      </w:r>
      <w:r w:rsidRPr="004B3582">
        <w:rPr>
          <w:rFonts w:ascii="Trebuchet MS" w:hAnsi="Trebuchet MS"/>
        </w:rPr>
        <w:t>ranking of diseases and risk factors.</w:t>
      </w:r>
    </w:p>
    <w:p w:rsidR="00B36AD4" w:rsidRPr="004B3582" w:rsidRDefault="00B36AD4" w:rsidP="00B36AD4">
      <w:pPr>
        <w:pStyle w:val="Paragraphedeliste"/>
        <w:rPr>
          <w:rFonts w:ascii="Trebuchet MS" w:hAnsi="Trebuchet MS"/>
        </w:rPr>
      </w:pPr>
    </w:p>
    <w:p w:rsidR="00B36AD4" w:rsidRPr="004B3582" w:rsidRDefault="00B36AD4" w:rsidP="00B36AD4">
      <w:pPr>
        <w:pStyle w:val="Paragraphedeliste"/>
        <w:numPr>
          <w:ilvl w:val="0"/>
          <w:numId w:val="14"/>
        </w:numPr>
        <w:spacing w:line="276" w:lineRule="auto"/>
        <w:rPr>
          <w:rFonts w:ascii="Trebuchet MS" w:hAnsi="Trebuchet MS"/>
          <w:lang w:eastAsia="ja-JP"/>
        </w:rPr>
      </w:pPr>
      <w:r w:rsidRPr="004B3582">
        <w:rPr>
          <w:rFonts w:ascii="Trebuchet MS" w:hAnsi="Trebuchet MS"/>
        </w:rPr>
        <w:t xml:space="preserve">Building analytical capacity and awareness of different methodological approaches </w:t>
      </w:r>
      <w:r>
        <w:rPr>
          <w:rFonts w:ascii="Trebuchet MS" w:hAnsi="Trebuchet MS"/>
        </w:rPr>
        <w:t>are</w:t>
      </w:r>
      <w:r w:rsidRPr="004B3582">
        <w:rPr>
          <w:rFonts w:ascii="Trebuchet MS" w:hAnsi="Trebuchet MS"/>
        </w:rPr>
        <w:t xml:space="preserve"> necessary for developing national BoD studies. </w:t>
      </w:r>
    </w:p>
    <w:p w:rsidR="00B36AD4" w:rsidRPr="004B3582" w:rsidRDefault="00B36AD4" w:rsidP="00B36AD4">
      <w:pPr>
        <w:spacing w:after="0" w:line="240" w:lineRule="auto"/>
        <w:jc w:val="both"/>
        <w:rPr>
          <w:sz w:val="24"/>
          <w:szCs w:val="24"/>
          <w:lang w:val="en-GB"/>
        </w:rPr>
      </w:pPr>
    </w:p>
    <w:p w:rsidR="00B36AD4" w:rsidRPr="008B680C" w:rsidRDefault="00B36AD4" w:rsidP="00B36AD4">
      <w:pPr>
        <w:pStyle w:val="Paragraphedeliste"/>
        <w:numPr>
          <w:ilvl w:val="0"/>
          <w:numId w:val="14"/>
        </w:numPr>
        <w:spacing w:line="276" w:lineRule="auto"/>
        <w:rPr>
          <w:rFonts w:ascii="Trebuchet MS" w:hAnsi="Trebuchet MS"/>
          <w:lang w:val="en-GB"/>
        </w:rPr>
      </w:pPr>
      <w:r>
        <w:rPr>
          <w:rFonts w:ascii="Trebuchet MS" w:hAnsi="Trebuchet MS"/>
        </w:rPr>
        <w:t>T</w:t>
      </w:r>
      <w:r w:rsidRPr="004B3582">
        <w:rPr>
          <w:rFonts w:ascii="Trebuchet MS" w:hAnsi="Trebuchet MS"/>
        </w:rPr>
        <w:t xml:space="preserve">he comparability and consistency of estimates across diseases </w:t>
      </w:r>
      <w:r>
        <w:rPr>
          <w:rFonts w:ascii="Trebuchet MS" w:hAnsi="Trebuchet MS"/>
        </w:rPr>
        <w:t xml:space="preserve">are essential to estimating BoD estimates and </w:t>
      </w:r>
      <w:r w:rsidRPr="004B3582">
        <w:rPr>
          <w:rFonts w:ascii="Trebuchet MS" w:hAnsi="Trebuchet MS"/>
        </w:rPr>
        <w:t>can strongly influence the local, national and European levels policy decisions.</w:t>
      </w:r>
    </w:p>
    <w:p w:rsidR="00B36AD4" w:rsidRPr="008B680C" w:rsidRDefault="00B36AD4" w:rsidP="00B36AD4">
      <w:pPr>
        <w:pStyle w:val="Paragraphedeliste"/>
        <w:rPr>
          <w:rFonts w:ascii="Trebuchet MS" w:hAnsi="Trebuchet MS"/>
          <w:lang w:val="en-GB"/>
        </w:rPr>
      </w:pPr>
    </w:p>
    <w:p w:rsidR="00B36AD4" w:rsidRPr="008B680C" w:rsidRDefault="00B36AD4" w:rsidP="00B36AD4">
      <w:pPr>
        <w:pStyle w:val="Paragraphedeliste"/>
        <w:numPr>
          <w:ilvl w:val="0"/>
          <w:numId w:val="14"/>
        </w:numPr>
        <w:spacing w:line="276" w:lineRule="auto"/>
        <w:rPr>
          <w:rFonts w:ascii="Trebuchet MS" w:hAnsi="Trebuchet MS"/>
        </w:rPr>
      </w:pPr>
      <w:r w:rsidRPr="008B680C">
        <w:rPr>
          <w:rFonts w:ascii="Trebuchet MS" w:hAnsi="Trebuchet MS"/>
        </w:rPr>
        <w:t xml:space="preserve">A European data infrastructure is required, </w:t>
      </w:r>
      <w:r>
        <w:rPr>
          <w:rFonts w:ascii="Trebuchet MS" w:hAnsi="Trebuchet MS"/>
        </w:rPr>
        <w:t>to</w:t>
      </w:r>
      <w:r w:rsidRPr="008B680C">
        <w:rPr>
          <w:rFonts w:ascii="Trebuchet MS" w:hAnsi="Trebuchet MS"/>
        </w:rPr>
        <w:t xml:space="preserve"> support </w:t>
      </w:r>
      <w:r>
        <w:rPr>
          <w:rFonts w:ascii="Trebuchet MS" w:hAnsi="Trebuchet MS"/>
        </w:rPr>
        <w:t>development of</w:t>
      </w:r>
      <w:r w:rsidRPr="008B680C">
        <w:rPr>
          <w:rFonts w:ascii="Trebuchet MS" w:hAnsi="Trebuchet MS"/>
        </w:rPr>
        <w:t xml:space="preserve"> the European BoD estimates</w:t>
      </w:r>
      <w:r>
        <w:rPr>
          <w:rFonts w:ascii="Trebuchet MS" w:hAnsi="Trebuchet MS"/>
        </w:rPr>
        <w:t xml:space="preserve"> that </w:t>
      </w:r>
      <w:r w:rsidRPr="008B680C">
        <w:rPr>
          <w:rFonts w:ascii="Trebuchet MS" w:hAnsi="Trebuchet MS"/>
        </w:rPr>
        <w:t xml:space="preserve">would </w:t>
      </w:r>
      <w:r>
        <w:rPr>
          <w:rFonts w:ascii="Trebuchet MS" w:hAnsi="Trebuchet MS"/>
        </w:rPr>
        <w:t>facilitate</w:t>
      </w:r>
      <w:r w:rsidRPr="008B680C">
        <w:rPr>
          <w:rFonts w:ascii="Trebuchet MS" w:hAnsi="Trebuchet MS"/>
        </w:rPr>
        <w:t xml:space="preserve"> sharing similar data sources and common methods used to calculate BoD estimates at EU-level.  </w:t>
      </w:r>
    </w:p>
    <w:p w:rsidR="00B36AD4" w:rsidRPr="004B3582" w:rsidRDefault="00B36AD4" w:rsidP="00B36AD4">
      <w:pPr>
        <w:pStyle w:val="Paragraphedeliste"/>
        <w:spacing w:line="276" w:lineRule="auto"/>
        <w:rPr>
          <w:rFonts w:ascii="Trebuchet MS" w:hAnsi="Trebuchet MS"/>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spacing w:after="0" w:line="240" w:lineRule="auto"/>
        <w:jc w:val="both"/>
        <w:rPr>
          <w:sz w:val="24"/>
          <w:szCs w:val="24"/>
          <w:lang w:val="en-GB"/>
        </w:rPr>
      </w:pPr>
    </w:p>
    <w:p w:rsidR="00B36AD4" w:rsidRDefault="00B36AD4" w:rsidP="00B36AD4">
      <w:pPr>
        <w:pStyle w:val="Titre1"/>
        <w:ind w:left="1134" w:hanging="1134"/>
      </w:pPr>
      <w:bookmarkStart w:id="3" w:name="_Toc53067351"/>
      <w:r>
        <w:lastRenderedPageBreak/>
        <w:t>Background</w:t>
      </w:r>
      <w:bookmarkEnd w:id="3"/>
    </w:p>
    <w:p w:rsidR="00B36AD4" w:rsidRDefault="00B36AD4" w:rsidP="00B36AD4">
      <w:pPr>
        <w:jc w:val="both"/>
        <w:rPr>
          <w:rFonts w:cs="Times New Roman"/>
          <w:sz w:val="24"/>
        </w:rPr>
      </w:pPr>
      <w:bookmarkStart w:id="4" w:name="_Toc430795173"/>
      <w:r w:rsidRPr="004462CC">
        <w:rPr>
          <w:rFonts w:cs="Times New Roman"/>
          <w:sz w:val="24"/>
        </w:rPr>
        <w:t>The country profiles provide a measure of priority health conditions a</w:t>
      </w:r>
      <w:r>
        <w:rPr>
          <w:rFonts w:cs="Times New Roman"/>
          <w:sz w:val="24"/>
        </w:rPr>
        <w:t>n</w:t>
      </w:r>
      <w:r w:rsidRPr="004462CC">
        <w:rPr>
          <w:rFonts w:cs="Times New Roman"/>
          <w:sz w:val="24"/>
        </w:rPr>
        <w:t>d risk factors, a summary breakdown of major causes, and an appreciation of health sector performance, according to the GBD methodology</w:t>
      </w:r>
      <w:r>
        <w:rPr>
          <w:rFonts w:cs="Times New Roman"/>
          <w:sz w:val="24"/>
        </w:rPr>
        <w:t xml:space="preserve"> </w:t>
      </w:r>
      <w:r w:rsidRPr="004462CC">
        <w:rPr>
          <w:rFonts w:cs="Times New Roman"/>
          <w:sz w:val="24"/>
        </w:rPr>
        <w:fldChar w:fldCharType="begin"/>
      </w:r>
      <w:r w:rsidRPr="004462CC">
        <w:rPr>
          <w:rFonts w:cs="Times New Roman"/>
          <w:sz w:val="24"/>
        </w:rPr>
        <w:instrText xml:space="preserve"> ADDIN EN.CITE &lt;EndNote&gt;&lt;Cite&gt;&lt;Author&gt;IHME&lt;/Author&gt;&lt;RecNum&gt;2&lt;/RecNum&gt;&lt;DisplayText&gt;[1]&lt;/DisplayText&gt;&lt;record&gt;&lt;rec-number&gt;2&lt;/rec-number&gt;&lt;foreign-keys&gt;&lt;key app="EN" db-id="22vs0xv9ixrpr6evxrhvva0209w590zts052" timestamp="1589536474"&gt;2&lt;/key&gt;&lt;/foreign-keys&gt;&lt;ref-type name="Journal Article"&gt;17&lt;/ref-type&gt;&lt;contributors&gt;&lt;authors&gt;&lt;author&gt;IHME&lt;/author&gt;&lt;/authors&gt;&lt;/contributors&gt;&lt;titles&gt;&lt;title&gt;&lt;style face="normal" font="default" size="100%"&gt;Country Health Profiles: &lt;/style&gt;&lt;style face="underline" font="default" size="100%"&gt;http://www.healthdata.org/results/country-profiles&lt;/style&gt;&lt;/title&gt;&lt;/titles&gt;&lt;dates&gt;&lt;/dates&gt;&lt;urls&gt;&lt;/urls&gt;&lt;/record&gt;&lt;/Cite&gt;&lt;/EndNote&gt;</w:instrText>
      </w:r>
      <w:r w:rsidRPr="004462CC">
        <w:rPr>
          <w:rFonts w:cs="Times New Roman"/>
          <w:sz w:val="24"/>
        </w:rPr>
        <w:fldChar w:fldCharType="separate"/>
      </w:r>
      <w:r w:rsidRPr="004462CC">
        <w:rPr>
          <w:rFonts w:cs="Times New Roman"/>
          <w:noProof/>
          <w:sz w:val="24"/>
        </w:rPr>
        <w:t>[1]</w:t>
      </w:r>
      <w:r w:rsidRPr="004462CC">
        <w:rPr>
          <w:rFonts w:cs="Times New Roman"/>
          <w:sz w:val="24"/>
        </w:rPr>
        <w:fldChar w:fldCharType="end"/>
      </w:r>
      <w:r w:rsidRPr="004462CC">
        <w:rPr>
          <w:rFonts w:cs="Times New Roman"/>
          <w:sz w:val="24"/>
        </w:rPr>
        <w:t xml:space="preserve">. This approach highlights the usefulness and possible applications of a standardized, comprehensive methodology in Burden of Disease assessment and allows a standardized comparison with European peer countries. However, most of the European countries do not produce GBD-metrics (YLLs, YLDs, DALYs). </w:t>
      </w:r>
      <w:r w:rsidRPr="004462CC">
        <w:rPr>
          <w:rFonts w:cs="Times New Roman"/>
          <w:sz w:val="24"/>
          <w:szCs w:val="24"/>
        </w:rPr>
        <w:t>Therefore, we intend to compare the ranking of priorities in diseases and risk factors</w:t>
      </w:r>
      <w:r>
        <w:rPr>
          <w:rFonts w:cs="Times New Roman"/>
          <w:sz w:val="24"/>
          <w:szCs w:val="24"/>
        </w:rPr>
        <w:t>,</w:t>
      </w:r>
      <w:r w:rsidRPr="004462CC">
        <w:rPr>
          <w:rFonts w:cs="Times New Roman"/>
          <w:sz w:val="24"/>
          <w:szCs w:val="24"/>
        </w:rPr>
        <w:t xml:space="preserve"> using GBD metrics (as provided by the Country Health Profile developed using the Institute for Health Metrics and Evaluation methodology), to the ranking of a country’s standard metrics (mortality, morbidity rates, risk factor prevalence</w:t>
      </w:r>
      <w:r>
        <w:rPr>
          <w:rFonts w:cs="Times New Roman"/>
          <w:sz w:val="24"/>
          <w:szCs w:val="24"/>
        </w:rPr>
        <w:t>,</w:t>
      </w:r>
      <w:r w:rsidRPr="004462CC">
        <w:rPr>
          <w:rFonts w:cs="Times New Roman"/>
          <w:sz w:val="24"/>
          <w:szCs w:val="24"/>
        </w:rPr>
        <w:t xml:space="preserve"> etc.). </w:t>
      </w:r>
      <w:r>
        <w:rPr>
          <w:rFonts w:cs="Times New Roman"/>
          <w:sz w:val="24"/>
          <w:szCs w:val="24"/>
        </w:rPr>
        <w:t xml:space="preserve">For </w:t>
      </w:r>
      <w:r w:rsidRPr="004462CC">
        <w:rPr>
          <w:rFonts w:cs="Times New Roman"/>
          <w:sz w:val="24"/>
          <w:szCs w:val="24"/>
        </w:rPr>
        <w:t>example, the national ranking of a given country could be based on risk factor prevalence showing that smoking is its main health problem, whereas GBD-metrics (i.e., DALYs attributable to risk factors) may show that alcohol is more important.</w:t>
      </w:r>
      <w:r>
        <w:rPr>
          <w:rFonts w:cs="Times New Roman"/>
          <w:sz w:val="24"/>
        </w:rPr>
        <w:t xml:space="preserve"> </w:t>
      </w:r>
      <w:r w:rsidRPr="004462CC">
        <w:rPr>
          <w:rFonts w:cs="Times New Roman"/>
          <w:sz w:val="24"/>
        </w:rPr>
        <w:t xml:space="preserve">No attempt has been made to provide a detailed background narrative to the findings of country health profiles. </w:t>
      </w:r>
    </w:p>
    <w:p w:rsidR="00B36AD4" w:rsidRPr="004462CC" w:rsidRDefault="00B36AD4" w:rsidP="00B36AD4">
      <w:pPr>
        <w:jc w:val="both"/>
        <w:rPr>
          <w:rFonts w:cs="Times New Roman"/>
          <w:sz w:val="24"/>
        </w:rPr>
      </w:pPr>
    </w:p>
    <w:p w:rsidR="00B36AD4" w:rsidRDefault="00B36AD4" w:rsidP="00B36AD4">
      <w:pPr>
        <w:pStyle w:val="Titre1"/>
        <w:ind w:hanging="993"/>
      </w:pPr>
      <w:bookmarkStart w:id="5" w:name="_Toc53067352"/>
      <w:r>
        <w:t>Objectives</w:t>
      </w:r>
      <w:bookmarkEnd w:id="5"/>
    </w:p>
    <w:p w:rsidR="00B36AD4" w:rsidRPr="00587DD7" w:rsidRDefault="00B36AD4" w:rsidP="00B36AD4">
      <w:pPr>
        <w:spacing w:after="0"/>
        <w:jc w:val="both"/>
        <w:rPr>
          <w:rFonts w:cs="Times New Roman"/>
          <w:sz w:val="24"/>
        </w:rPr>
      </w:pPr>
      <w:r w:rsidRPr="004462CC">
        <w:rPr>
          <w:rFonts w:cs="Times New Roman"/>
          <w:sz w:val="24"/>
        </w:rPr>
        <w:t xml:space="preserve">The main objectives of this study were to compare the way GBD identifies top priorities in risk factors, health outcomes and health sector performance, with a country’s assessment based on their national health reporting and to identify the potential differences in estimates/trends due to different data sources and methods used by </w:t>
      </w:r>
      <w:r w:rsidRPr="00587DD7">
        <w:rPr>
          <w:rFonts w:cs="Times New Roman"/>
          <w:sz w:val="24"/>
        </w:rPr>
        <w:t xml:space="preserve">countries producing their own BoD estimates. </w:t>
      </w:r>
    </w:p>
    <w:p w:rsidR="00B36AD4" w:rsidRPr="00587DD7" w:rsidRDefault="00B36AD4" w:rsidP="00B36AD4">
      <w:pPr>
        <w:spacing w:after="0"/>
        <w:jc w:val="both"/>
        <w:rPr>
          <w:rFonts w:cs="Times New Roman"/>
          <w:sz w:val="24"/>
        </w:rPr>
      </w:pPr>
    </w:p>
    <w:p w:rsidR="00B36AD4" w:rsidRPr="000054A2" w:rsidRDefault="00B36AD4" w:rsidP="00B36AD4">
      <w:pPr>
        <w:spacing w:after="0"/>
        <w:jc w:val="both"/>
      </w:pPr>
      <w:r>
        <w:t xml:space="preserve"> </w:t>
      </w:r>
      <w:bookmarkEnd w:id="4"/>
    </w:p>
    <w:p w:rsidR="00B36AD4" w:rsidRDefault="00B36AD4" w:rsidP="00B36AD4">
      <w:pPr>
        <w:pStyle w:val="Titre1"/>
        <w:tabs>
          <w:tab w:val="left" w:pos="851"/>
        </w:tabs>
        <w:ind w:left="1134" w:hanging="1134"/>
      </w:pPr>
      <w:bookmarkStart w:id="6" w:name="_Toc53067353"/>
      <w:r>
        <w:rPr>
          <w:lang w:val="en-US"/>
        </w:rPr>
        <w:t>M</w:t>
      </w:r>
      <w:r>
        <w:t>ethodology</w:t>
      </w:r>
      <w:bookmarkEnd w:id="6"/>
    </w:p>
    <w:p w:rsidR="00B36AD4" w:rsidRPr="000B3F96" w:rsidRDefault="00B36AD4" w:rsidP="00B36AD4">
      <w:pPr>
        <w:jc w:val="both"/>
        <w:rPr>
          <w:rFonts w:cs="Times New Roman"/>
          <w:sz w:val="24"/>
          <w:szCs w:val="24"/>
        </w:rPr>
      </w:pPr>
      <w:r w:rsidRPr="000B3F96">
        <w:rPr>
          <w:rFonts w:cs="Times New Roman"/>
          <w:sz w:val="24"/>
          <w:szCs w:val="24"/>
        </w:rPr>
        <w:t xml:space="preserve">Using the ‘standard’ GBD metrics, we have produced a series of country health profiles. All charts have been produced using the same R code, as an example of Public Health England’s Reproducible Analytical Pipelines procedures. All data used are publicly available, at </w:t>
      </w:r>
      <w:hyperlink r:id="rId7" w:history="1">
        <w:r w:rsidRPr="000B3F96">
          <w:rPr>
            <w:rStyle w:val="Lienhypertexte"/>
            <w:rFonts w:cs="Times New Roman"/>
            <w:sz w:val="24"/>
            <w:szCs w:val="24"/>
          </w:rPr>
          <w:t>https://vizhub.healthdata.org/gbd-compare/</w:t>
        </w:r>
      </w:hyperlink>
      <w:r w:rsidRPr="000B3F96">
        <w:rPr>
          <w:rFonts w:cs="Times New Roman"/>
          <w:sz w:val="24"/>
          <w:szCs w:val="24"/>
        </w:rPr>
        <w:t xml:space="preserve"> and http://ghdx.healthdata.org/gbd-results-tool. Almost, 80,000 different data sources were used to produce these country health profiles. The information on data sources can be found here: </w:t>
      </w:r>
      <w:hyperlink r:id="rId8" w:history="1">
        <w:r w:rsidRPr="000B3F96">
          <w:rPr>
            <w:rStyle w:val="Lienhypertexte"/>
            <w:rFonts w:cs="Times New Roman"/>
            <w:sz w:val="24"/>
            <w:szCs w:val="24"/>
          </w:rPr>
          <w:t>http://ghdx.healthdata.org/gbd-2017/data-input-sources</w:t>
        </w:r>
      </w:hyperlink>
      <w:r w:rsidRPr="000B3F96">
        <w:rPr>
          <w:rFonts w:cs="Times New Roman"/>
          <w:sz w:val="24"/>
          <w:szCs w:val="24"/>
        </w:rPr>
        <w:t>. After producing the charts for country health profiles of European countries, we uploaded them on an interactive website created only for ‘Country Health Profiles’ (</w:t>
      </w:r>
      <w:hyperlink r:id="rId9" w:history="1">
        <w:r w:rsidRPr="000B3F96">
          <w:rPr>
            <w:rStyle w:val="Lienhypertexte"/>
            <w:rFonts w:cs="Times New Roman"/>
            <w:sz w:val="24"/>
            <w:szCs w:val="24"/>
          </w:rPr>
          <w:t>https://espaces.santepubliquefrance.fr/espace_projets/Accueil/gbd</w:t>
        </w:r>
      </w:hyperlink>
      <w:r w:rsidRPr="000B3F96">
        <w:rPr>
          <w:rFonts w:cs="Times New Roman"/>
          <w:sz w:val="24"/>
          <w:szCs w:val="24"/>
        </w:rPr>
        <w:t xml:space="preserve">). A username and password was provided to each country, accessing this website of country health profiles and uploading their comments. </w:t>
      </w:r>
    </w:p>
    <w:p w:rsidR="00B36AD4" w:rsidRDefault="00B36AD4" w:rsidP="00B36AD4">
      <w:pPr>
        <w:jc w:val="both"/>
        <w:rPr>
          <w:rFonts w:cs="Times New Roman"/>
          <w:sz w:val="24"/>
          <w:szCs w:val="24"/>
        </w:rPr>
      </w:pPr>
      <w:r w:rsidRPr="000B3F96">
        <w:rPr>
          <w:rFonts w:cs="Times New Roman"/>
          <w:sz w:val="24"/>
          <w:szCs w:val="24"/>
        </w:rPr>
        <w:t>A brief description of GBD metrics was used to describe country health profiles with an example of the England country health profile (</w:t>
      </w:r>
      <w:r>
        <w:rPr>
          <w:rFonts w:cs="Times New Roman"/>
          <w:sz w:val="24"/>
          <w:szCs w:val="24"/>
        </w:rPr>
        <w:t xml:space="preserve">additional file </w:t>
      </w:r>
      <w:r w:rsidRPr="000B3F96">
        <w:rPr>
          <w:rFonts w:cs="Times New Roman"/>
          <w:sz w:val="24"/>
          <w:szCs w:val="24"/>
        </w:rPr>
        <w:t>1) and shared with the participants. An invitation email was sent on February 5, 2020 to 3</w:t>
      </w:r>
      <w:r>
        <w:rPr>
          <w:rFonts w:cs="Times New Roman"/>
          <w:sz w:val="24"/>
          <w:szCs w:val="24"/>
        </w:rPr>
        <w:t>0</w:t>
      </w:r>
      <w:r w:rsidRPr="000B3F96">
        <w:rPr>
          <w:rFonts w:cs="Times New Roman"/>
          <w:sz w:val="24"/>
          <w:szCs w:val="24"/>
        </w:rPr>
        <w:t xml:space="preserve"> European countries to compare their country health profile with their country’s current assessment based on their </w:t>
      </w:r>
      <w:r w:rsidRPr="000B3F96">
        <w:rPr>
          <w:rFonts w:cs="Times New Roman"/>
          <w:sz w:val="24"/>
          <w:szCs w:val="24"/>
        </w:rPr>
        <w:lastRenderedPageBreak/>
        <w:t>national</w:t>
      </w:r>
      <w:r>
        <w:rPr>
          <w:rFonts w:cs="Times New Roman"/>
          <w:sz w:val="24"/>
          <w:szCs w:val="24"/>
        </w:rPr>
        <w:t xml:space="preserve"> reporting. </w:t>
      </w:r>
      <w:r w:rsidRPr="00473E6B">
        <w:rPr>
          <w:rFonts w:cs="Times New Roman"/>
          <w:sz w:val="24"/>
          <w:szCs w:val="24"/>
        </w:rPr>
        <w:t>The survey participants were from public health institutes and were involved in burden of disease activities in their country.</w:t>
      </w:r>
      <w:r>
        <w:rPr>
          <w:rFonts w:cs="Times New Roman"/>
          <w:sz w:val="24"/>
          <w:szCs w:val="24"/>
        </w:rPr>
        <w:t xml:space="preserve"> </w:t>
      </w:r>
      <w:r w:rsidRPr="000B3F96">
        <w:rPr>
          <w:rFonts w:cs="Times New Roman"/>
          <w:sz w:val="24"/>
          <w:szCs w:val="24"/>
        </w:rPr>
        <w:t xml:space="preserve">The abbreviation of the countries’ names are reported in </w:t>
      </w:r>
      <w:r>
        <w:rPr>
          <w:rFonts w:cs="Times New Roman"/>
          <w:sz w:val="24"/>
          <w:szCs w:val="24"/>
        </w:rPr>
        <w:t>additional file 2</w:t>
      </w:r>
      <w:r w:rsidRPr="000B3F96">
        <w:rPr>
          <w:rFonts w:cs="Times New Roman"/>
          <w:sz w:val="24"/>
          <w:szCs w:val="24"/>
        </w:rPr>
        <w:t xml:space="preserve">. One following reminder was sent to the non-respondents to submit their comments on June 8, 2020. </w:t>
      </w:r>
      <w:r w:rsidRPr="00097337">
        <w:rPr>
          <w:rFonts w:cs="Times New Roman"/>
          <w:sz w:val="24"/>
          <w:szCs w:val="24"/>
        </w:rPr>
        <w:t>The 3</w:t>
      </w:r>
      <w:r>
        <w:rPr>
          <w:rFonts w:cs="Times New Roman"/>
          <w:sz w:val="24"/>
          <w:szCs w:val="24"/>
        </w:rPr>
        <w:t>0</w:t>
      </w:r>
      <w:r w:rsidRPr="00097337">
        <w:rPr>
          <w:rFonts w:cs="Times New Roman"/>
          <w:sz w:val="24"/>
          <w:szCs w:val="24"/>
        </w:rPr>
        <w:t xml:space="preserve"> country health profiles are reported in additional file 3.</w:t>
      </w:r>
    </w:p>
    <w:p w:rsidR="008C7CA5" w:rsidRPr="000B3F96" w:rsidRDefault="008C7CA5" w:rsidP="00B36AD4">
      <w:pPr>
        <w:jc w:val="both"/>
        <w:rPr>
          <w:rFonts w:cs="Times New Roman"/>
          <w:sz w:val="24"/>
          <w:szCs w:val="24"/>
        </w:rPr>
      </w:pPr>
    </w:p>
    <w:p w:rsidR="00B36AD4" w:rsidRDefault="00B36AD4" w:rsidP="00B36AD4">
      <w:pPr>
        <w:pStyle w:val="Titre1"/>
        <w:ind w:hanging="993"/>
      </w:pPr>
      <w:bookmarkStart w:id="7" w:name="_Toc53067354"/>
      <w:r>
        <w:t>Results</w:t>
      </w:r>
      <w:bookmarkEnd w:id="7"/>
      <w:r>
        <w:t xml:space="preserve"> </w:t>
      </w:r>
    </w:p>
    <w:p w:rsidR="00B36AD4" w:rsidRPr="00DA28D2" w:rsidRDefault="00B36AD4" w:rsidP="00B36AD4">
      <w:pPr>
        <w:jc w:val="both"/>
        <w:rPr>
          <w:rFonts w:cs="Times New Roman"/>
          <w:sz w:val="24"/>
        </w:rPr>
      </w:pPr>
      <w:r w:rsidRPr="000B3F96">
        <w:rPr>
          <w:rFonts w:cs="Times New Roman"/>
          <w:sz w:val="24"/>
        </w:rPr>
        <w:t xml:space="preserve">We received the comments from </w:t>
      </w:r>
      <w:r>
        <w:rPr>
          <w:rFonts w:cs="Times New Roman"/>
          <w:sz w:val="24"/>
        </w:rPr>
        <w:t xml:space="preserve">23 </w:t>
      </w:r>
      <w:r w:rsidRPr="000B3F96">
        <w:rPr>
          <w:rFonts w:cs="Times New Roman"/>
          <w:sz w:val="24"/>
        </w:rPr>
        <w:t xml:space="preserve">countries with a response </w:t>
      </w:r>
      <w:r w:rsidRPr="00A131D8">
        <w:rPr>
          <w:rFonts w:cs="Times New Roman"/>
          <w:sz w:val="24"/>
        </w:rPr>
        <w:t>rate of 7</w:t>
      </w:r>
      <w:r>
        <w:rPr>
          <w:rFonts w:cs="Times New Roman"/>
          <w:sz w:val="24"/>
        </w:rPr>
        <w:t>6</w:t>
      </w:r>
      <w:r w:rsidRPr="00A131D8">
        <w:rPr>
          <w:rFonts w:cs="Times New Roman"/>
          <w:sz w:val="24"/>
        </w:rPr>
        <w:t>% (23/3</w:t>
      </w:r>
      <w:r>
        <w:rPr>
          <w:rFonts w:cs="Times New Roman"/>
          <w:sz w:val="24"/>
        </w:rPr>
        <w:t>0</w:t>
      </w:r>
      <w:r w:rsidRPr="00A131D8">
        <w:rPr>
          <w:rFonts w:cs="Times New Roman"/>
          <w:sz w:val="24"/>
        </w:rPr>
        <w:t>).</w:t>
      </w:r>
      <w:r w:rsidRPr="000B3F96">
        <w:rPr>
          <w:rFonts w:cs="Times New Roman"/>
          <w:sz w:val="24"/>
        </w:rPr>
        <w:t xml:space="preserve"> </w:t>
      </w:r>
      <w:r>
        <w:rPr>
          <w:rFonts w:cs="Times New Roman"/>
          <w:sz w:val="24"/>
        </w:rPr>
        <w:t>T</w:t>
      </w:r>
      <w:r w:rsidRPr="000B3F96">
        <w:rPr>
          <w:rFonts w:cs="Times New Roman"/>
          <w:sz w:val="24"/>
        </w:rPr>
        <w:t xml:space="preserve">hese results </w:t>
      </w:r>
      <w:r>
        <w:rPr>
          <w:rFonts w:cs="Times New Roman"/>
          <w:sz w:val="24"/>
        </w:rPr>
        <w:t xml:space="preserve">are reported </w:t>
      </w:r>
      <w:r w:rsidRPr="000B3F96">
        <w:rPr>
          <w:rFonts w:cs="Times New Roman"/>
          <w:sz w:val="24"/>
        </w:rPr>
        <w:t xml:space="preserve">under following sections: </w:t>
      </w:r>
      <w:r>
        <w:rPr>
          <w:rFonts w:cs="Times New Roman"/>
          <w:sz w:val="24"/>
        </w:rPr>
        <w:t>A</w:t>
      </w:r>
      <w:r w:rsidRPr="000B3F96">
        <w:rPr>
          <w:rFonts w:cs="Times New Roman"/>
          <w:sz w:val="24"/>
        </w:rPr>
        <w:t xml:space="preserve">. Comments on country health profiles and the potential </w:t>
      </w:r>
      <w:r>
        <w:rPr>
          <w:rFonts w:cs="Times New Roman"/>
          <w:sz w:val="24"/>
        </w:rPr>
        <w:t>differences in estimates/trends and B</w:t>
      </w:r>
      <w:r w:rsidRPr="000B3F96">
        <w:rPr>
          <w:rFonts w:cs="Times New Roman"/>
          <w:sz w:val="24"/>
        </w:rPr>
        <w:t>. Additional data sources used by the countries for national health reporting</w:t>
      </w:r>
      <w:r>
        <w:rPr>
          <w:rFonts w:cs="Times New Roman"/>
          <w:sz w:val="24"/>
        </w:rPr>
        <w:t xml:space="preserve">. </w:t>
      </w:r>
      <w:r w:rsidRPr="000B3F96">
        <w:rPr>
          <w:rFonts w:cs="Times New Roman"/>
          <w:sz w:val="24"/>
        </w:rPr>
        <w:t xml:space="preserve"> </w:t>
      </w:r>
    </w:p>
    <w:p w:rsidR="00B36AD4" w:rsidRPr="00026C7C" w:rsidRDefault="00B36AD4" w:rsidP="00B36AD4">
      <w:pPr>
        <w:pStyle w:val="Titre2"/>
        <w:ind w:left="284" w:hanging="284"/>
      </w:pPr>
      <w:bookmarkStart w:id="8" w:name="_Toc46839361"/>
      <w:bookmarkStart w:id="9" w:name="_Toc53067355"/>
      <w:r w:rsidRPr="00026C7C">
        <w:t>Comments on country health profiles</w:t>
      </w:r>
      <w:r>
        <w:t xml:space="preserve"> and potential differences in estimates</w:t>
      </w:r>
      <w:bookmarkEnd w:id="8"/>
      <w:r>
        <w:t>/trends</w:t>
      </w:r>
      <w:bookmarkEnd w:id="9"/>
    </w:p>
    <w:p w:rsidR="00B36AD4" w:rsidRPr="00DA28D2" w:rsidRDefault="00B36AD4" w:rsidP="00B36AD4">
      <w:pPr>
        <w:jc w:val="both"/>
        <w:rPr>
          <w:rFonts w:cs="Times New Roman"/>
          <w:sz w:val="24"/>
        </w:rPr>
      </w:pPr>
      <w:r w:rsidRPr="00DA28D2">
        <w:rPr>
          <w:rFonts w:cs="Times New Roman"/>
          <w:sz w:val="24"/>
        </w:rPr>
        <w:t xml:space="preserve">We described the comments on country health profiles by taking into account the IHME estimations and the national health statistics of each country. Some countries mentioned potential underlying factors </w:t>
      </w:r>
      <w:r>
        <w:rPr>
          <w:rFonts w:cs="Times New Roman"/>
          <w:sz w:val="24"/>
        </w:rPr>
        <w:t xml:space="preserve">explaining the differences between </w:t>
      </w:r>
      <w:r w:rsidRPr="00DA28D2">
        <w:rPr>
          <w:rFonts w:cs="Times New Roman"/>
          <w:sz w:val="24"/>
        </w:rPr>
        <w:t xml:space="preserve">GBD estimates </w:t>
      </w:r>
      <w:r>
        <w:rPr>
          <w:rFonts w:cs="Times New Roman"/>
          <w:sz w:val="24"/>
        </w:rPr>
        <w:t xml:space="preserve">and </w:t>
      </w:r>
      <w:r w:rsidRPr="00DA28D2">
        <w:rPr>
          <w:rFonts w:cs="Times New Roman"/>
          <w:sz w:val="24"/>
        </w:rPr>
        <w:t xml:space="preserve">their country </w:t>
      </w:r>
      <w:r>
        <w:rPr>
          <w:rFonts w:cs="Times New Roman"/>
          <w:sz w:val="24"/>
        </w:rPr>
        <w:t>results</w:t>
      </w:r>
      <w:r w:rsidRPr="00DA28D2">
        <w:rPr>
          <w:rFonts w:cs="Times New Roman"/>
          <w:sz w:val="24"/>
        </w:rPr>
        <w:t xml:space="preserve">. The countries did not calculate these estimates to compare with their national health statistics. </w:t>
      </w:r>
    </w:p>
    <w:p w:rsidR="00B36AD4" w:rsidRDefault="00B36AD4" w:rsidP="00B36AD4">
      <w:pPr>
        <w:jc w:val="both"/>
        <w:rPr>
          <w:rFonts w:ascii="Times New Roman" w:hAnsi="Times New Roman" w:cs="Times New Roman"/>
          <w:sz w:val="24"/>
        </w:rPr>
      </w:pPr>
      <w:r w:rsidRPr="00DA28D2">
        <w:rPr>
          <w:rFonts w:cs="Times New Roman"/>
          <w:sz w:val="24"/>
        </w:rPr>
        <w:t>Here is the summary of country health profiles including life expectancy, mortality, premature mortality, morbidity, DALYs, risk factors, DALYs breakdown and Health Care Access and Quality Index in European countries:</w:t>
      </w:r>
      <w:r w:rsidRPr="00780B0E">
        <w:rPr>
          <w:rFonts w:ascii="Times New Roman" w:hAnsi="Times New Roman" w:cs="Times New Roman"/>
          <w:sz w:val="24"/>
        </w:rPr>
        <w:t xml:space="preserve"> </w:t>
      </w:r>
    </w:p>
    <w:p w:rsidR="00B36AD4" w:rsidRDefault="00B36AD4" w:rsidP="00B36AD4">
      <w:pPr>
        <w:jc w:val="both"/>
        <w:rPr>
          <w:rFonts w:ascii="Times New Roman" w:hAnsi="Times New Roman" w:cs="Times New Roman"/>
          <w:sz w:val="24"/>
        </w:rPr>
      </w:pPr>
    </w:p>
    <w:p w:rsidR="00B36AD4" w:rsidRPr="0086703E" w:rsidRDefault="00B36AD4" w:rsidP="00B36AD4">
      <w:pPr>
        <w:pStyle w:val="Titre3"/>
        <w:ind w:left="709" w:hanging="425"/>
        <w:rPr>
          <w:color w:val="68AB3B"/>
          <w:sz w:val="26"/>
          <w:szCs w:val="26"/>
        </w:rPr>
      </w:pPr>
      <w:bookmarkStart w:id="10" w:name="_Toc46839362"/>
      <w:bookmarkStart w:id="11" w:name="_Toc53067356"/>
      <w:r w:rsidRPr="00DA28D2">
        <w:rPr>
          <w:color w:val="68AB3B"/>
          <w:sz w:val="26"/>
          <w:szCs w:val="26"/>
        </w:rPr>
        <w:t>Life expectancy [LE] 1990 – 2017 (Figure 1)</w:t>
      </w:r>
      <w:bookmarkEnd w:id="10"/>
      <w:bookmarkEnd w:id="11"/>
    </w:p>
    <w:p w:rsidR="00B36AD4" w:rsidRPr="00DA28D2" w:rsidRDefault="00B36AD4" w:rsidP="00B36AD4">
      <w:pPr>
        <w:jc w:val="both"/>
        <w:rPr>
          <w:rFonts w:cs="Times New Roman"/>
          <w:sz w:val="24"/>
        </w:rPr>
      </w:pPr>
      <w:r w:rsidRPr="00DA28D2">
        <w:rPr>
          <w:rFonts w:cs="Times New Roman"/>
          <w:sz w:val="24"/>
        </w:rPr>
        <w:t>The observed life expectancy estimates are in line with national estimates in BE, DE, FI, FR, HU, IT</w:t>
      </w:r>
      <w:r>
        <w:rPr>
          <w:rFonts w:cs="Times New Roman"/>
          <w:sz w:val="24"/>
        </w:rPr>
        <w:t>,</w:t>
      </w:r>
      <w:r w:rsidRPr="009E7306">
        <w:rPr>
          <w:rFonts w:cs="Times New Roman"/>
          <w:sz w:val="24"/>
        </w:rPr>
        <w:t xml:space="preserve"> </w:t>
      </w:r>
      <w:r w:rsidRPr="00DA28D2">
        <w:rPr>
          <w:rFonts w:cs="Times New Roman"/>
          <w:sz w:val="24"/>
        </w:rPr>
        <w:t xml:space="preserve">LV, </w:t>
      </w:r>
      <w:r>
        <w:rPr>
          <w:rFonts w:cs="Times New Roman"/>
          <w:sz w:val="24"/>
        </w:rPr>
        <w:t xml:space="preserve">NO, </w:t>
      </w:r>
      <w:r w:rsidRPr="00DA28D2">
        <w:rPr>
          <w:rFonts w:cs="Times New Roman"/>
          <w:sz w:val="24"/>
        </w:rPr>
        <w:t xml:space="preserve">RO, SI, and SC. For example </w:t>
      </w:r>
      <w:r w:rsidRPr="00D500A2">
        <w:rPr>
          <w:rFonts w:cs="Times New Roman"/>
          <w:i/>
          <w:sz w:val="24"/>
        </w:rPr>
        <w:t>in Belgium</w:t>
      </w:r>
      <w:r w:rsidRPr="00D500A2">
        <w:rPr>
          <w:rFonts w:cs="Times New Roman"/>
          <w:sz w:val="24"/>
        </w:rPr>
        <w:t xml:space="preserve">, according to the national estimates of 2018, the observed LE was 81.5Y (both gender), 83.7 (*F), 79.2 (*M), whereas according to IHME estimates in 2017, the observed LE was 81.4 (both gender), 83.8 (F), 78.9 (M). </w:t>
      </w:r>
      <w:r w:rsidRPr="00D500A2">
        <w:rPr>
          <w:rFonts w:cs="Times New Roman"/>
          <w:i/>
          <w:sz w:val="24"/>
        </w:rPr>
        <w:t>In Norway</w:t>
      </w:r>
      <w:r w:rsidRPr="00D500A2">
        <w:rPr>
          <w:rFonts w:cs="Times New Roman"/>
          <w:sz w:val="24"/>
        </w:rPr>
        <w:t>, according</w:t>
      </w:r>
      <w:r w:rsidRPr="00DF1D3F">
        <w:rPr>
          <w:rFonts w:cs="Times New Roman"/>
          <w:sz w:val="24"/>
        </w:rPr>
        <w:t xml:space="preserve"> to the national estimates of 2017, the observed LE was 82.6Y (both gender), 84.3 (*F), 80.9 (*M), whereas according to IHME estimates in 2017, the observed LE was 82.3 (both gender), 84.2 (F), 80.5 (M)</w:t>
      </w:r>
      <w:r>
        <w:rPr>
          <w:rFonts w:cs="Times New Roman"/>
          <w:sz w:val="24"/>
        </w:rPr>
        <w:t>.</w:t>
      </w:r>
    </w:p>
    <w:p w:rsidR="00B36AD4" w:rsidRPr="00DA28D2" w:rsidRDefault="00B36AD4" w:rsidP="00B36AD4">
      <w:pPr>
        <w:jc w:val="both"/>
        <w:rPr>
          <w:rFonts w:cs="Times New Roman"/>
          <w:sz w:val="24"/>
        </w:rPr>
      </w:pPr>
      <w:r w:rsidRPr="00DA28D2">
        <w:rPr>
          <w:rFonts w:cs="Times New Roman"/>
          <w:sz w:val="24"/>
        </w:rPr>
        <w:t xml:space="preserve">The observed LE estimates are better than expected life expectancy in all respondent countries except for, BG, EE, FR, LV, LT, RO and SK. Latvia and Lithuania mentioned some underlying factors influencing the drop in observed LE such as collapse of Soviet Union in 1990, economic crisis in 2008, socio-economic and health inequalities. </w:t>
      </w:r>
    </w:p>
    <w:p w:rsidR="00B36AD4" w:rsidRPr="00F062D3" w:rsidRDefault="00B36AD4" w:rsidP="00B36AD4">
      <w:pPr>
        <w:jc w:val="both"/>
        <w:rPr>
          <w:rFonts w:cs="Times New Roman"/>
          <w:sz w:val="24"/>
          <w:szCs w:val="24"/>
        </w:rPr>
      </w:pPr>
      <w:r w:rsidRPr="00DA28D2">
        <w:rPr>
          <w:rFonts w:cs="Times New Roman"/>
          <w:b/>
          <w:i/>
          <w:sz w:val="24"/>
        </w:rPr>
        <w:t>Potential difference in LE estimates</w:t>
      </w:r>
      <w:r>
        <w:rPr>
          <w:rFonts w:cs="Times New Roman"/>
          <w:b/>
          <w:i/>
          <w:sz w:val="24"/>
        </w:rPr>
        <w:t>/trends</w:t>
      </w:r>
      <w:r w:rsidRPr="00DA28D2">
        <w:rPr>
          <w:rFonts w:cs="Times New Roman"/>
          <w:b/>
          <w:i/>
          <w:sz w:val="24"/>
        </w:rPr>
        <w:t>:</w:t>
      </w:r>
      <w:r w:rsidRPr="00DA28D2">
        <w:rPr>
          <w:rFonts w:cs="Times New Roman"/>
          <w:sz w:val="24"/>
        </w:rPr>
        <w:t xml:space="preserve"> </w:t>
      </w:r>
      <w:r w:rsidRPr="002541AE">
        <w:rPr>
          <w:rFonts w:cs="Times New Roman"/>
          <w:i/>
          <w:sz w:val="24"/>
        </w:rPr>
        <w:t>Serbia</w:t>
      </w:r>
      <w:r w:rsidRPr="00DA28D2">
        <w:rPr>
          <w:rFonts w:cs="Times New Roman"/>
          <w:sz w:val="24"/>
        </w:rPr>
        <w:t xml:space="preserve">, reported that observed LE showed slight/moderate differences between national and IHME estimates in some years, such as in 2000 where the observed LE estimated by their national health authority was 74.81 (F) and </w:t>
      </w:r>
      <w:r w:rsidRPr="00DA28D2">
        <w:rPr>
          <w:rFonts w:cs="Times New Roman"/>
          <w:sz w:val="24"/>
        </w:rPr>
        <w:lastRenderedPageBreak/>
        <w:t xml:space="preserve">69.2 (M), whereas IHME estimated 75.5 (F) and 68.9 (M). </w:t>
      </w:r>
      <w:r w:rsidRPr="002541AE">
        <w:rPr>
          <w:rFonts w:cs="Segoe UI"/>
          <w:i/>
          <w:sz w:val="24"/>
          <w:szCs w:val="24"/>
          <w:lang w:val="en-GB"/>
        </w:rPr>
        <w:t>In Spain</w:t>
      </w:r>
      <w:r w:rsidRPr="00A4602C">
        <w:rPr>
          <w:rFonts w:cs="Segoe UI"/>
          <w:sz w:val="24"/>
          <w:szCs w:val="24"/>
          <w:lang w:val="en-GB"/>
        </w:rPr>
        <w:t>, according to the nation</w:t>
      </w:r>
      <w:r>
        <w:rPr>
          <w:rFonts w:cs="Segoe UI"/>
          <w:sz w:val="24"/>
          <w:szCs w:val="24"/>
          <w:lang w:val="en-GB"/>
        </w:rPr>
        <w:t>al</w:t>
      </w:r>
      <w:r w:rsidRPr="00A4602C">
        <w:rPr>
          <w:rFonts w:cs="Segoe UI"/>
          <w:sz w:val="24"/>
          <w:szCs w:val="24"/>
          <w:lang w:val="en-GB"/>
        </w:rPr>
        <w:t xml:space="preserve"> health statistics</w:t>
      </w:r>
      <w:r>
        <w:rPr>
          <w:rFonts w:cs="Times New Roman"/>
          <w:sz w:val="24"/>
          <w:szCs w:val="24"/>
        </w:rPr>
        <w:t>,</w:t>
      </w:r>
      <w:r w:rsidRPr="00A4602C">
        <w:rPr>
          <w:rFonts w:cs="Times New Roman"/>
          <w:sz w:val="24"/>
          <w:szCs w:val="24"/>
        </w:rPr>
        <w:t xml:space="preserve"> </w:t>
      </w:r>
      <w:r w:rsidRPr="00A4602C">
        <w:rPr>
          <w:rFonts w:cs="Segoe UI"/>
          <w:sz w:val="24"/>
          <w:szCs w:val="24"/>
          <w:lang w:val="en-GB"/>
        </w:rPr>
        <w:t>the trends for observed LE were stable d</w:t>
      </w:r>
      <w:r w:rsidRPr="00A4602C">
        <w:rPr>
          <w:rFonts w:cs="Times New Roman"/>
          <w:sz w:val="24"/>
          <w:szCs w:val="24"/>
        </w:rPr>
        <w:t>uring 2016-2017</w:t>
      </w:r>
      <w:r>
        <w:rPr>
          <w:rFonts w:cs="Times New Roman"/>
          <w:sz w:val="24"/>
          <w:szCs w:val="24"/>
        </w:rPr>
        <w:t xml:space="preserve">, </w:t>
      </w:r>
      <w:r w:rsidRPr="00A4602C">
        <w:rPr>
          <w:rFonts w:cs="Segoe UI"/>
          <w:sz w:val="24"/>
          <w:szCs w:val="24"/>
          <w:lang w:val="en-GB"/>
        </w:rPr>
        <w:t>whereas according to the IHME, this indicator has a tendency to increase.</w:t>
      </w:r>
    </w:p>
    <w:p w:rsidR="00B36AD4" w:rsidRPr="00DA28D2" w:rsidRDefault="00B36AD4" w:rsidP="00B36AD4">
      <w:pPr>
        <w:jc w:val="both"/>
        <w:rPr>
          <w:rFonts w:cs="Times New Roman"/>
          <w:i/>
          <w:sz w:val="24"/>
        </w:rPr>
      </w:pPr>
      <w:r w:rsidRPr="00DA28D2">
        <w:rPr>
          <w:rFonts w:cs="Times New Roman"/>
          <w:i/>
          <w:sz w:val="24"/>
        </w:rPr>
        <w:t>* F: Female, M: Male</w:t>
      </w:r>
    </w:p>
    <w:p w:rsidR="00B36AD4" w:rsidRPr="0086703E" w:rsidRDefault="00B36AD4" w:rsidP="00B36AD4">
      <w:pPr>
        <w:pStyle w:val="Titre3"/>
        <w:ind w:left="709" w:hanging="425"/>
        <w:rPr>
          <w:color w:val="668D33"/>
          <w:sz w:val="26"/>
          <w:szCs w:val="26"/>
        </w:rPr>
      </w:pPr>
      <w:bookmarkStart w:id="12" w:name="_Toc46839363"/>
      <w:bookmarkStart w:id="13" w:name="_Toc53067357"/>
      <w:r w:rsidRPr="0086703E">
        <w:rPr>
          <w:color w:val="668D33"/>
          <w:sz w:val="26"/>
          <w:szCs w:val="26"/>
        </w:rPr>
        <w:t>Age-standardized mortality rates by top ten conditions 1990 – 2017 (Figure 2)</w:t>
      </w:r>
      <w:bookmarkEnd w:id="12"/>
      <w:bookmarkEnd w:id="13"/>
    </w:p>
    <w:p w:rsidR="00B36AD4" w:rsidRPr="0086703E" w:rsidRDefault="00B36AD4" w:rsidP="00B36AD4">
      <w:pPr>
        <w:jc w:val="both"/>
        <w:rPr>
          <w:sz w:val="24"/>
          <w:szCs w:val="24"/>
        </w:rPr>
      </w:pPr>
      <w:r w:rsidRPr="0086703E">
        <w:rPr>
          <w:sz w:val="24"/>
          <w:szCs w:val="24"/>
        </w:rPr>
        <w:t xml:space="preserve">According to IHME, the mortality rates have shown a marked decrease in cardiovascular diseases among all European countries since 1990. It represents the largest share of the burden of mortality in the following countries: AT, BE, BG, CY, CZ, DE, EE, FR, FI, HR, HU, LV, LI, MT, PL, PT, RO, SK, SI, SRB and SW. In some countries (DK, ENG, ES, FR, IR, IT, NL, NO), due to sharp decrease in cardiovascular mortality rates, cancer has become the most contributing factor to the burden of mortality. In most of the European countries, the ranking of IHME estimates of age-adjusted mortality rates by top ten conditions more or less match the national estimates. </w:t>
      </w:r>
    </w:p>
    <w:p w:rsidR="00B36AD4" w:rsidRPr="0086703E" w:rsidRDefault="00B36AD4" w:rsidP="00B36AD4">
      <w:pPr>
        <w:jc w:val="both"/>
        <w:rPr>
          <w:sz w:val="24"/>
          <w:szCs w:val="24"/>
        </w:rPr>
      </w:pPr>
      <w:r w:rsidRPr="0086703E">
        <w:rPr>
          <w:sz w:val="24"/>
          <w:szCs w:val="24"/>
        </w:rPr>
        <w:t>Contrary to the sharp decrease in mortality rates of cardiovascular diseases, there is a slow decrease in cancer mortality rates across all European countries. Despite improved primary care, better treatments, new diagnostic technology, screening programs, promotion of healthy life style, etc., the mortality rates of cardiovascular diseases and cancer are still contributing most to the burden of diseases in all European countries.</w:t>
      </w:r>
    </w:p>
    <w:p w:rsidR="00B36AD4" w:rsidRPr="0086703E" w:rsidRDefault="00B36AD4" w:rsidP="00B36AD4">
      <w:pPr>
        <w:jc w:val="both"/>
        <w:rPr>
          <w:sz w:val="24"/>
          <w:szCs w:val="24"/>
        </w:rPr>
      </w:pPr>
      <w:r w:rsidRPr="0086703E">
        <w:rPr>
          <w:sz w:val="24"/>
          <w:szCs w:val="24"/>
        </w:rPr>
        <w:t xml:space="preserve">IHME estimates also highlight that the neurological disorders (i.e., Alzheimer’s, dementia, etc.) are the third most contributing factor to the burden of mortality in all European countries except in Cyprus, where mortality rates due to diabetes mellitus is the third most contributing factor to the burden of mortality. Since 1990, the mortality rates for neurological diseases were nearly unchanged in all European countries, which could be explained due to lack of new treatments and ageing population. </w:t>
      </w:r>
    </w:p>
    <w:p w:rsidR="00B36AD4" w:rsidRPr="0086703E" w:rsidRDefault="00B36AD4" w:rsidP="00B36AD4">
      <w:pPr>
        <w:jc w:val="both"/>
        <w:rPr>
          <w:b/>
          <w:sz w:val="24"/>
          <w:szCs w:val="24"/>
        </w:rPr>
      </w:pPr>
      <w:r w:rsidRPr="0086703E">
        <w:rPr>
          <w:b/>
          <w:i/>
          <w:sz w:val="24"/>
          <w:szCs w:val="24"/>
        </w:rPr>
        <w:t xml:space="preserve">Potential difference in </w:t>
      </w:r>
      <w:r w:rsidRPr="00A427C5">
        <w:rPr>
          <w:b/>
          <w:i/>
          <w:sz w:val="24"/>
          <w:szCs w:val="24"/>
        </w:rPr>
        <w:t>mortality estimates/trend:</w:t>
      </w:r>
      <w:r w:rsidRPr="0086703E">
        <w:rPr>
          <w:sz w:val="24"/>
          <w:szCs w:val="24"/>
        </w:rPr>
        <w:t xml:space="preserve"> </w:t>
      </w:r>
      <w:r w:rsidRPr="00A427C5">
        <w:rPr>
          <w:i/>
          <w:sz w:val="24"/>
          <w:szCs w:val="24"/>
        </w:rPr>
        <w:t>In Belgium</w:t>
      </w:r>
      <w:r w:rsidRPr="0086703E">
        <w:rPr>
          <w:sz w:val="24"/>
          <w:szCs w:val="24"/>
        </w:rPr>
        <w:t xml:space="preserve">, according to </w:t>
      </w:r>
      <w:r w:rsidRPr="006C79AA">
        <w:rPr>
          <w:sz w:val="24"/>
          <w:szCs w:val="24"/>
        </w:rPr>
        <w:t>national estimates</w:t>
      </w:r>
      <w:r w:rsidRPr="00B6724A">
        <w:rPr>
          <w:sz w:val="24"/>
          <w:szCs w:val="24"/>
        </w:rPr>
        <w:t xml:space="preserve"> developed</w:t>
      </w:r>
      <w:r w:rsidRPr="002F6F4C">
        <w:rPr>
          <w:sz w:val="24"/>
          <w:szCs w:val="24"/>
        </w:rPr>
        <w:t xml:space="preserve"> using </w:t>
      </w:r>
      <w:r w:rsidRPr="00AB61D6">
        <w:rPr>
          <w:sz w:val="24"/>
          <w:szCs w:val="24"/>
        </w:rPr>
        <w:t xml:space="preserve">the SPMA procedure (standardized procedure mortality analysis: </w:t>
      </w:r>
      <w:hyperlink r:id="rId10" w:history="1">
        <w:r w:rsidRPr="0086703E">
          <w:rPr>
            <w:rStyle w:val="Lienhypertexte"/>
            <w:sz w:val="24"/>
            <w:szCs w:val="24"/>
          </w:rPr>
          <w:t>https://spma.wiv-isp.be/SitePages/Home.aspx</w:t>
        </w:r>
      </w:hyperlink>
      <w:r w:rsidRPr="0086703E">
        <w:rPr>
          <w:sz w:val="24"/>
          <w:szCs w:val="24"/>
        </w:rPr>
        <w:t xml:space="preserve">) in 2016, cardiovascular diseases are ranked as the top contributing factor to the burden of morality by using the European standard population as a reference population. However, by changing the reference population from European </w:t>
      </w:r>
      <w:r>
        <w:rPr>
          <w:sz w:val="24"/>
          <w:szCs w:val="24"/>
        </w:rPr>
        <w:t>Standard P</w:t>
      </w:r>
      <w:r w:rsidRPr="0086703E">
        <w:rPr>
          <w:sz w:val="24"/>
          <w:szCs w:val="24"/>
        </w:rPr>
        <w:t xml:space="preserve">opulation to the </w:t>
      </w:r>
      <w:r>
        <w:rPr>
          <w:sz w:val="24"/>
          <w:szCs w:val="24"/>
        </w:rPr>
        <w:t>W</w:t>
      </w:r>
      <w:r w:rsidRPr="0086703E">
        <w:rPr>
          <w:sz w:val="24"/>
          <w:szCs w:val="24"/>
        </w:rPr>
        <w:t xml:space="preserve">orld </w:t>
      </w:r>
      <w:r>
        <w:rPr>
          <w:sz w:val="24"/>
          <w:szCs w:val="24"/>
        </w:rPr>
        <w:t>Standard P</w:t>
      </w:r>
      <w:r w:rsidRPr="0086703E">
        <w:rPr>
          <w:sz w:val="24"/>
          <w:szCs w:val="24"/>
        </w:rPr>
        <w:t xml:space="preserve">opulation, </w:t>
      </w:r>
      <w:r w:rsidRPr="00F10872">
        <w:rPr>
          <w:sz w:val="24"/>
          <w:szCs w:val="24"/>
        </w:rPr>
        <w:t xml:space="preserve">this ranking changes and cancer mortality rates have become the first contributing factor to the burden of mortality as used by IHME. The estimates calculated by SPMA do not take into account the redistribution of ill-defined codes. </w:t>
      </w:r>
      <w:r w:rsidRPr="00F10872">
        <w:rPr>
          <w:i/>
          <w:sz w:val="24"/>
          <w:szCs w:val="24"/>
        </w:rPr>
        <w:t>In Estonia</w:t>
      </w:r>
      <w:r w:rsidRPr="00F10872">
        <w:rPr>
          <w:sz w:val="24"/>
          <w:szCs w:val="24"/>
        </w:rPr>
        <w:t xml:space="preserve">, </w:t>
      </w:r>
      <w:r>
        <w:rPr>
          <w:sz w:val="24"/>
          <w:szCs w:val="24"/>
        </w:rPr>
        <w:t xml:space="preserve">the </w:t>
      </w:r>
      <w:r w:rsidRPr="00F10872">
        <w:rPr>
          <w:sz w:val="24"/>
          <w:szCs w:val="24"/>
        </w:rPr>
        <w:t xml:space="preserve">mortality rate for neurological disorders have grown year by year but according to the European standard population the rate for injuries (unintentional and intentional self-harm) are higher than the rate for neurological disorders and there are more respiratory infections than neurological disorders. </w:t>
      </w:r>
      <w:r w:rsidRPr="00F10872">
        <w:rPr>
          <w:i/>
          <w:sz w:val="24"/>
          <w:szCs w:val="24"/>
        </w:rPr>
        <w:t>In Romania</w:t>
      </w:r>
      <w:r w:rsidRPr="00F10872">
        <w:rPr>
          <w:sz w:val="24"/>
          <w:szCs w:val="24"/>
        </w:rPr>
        <w:t xml:space="preserve">, an important difference was observed i.e., the mortality rates for cardiovascular diseases are below 400/100,000 according to IHME estimates but according to national health statistics, these estimates are </w:t>
      </w:r>
      <w:r>
        <w:rPr>
          <w:sz w:val="24"/>
          <w:szCs w:val="24"/>
        </w:rPr>
        <w:t xml:space="preserve">higher, and slightly </w:t>
      </w:r>
      <w:r w:rsidRPr="00F10872">
        <w:rPr>
          <w:sz w:val="24"/>
          <w:szCs w:val="24"/>
        </w:rPr>
        <w:t xml:space="preserve">decreasing from 725 in 1999 to 677 in 2017, respectively. The mortality </w:t>
      </w:r>
      <w:r w:rsidRPr="00F10872">
        <w:rPr>
          <w:sz w:val="24"/>
          <w:szCs w:val="24"/>
        </w:rPr>
        <w:lastRenderedPageBreak/>
        <w:t>rates for cancer are increasing</w:t>
      </w:r>
      <w:r w:rsidRPr="0086703E">
        <w:rPr>
          <w:sz w:val="24"/>
          <w:szCs w:val="24"/>
        </w:rPr>
        <w:t xml:space="preserve"> from 173 in 1999 to 233 in 2017 according to national statistics but these mortality rates are less than 200 according to IHME estimates. </w:t>
      </w:r>
      <w:r w:rsidRPr="00A427C5">
        <w:rPr>
          <w:i/>
          <w:sz w:val="24"/>
          <w:szCs w:val="24"/>
        </w:rPr>
        <w:t>In Serbia</w:t>
      </w:r>
      <w:r w:rsidRPr="0086703E">
        <w:rPr>
          <w:sz w:val="24"/>
          <w:szCs w:val="24"/>
        </w:rPr>
        <w:t xml:space="preserve">, mortality rates for cardiovascular and respiratory diseases were underestimated by IHME as compared to the Serbian BoD study in 2000 due to different methods of estimation. </w:t>
      </w:r>
      <w:r w:rsidRPr="00A427C5">
        <w:rPr>
          <w:i/>
          <w:sz w:val="24"/>
          <w:szCs w:val="24"/>
        </w:rPr>
        <w:t>In Scotland</w:t>
      </w:r>
      <w:r w:rsidRPr="0086703E">
        <w:rPr>
          <w:sz w:val="24"/>
          <w:szCs w:val="24"/>
        </w:rPr>
        <w:t xml:space="preserve">, the mortality rates </w:t>
      </w:r>
      <w:r>
        <w:rPr>
          <w:sz w:val="24"/>
          <w:szCs w:val="24"/>
        </w:rPr>
        <w:t xml:space="preserve">in 2013 and 2016 </w:t>
      </w:r>
      <w:r w:rsidRPr="0086703E">
        <w:rPr>
          <w:sz w:val="24"/>
          <w:szCs w:val="24"/>
        </w:rPr>
        <w:t>due to substance use ha</w:t>
      </w:r>
      <w:r>
        <w:rPr>
          <w:sz w:val="24"/>
          <w:szCs w:val="24"/>
        </w:rPr>
        <w:t>d</w:t>
      </w:r>
      <w:r w:rsidRPr="0086703E">
        <w:rPr>
          <w:sz w:val="24"/>
          <w:szCs w:val="24"/>
        </w:rPr>
        <w:t xml:space="preserve"> higher numbers in national death register. </w:t>
      </w:r>
      <w:r>
        <w:rPr>
          <w:sz w:val="24"/>
          <w:szCs w:val="24"/>
        </w:rPr>
        <w:t xml:space="preserve">The reason for this increase was due to use of an expanded set of ICD codes for drug related deaths. </w:t>
      </w:r>
      <w:r w:rsidRPr="00A427C5">
        <w:rPr>
          <w:i/>
          <w:sz w:val="24"/>
          <w:szCs w:val="24"/>
        </w:rPr>
        <w:t>In Spain</w:t>
      </w:r>
      <w:r w:rsidRPr="00A4602C">
        <w:rPr>
          <w:sz w:val="24"/>
          <w:szCs w:val="24"/>
        </w:rPr>
        <w:t>, the national health statistics reported an increase in mortality rates of respiratory and neurological diseases between 2010 and 2017 whereas according to IHME these mortality rates are decreasing.</w:t>
      </w:r>
      <w:r>
        <w:rPr>
          <w:sz w:val="24"/>
          <w:szCs w:val="24"/>
        </w:rPr>
        <w:t xml:space="preserve">  </w:t>
      </w:r>
    </w:p>
    <w:p w:rsidR="00B36AD4" w:rsidRPr="009A2394" w:rsidRDefault="00B36AD4" w:rsidP="00B36AD4">
      <w:pPr>
        <w:jc w:val="both"/>
        <w:rPr>
          <w:b/>
          <w:lang w:val="en-GB"/>
        </w:rPr>
      </w:pPr>
    </w:p>
    <w:p w:rsidR="00B36AD4" w:rsidRPr="0086703E" w:rsidRDefault="00B36AD4" w:rsidP="00B36AD4">
      <w:pPr>
        <w:pStyle w:val="Titre3"/>
        <w:ind w:left="851" w:hanging="567"/>
        <w:rPr>
          <w:color w:val="668D33"/>
          <w:sz w:val="26"/>
          <w:szCs w:val="26"/>
        </w:rPr>
      </w:pPr>
      <w:bookmarkStart w:id="14" w:name="_Toc46839364"/>
      <w:bookmarkStart w:id="15" w:name="_Toc53067358"/>
      <w:r w:rsidRPr="0086703E">
        <w:rPr>
          <w:color w:val="668D33"/>
          <w:sz w:val="26"/>
          <w:szCs w:val="26"/>
        </w:rPr>
        <w:t>Age-standa</w:t>
      </w:r>
      <w:r>
        <w:rPr>
          <w:color w:val="668D33"/>
          <w:sz w:val="26"/>
          <w:szCs w:val="26"/>
        </w:rPr>
        <w:t>rdized Years of Life Lost [YLL]</w:t>
      </w:r>
      <w:r w:rsidRPr="0086703E">
        <w:rPr>
          <w:color w:val="668D33"/>
          <w:sz w:val="26"/>
          <w:szCs w:val="26"/>
        </w:rPr>
        <w:t xml:space="preserve"> 1990 – 2017 (Figure 3)</w:t>
      </w:r>
      <w:bookmarkEnd w:id="14"/>
      <w:bookmarkEnd w:id="15"/>
    </w:p>
    <w:p w:rsidR="00B36AD4" w:rsidRPr="00DA28D2" w:rsidRDefault="00B36AD4" w:rsidP="00B36AD4">
      <w:pPr>
        <w:jc w:val="both"/>
        <w:rPr>
          <w:rFonts w:cs="Times New Roman"/>
          <w:sz w:val="24"/>
          <w:szCs w:val="24"/>
        </w:rPr>
      </w:pPr>
      <w:r w:rsidRPr="00DA28D2">
        <w:rPr>
          <w:rFonts w:cs="Times New Roman"/>
          <w:sz w:val="24"/>
          <w:szCs w:val="24"/>
        </w:rPr>
        <w:t>According to the IHME estimates, cardiovascular and cancer are the major diseases contributing to the YLL in European countries. The mortality rates of these two health conditions have a decreasing trend from 1990 to 2017. The majority of the countries who do not calculate their BoD estimates</w:t>
      </w:r>
      <w:r>
        <w:rPr>
          <w:rFonts w:cs="Times New Roman"/>
          <w:sz w:val="24"/>
          <w:szCs w:val="24"/>
        </w:rPr>
        <w:t>,</w:t>
      </w:r>
      <w:r w:rsidRPr="00DA28D2">
        <w:rPr>
          <w:rFonts w:cs="Times New Roman"/>
          <w:sz w:val="24"/>
          <w:szCs w:val="24"/>
        </w:rPr>
        <w:t xml:space="preserve"> confirm that the trend of cardiovascular and cancer correspond to their national health statistics. </w:t>
      </w:r>
    </w:p>
    <w:p w:rsidR="00B36AD4" w:rsidRPr="00DA28D2" w:rsidRDefault="00B36AD4" w:rsidP="00B36AD4">
      <w:pPr>
        <w:pStyle w:val="Figure"/>
        <w:spacing w:line="276" w:lineRule="auto"/>
        <w:jc w:val="both"/>
        <w:rPr>
          <w:rFonts w:ascii="Trebuchet MS" w:hAnsi="Trebuchet MS" w:cs="Times New Roman"/>
        </w:rPr>
      </w:pPr>
      <w:r w:rsidRPr="00F10872">
        <w:rPr>
          <w:rFonts w:ascii="Trebuchet MS" w:hAnsi="Trebuchet MS" w:cs="Times New Roman"/>
          <w:i/>
        </w:rPr>
        <w:t>In Romania</w:t>
      </w:r>
      <w:r>
        <w:rPr>
          <w:rFonts w:ascii="Trebuchet MS" w:hAnsi="Trebuchet MS" w:cs="Times New Roman"/>
          <w:i/>
        </w:rPr>
        <w:t>,</w:t>
      </w:r>
      <w:r>
        <w:rPr>
          <w:rFonts w:ascii="Trebuchet MS" w:hAnsi="Trebuchet MS" w:cs="Times New Roman"/>
        </w:rPr>
        <w:t xml:space="preserve"> during 1990-</w:t>
      </w:r>
      <w:r w:rsidRPr="00DA28D2">
        <w:rPr>
          <w:rFonts w:ascii="Trebuchet MS" w:hAnsi="Trebuchet MS" w:cs="Times New Roman"/>
        </w:rPr>
        <w:t xml:space="preserve">2017, there is an important difference in premature mortality due to cardiovascular diseases with a decreasing trend from 7000+ to 5000+ in IHME data and a decreasing trend from 5000+ to 3000 according to national statistics. Moreover, the premature mortality estimates for cancer are slightly higher at the beginning of the previously mentioned period. </w:t>
      </w:r>
    </w:p>
    <w:p w:rsidR="00B36AD4" w:rsidRDefault="00B36AD4" w:rsidP="00B36AD4">
      <w:pPr>
        <w:jc w:val="both"/>
        <w:rPr>
          <w:rFonts w:cs="Times New Roman"/>
          <w:sz w:val="24"/>
          <w:szCs w:val="24"/>
        </w:rPr>
      </w:pPr>
      <w:r w:rsidRPr="00651795">
        <w:rPr>
          <w:rFonts w:cs="Times New Roman"/>
          <w:i/>
          <w:sz w:val="24"/>
          <w:szCs w:val="24"/>
        </w:rPr>
        <w:t>In Slovenia</w:t>
      </w:r>
      <w:r w:rsidRPr="00DA28D2">
        <w:rPr>
          <w:rFonts w:cs="Times New Roman"/>
          <w:sz w:val="24"/>
          <w:szCs w:val="24"/>
        </w:rPr>
        <w:t>, the premature mortality is decreasing in Slovenia and in 2018, the main contributor was the cancer premature mortality (44%)</w:t>
      </w:r>
      <w:r>
        <w:rPr>
          <w:rFonts w:cs="Times New Roman"/>
          <w:sz w:val="24"/>
          <w:szCs w:val="24"/>
        </w:rPr>
        <w:t xml:space="preserve"> and </w:t>
      </w:r>
      <w:r w:rsidRPr="00DA28D2">
        <w:rPr>
          <w:rFonts w:cs="Times New Roman"/>
          <w:sz w:val="24"/>
          <w:szCs w:val="24"/>
        </w:rPr>
        <w:t>followed by cardiovascular diseases (17</w:t>
      </w:r>
      <w:r>
        <w:rPr>
          <w:rFonts w:cs="Times New Roman"/>
          <w:sz w:val="24"/>
          <w:szCs w:val="24"/>
        </w:rPr>
        <w:t xml:space="preserve">%). </w:t>
      </w:r>
    </w:p>
    <w:p w:rsidR="00B36AD4" w:rsidRPr="00DA28D2" w:rsidRDefault="00B36AD4" w:rsidP="00B36AD4">
      <w:pPr>
        <w:jc w:val="both"/>
        <w:rPr>
          <w:rFonts w:cs="Times New Roman"/>
          <w:sz w:val="24"/>
          <w:szCs w:val="24"/>
        </w:rPr>
      </w:pPr>
      <w:r w:rsidRPr="00DA28D2">
        <w:rPr>
          <w:rFonts w:cs="Times New Roman"/>
          <w:b/>
          <w:i/>
          <w:sz w:val="24"/>
          <w:szCs w:val="24"/>
        </w:rPr>
        <w:t>Potential challenges to compare YLL estimates:</w:t>
      </w:r>
      <w:r w:rsidRPr="00DA28D2">
        <w:rPr>
          <w:rFonts w:cs="Times New Roman"/>
          <w:sz w:val="24"/>
          <w:szCs w:val="24"/>
        </w:rPr>
        <w:t xml:space="preserve"> Some countries who are performing their BoD studies mentioned following challenges to compare the national YLL estimates</w:t>
      </w:r>
      <w:r>
        <w:rPr>
          <w:rFonts w:cs="Times New Roman"/>
          <w:sz w:val="24"/>
          <w:szCs w:val="24"/>
        </w:rPr>
        <w:t>,</w:t>
      </w:r>
      <w:r w:rsidRPr="00DA28D2">
        <w:rPr>
          <w:rFonts w:cs="Times New Roman"/>
          <w:sz w:val="24"/>
          <w:szCs w:val="24"/>
        </w:rPr>
        <w:t xml:space="preserve"> with the IHME estimated YLL:</w:t>
      </w:r>
    </w:p>
    <w:p w:rsidR="00B36AD4" w:rsidRPr="00DA28D2" w:rsidRDefault="00B36AD4" w:rsidP="00B36AD4">
      <w:pPr>
        <w:pStyle w:val="Paragraphedeliste"/>
        <w:numPr>
          <w:ilvl w:val="0"/>
          <w:numId w:val="17"/>
        </w:numPr>
        <w:spacing w:line="276" w:lineRule="auto"/>
        <w:ind w:left="426" w:hanging="284"/>
        <w:rPr>
          <w:rFonts w:ascii="Trebuchet MS" w:hAnsi="Trebuchet MS"/>
        </w:rPr>
      </w:pPr>
      <w:r w:rsidRPr="00DA28D2">
        <w:rPr>
          <w:rFonts w:ascii="Trebuchet MS" w:hAnsi="Trebuchet MS"/>
        </w:rPr>
        <w:t xml:space="preserve">The national YLL estimates are calculated without taking into account the redistribution of ill-defined codes (Belgium). </w:t>
      </w:r>
      <w:r>
        <w:rPr>
          <w:rFonts w:ascii="Trebuchet MS" w:hAnsi="Trebuchet MS"/>
        </w:rPr>
        <w:t>As well a different</w:t>
      </w:r>
      <w:r w:rsidRPr="00DA28D2">
        <w:rPr>
          <w:rFonts w:ascii="Trebuchet MS" w:hAnsi="Trebuchet MS"/>
        </w:rPr>
        <w:t xml:space="preserve"> </w:t>
      </w:r>
      <w:r>
        <w:rPr>
          <w:rFonts w:ascii="Trebuchet MS" w:hAnsi="Trebuchet MS"/>
        </w:rPr>
        <w:t>methodology of redistributing ill-defined codes may be applied (Germany).</w:t>
      </w:r>
    </w:p>
    <w:p w:rsidR="00B36AD4" w:rsidRPr="00DA28D2" w:rsidRDefault="00B36AD4" w:rsidP="00B36AD4">
      <w:pPr>
        <w:pStyle w:val="Paragraphedeliste"/>
        <w:numPr>
          <w:ilvl w:val="0"/>
          <w:numId w:val="17"/>
        </w:numPr>
        <w:spacing w:line="276" w:lineRule="auto"/>
        <w:ind w:left="426" w:hanging="284"/>
        <w:rPr>
          <w:rFonts w:ascii="Trebuchet MS" w:hAnsi="Trebuchet MS"/>
        </w:rPr>
      </w:pPr>
      <w:r w:rsidRPr="00DA28D2">
        <w:rPr>
          <w:rFonts w:ascii="Trebuchet MS" w:hAnsi="Trebuchet MS"/>
        </w:rPr>
        <w:t xml:space="preserve">Changing the reference population to World or European </w:t>
      </w:r>
      <w:r>
        <w:rPr>
          <w:rFonts w:ascii="Trebuchet MS" w:hAnsi="Trebuchet MS"/>
        </w:rPr>
        <w:t>S</w:t>
      </w:r>
      <w:r w:rsidRPr="00DA28D2">
        <w:rPr>
          <w:rFonts w:ascii="Trebuchet MS" w:hAnsi="Trebuchet MS"/>
        </w:rPr>
        <w:t xml:space="preserve">tandard </w:t>
      </w:r>
      <w:r>
        <w:rPr>
          <w:rFonts w:ascii="Trebuchet MS" w:hAnsi="Trebuchet MS"/>
        </w:rPr>
        <w:t>P</w:t>
      </w:r>
      <w:r w:rsidRPr="00DA28D2">
        <w:rPr>
          <w:rFonts w:ascii="Trebuchet MS" w:hAnsi="Trebuchet MS"/>
        </w:rPr>
        <w:t>opulation influences the ranking of diseases contributing to YLL (Belgium,</w:t>
      </w:r>
      <w:r>
        <w:rPr>
          <w:rFonts w:ascii="Trebuchet MS" w:hAnsi="Trebuchet MS"/>
        </w:rPr>
        <w:t xml:space="preserve"> Estonia,</w:t>
      </w:r>
      <w:r w:rsidRPr="00DA28D2">
        <w:rPr>
          <w:rFonts w:ascii="Trebuchet MS" w:hAnsi="Trebuchet MS"/>
        </w:rPr>
        <w:t xml:space="preserve"> Scotland). Belgium and Scotland used </w:t>
      </w:r>
      <w:r>
        <w:rPr>
          <w:rFonts w:ascii="Trebuchet MS" w:hAnsi="Trebuchet MS"/>
        </w:rPr>
        <w:t xml:space="preserve">the </w:t>
      </w:r>
      <w:r w:rsidRPr="00DA28D2">
        <w:rPr>
          <w:rFonts w:ascii="Trebuchet MS" w:hAnsi="Trebuchet MS"/>
        </w:rPr>
        <w:t>European standard population as a reference.</w:t>
      </w:r>
    </w:p>
    <w:p w:rsidR="00B36AD4" w:rsidRPr="00DA28D2" w:rsidRDefault="00B36AD4" w:rsidP="00B36AD4">
      <w:pPr>
        <w:pStyle w:val="Paragraphedeliste"/>
        <w:numPr>
          <w:ilvl w:val="0"/>
          <w:numId w:val="17"/>
        </w:numPr>
        <w:spacing w:line="276" w:lineRule="auto"/>
        <w:ind w:left="426" w:hanging="284"/>
        <w:rPr>
          <w:rFonts w:ascii="Trebuchet MS" w:hAnsi="Trebuchet MS"/>
        </w:rPr>
      </w:pPr>
      <w:r w:rsidRPr="00DA28D2">
        <w:rPr>
          <w:rFonts w:ascii="Trebuchet MS" w:hAnsi="Trebuchet MS"/>
        </w:rPr>
        <w:t>The use of national life tables and population LE influences the ranking of diseases contributing to YLL (</w:t>
      </w:r>
      <w:r>
        <w:rPr>
          <w:rFonts w:ascii="Trebuchet MS" w:hAnsi="Trebuchet MS"/>
        </w:rPr>
        <w:t xml:space="preserve">Estonia, Germany, </w:t>
      </w:r>
      <w:r w:rsidRPr="00DA28D2">
        <w:rPr>
          <w:rFonts w:ascii="Trebuchet MS" w:hAnsi="Trebuchet MS"/>
        </w:rPr>
        <w:t xml:space="preserve">Scotland). </w:t>
      </w:r>
    </w:p>
    <w:p w:rsidR="00B36AD4" w:rsidRDefault="00B36AD4" w:rsidP="00B36AD4">
      <w:pPr>
        <w:pStyle w:val="Paragraphedeliste"/>
        <w:numPr>
          <w:ilvl w:val="0"/>
          <w:numId w:val="17"/>
        </w:numPr>
        <w:spacing w:line="276" w:lineRule="auto"/>
        <w:ind w:left="426" w:hanging="284"/>
        <w:rPr>
          <w:rFonts w:ascii="Trebuchet MS" w:hAnsi="Trebuchet MS"/>
        </w:rPr>
      </w:pPr>
      <w:r w:rsidRPr="00DA28D2">
        <w:rPr>
          <w:rFonts w:ascii="Trebuchet MS" w:hAnsi="Trebuchet MS"/>
        </w:rPr>
        <w:t xml:space="preserve">Mortality rates for cardiovascular and respiratory diseases were underestimated by IHME as compared to the Serbian BoD studies due to different methods of estimation in 2000 (Serbia). </w:t>
      </w:r>
    </w:p>
    <w:p w:rsidR="00B36AD4" w:rsidRPr="00DA28D2" w:rsidRDefault="00B36AD4" w:rsidP="00B36AD4">
      <w:pPr>
        <w:pStyle w:val="Paragraphedeliste"/>
        <w:spacing w:line="276" w:lineRule="auto"/>
        <w:ind w:left="426"/>
        <w:rPr>
          <w:rFonts w:ascii="Trebuchet MS" w:hAnsi="Trebuchet MS"/>
        </w:rPr>
      </w:pPr>
    </w:p>
    <w:p w:rsidR="00B36AD4" w:rsidRPr="0005420D" w:rsidRDefault="00B36AD4" w:rsidP="00B36AD4">
      <w:pPr>
        <w:pStyle w:val="Titre3"/>
        <w:rPr>
          <w:color w:val="668D33"/>
          <w:sz w:val="26"/>
          <w:szCs w:val="26"/>
        </w:rPr>
      </w:pPr>
      <w:bookmarkStart w:id="16" w:name="_Toc46839365"/>
      <w:bookmarkStart w:id="17" w:name="_Toc53067359"/>
      <w:r w:rsidRPr="0005420D">
        <w:rPr>
          <w:color w:val="668D33"/>
          <w:sz w:val="26"/>
          <w:szCs w:val="26"/>
        </w:rPr>
        <w:t xml:space="preserve">Age-standardized Years Lived </w:t>
      </w:r>
      <w:r>
        <w:rPr>
          <w:color w:val="668D33"/>
          <w:sz w:val="26"/>
          <w:szCs w:val="26"/>
        </w:rPr>
        <w:t xml:space="preserve">with Disability [YLD] </w:t>
      </w:r>
      <w:r w:rsidRPr="0005420D">
        <w:rPr>
          <w:color w:val="668D33"/>
          <w:sz w:val="26"/>
          <w:szCs w:val="26"/>
        </w:rPr>
        <w:t>1990 – 2017 (Figure 4)</w:t>
      </w:r>
      <w:bookmarkEnd w:id="16"/>
      <w:bookmarkEnd w:id="17"/>
    </w:p>
    <w:p w:rsidR="00B36AD4" w:rsidRPr="0068676A" w:rsidRDefault="00B36AD4" w:rsidP="00B36AD4">
      <w:pPr>
        <w:jc w:val="both"/>
        <w:rPr>
          <w:rFonts w:cs="Times New Roman"/>
          <w:sz w:val="24"/>
        </w:rPr>
      </w:pPr>
      <w:r w:rsidRPr="0068676A">
        <w:rPr>
          <w:rFonts w:cs="Times New Roman"/>
          <w:sz w:val="24"/>
        </w:rPr>
        <w:t>This is not a common indicator used in the European countries. According to IHME estimates, musculoskeletal disorders, mental health and neurological diseases are the main health conditions contributing to disability in the majority of European countries. In some countries, unintentional injuries are either second (CZ, HU, PL, RO, SK) or third (BG, EE, LT, LV) main contributors to disability (i.e., YLD) until 2017. The overall trend of various health conditions contributing to YLD estimates remained unchanged during 1990 – 2017. It is noteworthy that among all European countries, the trend of musculoskeletal disorders and neurological diseases remains unchanged almost over the last three decades according to the IHME estimates. This has a strong impact on disability and may influence increased use of rehabilitation services, absence from work,</w:t>
      </w:r>
      <w:r>
        <w:rPr>
          <w:rFonts w:cs="Times New Roman"/>
          <w:sz w:val="24"/>
        </w:rPr>
        <w:t xml:space="preserve"> sick leave or early retirement</w:t>
      </w:r>
      <w:r w:rsidRPr="0068676A">
        <w:rPr>
          <w:rFonts w:cs="Times New Roman"/>
          <w:sz w:val="24"/>
        </w:rPr>
        <w:t xml:space="preserve">. </w:t>
      </w:r>
    </w:p>
    <w:p w:rsidR="00B36AD4" w:rsidRPr="00C90F61" w:rsidRDefault="00B36AD4" w:rsidP="00B36AD4">
      <w:pPr>
        <w:pStyle w:val="Commentaire"/>
        <w:spacing w:line="276" w:lineRule="auto"/>
        <w:jc w:val="both"/>
        <w:rPr>
          <w:rFonts w:cs="Times New Roman"/>
          <w:sz w:val="24"/>
          <w:szCs w:val="24"/>
        </w:rPr>
      </w:pPr>
      <w:r>
        <w:rPr>
          <w:sz w:val="24"/>
          <w:szCs w:val="24"/>
        </w:rPr>
        <w:t xml:space="preserve">According to the </w:t>
      </w:r>
      <w:r w:rsidRPr="007C4BFA">
        <w:rPr>
          <w:i/>
          <w:sz w:val="24"/>
          <w:szCs w:val="24"/>
        </w:rPr>
        <w:t>Estonian BoD study</w:t>
      </w:r>
      <w:r>
        <w:rPr>
          <w:sz w:val="24"/>
          <w:szCs w:val="24"/>
        </w:rPr>
        <w:t xml:space="preserve"> i</w:t>
      </w:r>
      <w:r w:rsidRPr="00C90F61">
        <w:rPr>
          <w:sz w:val="24"/>
          <w:szCs w:val="24"/>
        </w:rPr>
        <w:t>n 2015 and 2017</w:t>
      </w:r>
      <w:r>
        <w:rPr>
          <w:sz w:val="24"/>
          <w:szCs w:val="24"/>
        </w:rPr>
        <w:t>, there were top four diseases contributing to the Y</w:t>
      </w:r>
      <w:r w:rsidRPr="00C90F61">
        <w:rPr>
          <w:sz w:val="24"/>
          <w:szCs w:val="24"/>
        </w:rPr>
        <w:t xml:space="preserve">LDs: 1. Circulatory diseases, 2. </w:t>
      </w:r>
      <w:proofErr w:type="gramStart"/>
      <w:r w:rsidRPr="00C90F61">
        <w:rPr>
          <w:sz w:val="24"/>
          <w:szCs w:val="24"/>
        </w:rPr>
        <w:t>Musc</w:t>
      </w:r>
      <w:r>
        <w:rPr>
          <w:sz w:val="24"/>
          <w:szCs w:val="24"/>
        </w:rPr>
        <w:t>ulo</w:t>
      </w:r>
      <w:r w:rsidRPr="00C90F61">
        <w:rPr>
          <w:sz w:val="24"/>
          <w:szCs w:val="24"/>
        </w:rPr>
        <w:t>skeletal</w:t>
      </w:r>
      <w:proofErr w:type="gramEnd"/>
      <w:r w:rsidRPr="00C90F61">
        <w:rPr>
          <w:sz w:val="24"/>
          <w:szCs w:val="24"/>
        </w:rPr>
        <w:t xml:space="preserve"> disorders, 3. Neoplasms and 4. Sense organ diseases. Neurological disorders are </w:t>
      </w:r>
      <w:r>
        <w:rPr>
          <w:sz w:val="24"/>
          <w:szCs w:val="24"/>
        </w:rPr>
        <w:t>often</w:t>
      </w:r>
      <w:r w:rsidRPr="00C90F61">
        <w:rPr>
          <w:sz w:val="24"/>
          <w:szCs w:val="24"/>
        </w:rPr>
        <w:t xml:space="preserve"> underestimated in Estonia due to poor knowledge of diagnosing Alzheimer’s.</w:t>
      </w:r>
      <w:r w:rsidRPr="00C90F61">
        <w:rPr>
          <w:rFonts w:cs="Times New Roman"/>
          <w:sz w:val="24"/>
          <w:szCs w:val="24"/>
        </w:rPr>
        <w:t xml:space="preserve">, </w:t>
      </w:r>
      <w:r w:rsidRPr="00AC4A75">
        <w:rPr>
          <w:rFonts w:cs="Times New Roman"/>
          <w:i/>
          <w:sz w:val="24"/>
          <w:szCs w:val="24"/>
        </w:rPr>
        <w:t>Slovenia</w:t>
      </w:r>
      <w:r w:rsidRPr="00C90F61">
        <w:rPr>
          <w:rFonts w:cs="Times New Roman"/>
          <w:sz w:val="24"/>
          <w:szCs w:val="24"/>
        </w:rPr>
        <w:t xml:space="preserve"> reported that</w:t>
      </w:r>
      <w:r>
        <w:rPr>
          <w:rFonts w:cs="Times New Roman"/>
          <w:sz w:val="24"/>
          <w:szCs w:val="24"/>
        </w:rPr>
        <w:t xml:space="preserve"> a</w:t>
      </w:r>
      <w:r w:rsidRPr="00C90F61">
        <w:rPr>
          <w:rFonts w:cs="Times New Roman"/>
          <w:sz w:val="24"/>
          <w:szCs w:val="24"/>
        </w:rPr>
        <w:t>ccording to national health statistics</w:t>
      </w:r>
      <w:r>
        <w:rPr>
          <w:rFonts w:cs="Times New Roman"/>
          <w:sz w:val="24"/>
          <w:szCs w:val="24"/>
        </w:rPr>
        <w:t>,</w:t>
      </w:r>
      <w:r w:rsidRPr="00C90F61">
        <w:rPr>
          <w:rFonts w:cs="Times New Roman"/>
          <w:sz w:val="24"/>
          <w:szCs w:val="24"/>
        </w:rPr>
        <w:t xml:space="preserve"> the diabetes and kidney diseases are the second main contributor to the morbidity and this estimate fluctuate over this period, which may be due to more systematic implementation of prevention programs. </w:t>
      </w:r>
    </w:p>
    <w:p w:rsidR="00B36AD4" w:rsidRPr="0068676A" w:rsidRDefault="00B36AD4" w:rsidP="00B36AD4">
      <w:pPr>
        <w:jc w:val="both"/>
        <w:rPr>
          <w:rFonts w:cs="Times New Roman"/>
          <w:sz w:val="24"/>
        </w:rPr>
      </w:pPr>
      <w:r w:rsidRPr="0068676A">
        <w:rPr>
          <w:rFonts w:cs="Times New Roman"/>
          <w:b/>
          <w:i/>
          <w:sz w:val="24"/>
        </w:rPr>
        <w:t>Potential challenges to compare YLD:</w:t>
      </w:r>
      <w:r w:rsidRPr="0068676A">
        <w:rPr>
          <w:rFonts w:cs="Times New Roman"/>
          <w:sz w:val="24"/>
        </w:rPr>
        <w:t xml:space="preserve"> The countries who are performing their own BoD studies reported that the comparison of national YLDs estimates with IHME is challenging due to following reasons: use of different data sources, different methods used for age-standardized rates, differences in prevalence rates</w:t>
      </w:r>
      <w:r>
        <w:rPr>
          <w:rFonts w:cs="Times New Roman"/>
          <w:sz w:val="24"/>
        </w:rPr>
        <w:t>, estimation of country specific severity distributions</w:t>
      </w:r>
      <w:r w:rsidRPr="0068676A">
        <w:rPr>
          <w:rFonts w:cs="Times New Roman"/>
          <w:sz w:val="24"/>
        </w:rPr>
        <w:t xml:space="preserve"> and duration parameters. </w:t>
      </w:r>
    </w:p>
    <w:p w:rsidR="00B36AD4" w:rsidRDefault="00B36AD4" w:rsidP="00B36AD4">
      <w:pPr>
        <w:jc w:val="both"/>
        <w:rPr>
          <w:rFonts w:cs="Times New Roman"/>
          <w:sz w:val="24"/>
        </w:rPr>
      </w:pPr>
      <w:r w:rsidRPr="0068676A">
        <w:rPr>
          <w:rFonts w:cs="Times New Roman"/>
          <w:b/>
          <w:i/>
          <w:sz w:val="24"/>
        </w:rPr>
        <w:t xml:space="preserve">Potential difference in YLD </w:t>
      </w:r>
      <w:r w:rsidRPr="00AC4A75">
        <w:rPr>
          <w:rFonts w:cs="Times New Roman"/>
          <w:b/>
          <w:i/>
          <w:sz w:val="24"/>
        </w:rPr>
        <w:t>estimates/trend:</w:t>
      </w:r>
      <w:r w:rsidRPr="0068676A">
        <w:rPr>
          <w:rFonts w:cs="Times New Roman"/>
          <w:sz w:val="24"/>
        </w:rPr>
        <w:t xml:space="preserve"> In France, the evolution of musculoskeletal disorders, mental health and neurological diseases contributing to the disability has changed since 2010 as compared to the IHME trends. </w:t>
      </w:r>
    </w:p>
    <w:p w:rsidR="00B36AD4" w:rsidRDefault="00B36AD4" w:rsidP="00B36AD4">
      <w:pPr>
        <w:jc w:val="both"/>
        <w:rPr>
          <w:rFonts w:cs="Times New Roman"/>
          <w:sz w:val="24"/>
        </w:rPr>
      </w:pPr>
    </w:p>
    <w:p w:rsidR="00B36AD4" w:rsidRPr="0086703E" w:rsidRDefault="00B36AD4" w:rsidP="00B36AD4">
      <w:pPr>
        <w:pStyle w:val="Titre3"/>
        <w:ind w:left="851" w:hanging="567"/>
        <w:rPr>
          <w:color w:val="668D33"/>
          <w:sz w:val="26"/>
          <w:szCs w:val="26"/>
        </w:rPr>
      </w:pPr>
      <w:bookmarkStart w:id="18" w:name="_Toc46839366"/>
      <w:bookmarkStart w:id="19" w:name="_Toc53067360"/>
      <w:r w:rsidRPr="0086703E">
        <w:rPr>
          <w:color w:val="668D33"/>
          <w:sz w:val="26"/>
          <w:szCs w:val="26"/>
        </w:rPr>
        <w:t>Age-standardized DALYs 1990 – 2017 (Figure 5)</w:t>
      </w:r>
      <w:bookmarkEnd w:id="18"/>
      <w:bookmarkEnd w:id="19"/>
    </w:p>
    <w:p w:rsidR="00B36AD4" w:rsidRPr="0023290B" w:rsidRDefault="00B36AD4" w:rsidP="00B36AD4">
      <w:pPr>
        <w:jc w:val="both"/>
        <w:rPr>
          <w:rFonts w:cs="Times New Roman"/>
          <w:sz w:val="24"/>
          <w:szCs w:val="24"/>
        </w:rPr>
      </w:pPr>
      <w:r w:rsidRPr="0023290B">
        <w:rPr>
          <w:rFonts w:cs="Times New Roman"/>
          <w:sz w:val="24"/>
          <w:szCs w:val="24"/>
        </w:rPr>
        <w:t xml:space="preserve">DALYs are not yet produced in the majority of European countries; therefore, the comparison with IHME estimates was not possible. </w:t>
      </w:r>
    </w:p>
    <w:p w:rsidR="00B36AD4" w:rsidRPr="0023290B" w:rsidRDefault="00B36AD4" w:rsidP="00B36AD4">
      <w:pPr>
        <w:jc w:val="both"/>
        <w:rPr>
          <w:rFonts w:cs="Times New Roman"/>
          <w:sz w:val="24"/>
          <w:szCs w:val="24"/>
        </w:rPr>
      </w:pPr>
      <w:r w:rsidRPr="00097337">
        <w:rPr>
          <w:rFonts w:cs="Times New Roman"/>
          <w:sz w:val="24"/>
          <w:szCs w:val="24"/>
        </w:rPr>
        <w:t>According to IHME estimates in 2017, among</w:t>
      </w:r>
      <w:r w:rsidRPr="0023290B">
        <w:rPr>
          <w:rFonts w:cs="Times New Roman"/>
          <w:sz w:val="24"/>
          <w:szCs w:val="24"/>
        </w:rPr>
        <w:t xml:space="preserve"> 20 countries (AT, BG, CY, CZ, DE, EE, FI, GR, HR, HU, LV, LI, MT, PL, RO, SC, SRB, SK, SI, SW), either cancer or cardiovascular diseases are the top two health conditions contributing to the DALYs. Among 11 countries (BE, DK, ENG, ES, FR, IR, IT, LU, NL, NO, PT), the musculoskeletal disorders are the second most contributing health condition to the DALYs. Among eight countries (CZ, EE, LV, LI, PL, RO, SK, SI), unintentional </w:t>
      </w:r>
      <w:r w:rsidRPr="0023290B">
        <w:rPr>
          <w:rFonts w:cs="Times New Roman"/>
          <w:sz w:val="24"/>
          <w:szCs w:val="24"/>
        </w:rPr>
        <w:lastRenderedPageBreak/>
        <w:t>injuries are the third most contributing health condition to DALYs. In France and Italy, mental health is the third most contributing health condition to DALYs.</w:t>
      </w:r>
    </w:p>
    <w:p w:rsidR="00B36AD4" w:rsidRPr="00245CDF" w:rsidRDefault="00B36AD4" w:rsidP="00B36AD4">
      <w:pPr>
        <w:jc w:val="both"/>
        <w:rPr>
          <w:sz w:val="24"/>
        </w:rPr>
      </w:pPr>
      <w:r>
        <w:rPr>
          <w:rFonts w:cs="Times New Roman"/>
          <w:sz w:val="24"/>
          <w:szCs w:val="24"/>
        </w:rPr>
        <w:t xml:space="preserve">Five </w:t>
      </w:r>
      <w:r w:rsidRPr="0023290B">
        <w:rPr>
          <w:rFonts w:cs="Times New Roman"/>
          <w:sz w:val="24"/>
          <w:szCs w:val="24"/>
        </w:rPr>
        <w:t>countries (DE, FI, HU, IT, SC) mentioned that</w:t>
      </w:r>
      <w:r>
        <w:rPr>
          <w:rFonts w:cs="Times New Roman"/>
          <w:sz w:val="24"/>
          <w:szCs w:val="24"/>
        </w:rPr>
        <w:t>,</w:t>
      </w:r>
      <w:r w:rsidRPr="0023290B">
        <w:rPr>
          <w:rFonts w:cs="Times New Roman"/>
          <w:sz w:val="24"/>
          <w:szCs w:val="24"/>
        </w:rPr>
        <w:t xml:space="preserve"> </w:t>
      </w:r>
      <w:r>
        <w:rPr>
          <w:rFonts w:cs="Times New Roman"/>
          <w:sz w:val="24"/>
          <w:szCs w:val="24"/>
        </w:rPr>
        <w:t>a</w:t>
      </w:r>
      <w:r w:rsidRPr="0023290B">
        <w:rPr>
          <w:rFonts w:cs="Times New Roman"/>
          <w:sz w:val="24"/>
          <w:szCs w:val="24"/>
        </w:rPr>
        <w:t xml:space="preserve">ccording to the national health statistics, some </w:t>
      </w:r>
      <w:r>
        <w:rPr>
          <w:rFonts w:cs="Times New Roman"/>
          <w:sz w:val="24"/>
          <w:szCs w:val="24"/>
        </w:rPr>
        <w:t>priority</w:t>
      </w:r>
      <w:r w:rsidRPr="0023290B">
        <w:rPr>
          <w:rFonts w:cs="Times New Roman"/>
          <w:sz w:val="24"/>
          <w:szCs w:val="24"/>
        </w:rPr>
        <w:t xml:space="preserve"> health conditions highlighted by IHME are similar to their </w:t>
      </w:r>
      <w:r>
        <w:rPr>
          <w:rFonts w:cs="Times New Roman"/>
          <w:sz w:val="24"/>
          <w:szCs w:val="24"/>
        </w:rPr>
        <w:t xml:space="preserve">own </w:t>
      </w:r>
      <w:r w:rsidRPr="0023290B">
        <w:rPr>
          <w:rFonts w:cs="Times New Roman"/>
          <w:sz w:val="24"/>
          <w:szCs w:val="24"/>
        </w:rPr>
        <w:t>national priorities/goals.</w:t>
      </w:r>
    </w:p>
    <w:p w:rsidR="00B36AD4" w:rsidRPr="0023290B" w:rsidRDefault="00B36AD4" w:rsidP="00B36AD4">
      <w:pPr>
        <w:jc w:val="both"/>
        <w:rPr>
          <w:rFonts w:cs="Times New Roman"/>
          <w:sz w:val="24"/>
          <w:szCs w:val="24"/>
        </w:rPr>
      </w:pPr>
      <w:r w:rsidRPr="005428CA">
        <w:rPr>
          <w:rFonts w:cs="Times New Roman"/>
          <w:i/>
          <w:sz w:val="24"/>
          <w:szCs w:val="24"/>
        </w:rPr>
        <w:t>In France</w:t>
      </w:r>
      <w:r w:rsidRPr="0023290B">
        <w:rPr>
          <w:rFonts w:cs="Times New Roman"/>
          <w:sz w:val="24"/>
          <w:szCs w:val="24"/>
        </w:rPr>
        <w:t xml:space="preserve">, </w:t>
      </w:r>
      <w:r>
        <w:rPr>
          <w:rFonts w:cs="Times New Roman"/>
          <w:sz w:val="24"/>
          <w:szCs w:val="24"/>
        </w:rPr>
        <w:t>there is an increase in some mental health disorders. Between 2010 and 2014, t</w:t>
      </w:r>
      <w:r w:rsidRPr="00DD6A5D">
        <w:rPr>
          <w:rFonts w:cs="Times New Roman"/>
          <w:sz w:val="24"/>
          <w:szCs w:val="24"/>
        </w:rPr>
        <w:t>here was a significant annual increase</w:t>
      </w:r>
      <w:r>
        <w:rPr>
          <w:rFonts w:cs="Times New Roman"/>
          <w:sz w:val="24"/>
          <w:szCs w:val="24"/>
        </w:rPr>
        <w:t xml:space="preserve"> in </w:t>
      </w:r>
      <w:r w:rsidRPr="00DD6A5D">
        <w:rPr>
          <w:rFonts w:cs="Times New Roman"/>
          <w:sz w:val="24"/>
          <w:szCs w:val="24"/>
        </w:rPr>
        <w:t>hospitalization</w:t>
      </w:r>
      <w:r>
        <w:rPr>
          <w:rFonts w:cs="Times New Roman"/>
          <w:sz w:val="24"/>
          <w:szCs w:val="24"/>
        </w:rPr>
        <w:t>s</w:t>
      </w:r>
      <w:r w:rsidRPr="00DD6A5D">
        <w:rPr>
          <w:rFonts w:cs="Times New Roman"/>
          <w:sz w:val="24"/>
          <w:szCs w:val="24"/>
        </w:rPr>
        <w:t xml:space="preserve"> and ambulatory care </w:t>
      </w:r>
      <w:r>
        <w:rPr>
          <w:rFonts w:cs="Times New Roman"/>
          <w:sz w:val="24"/>
          <w:szCs w:val="24"/>
        </w:rPr>
        <w:t xml:space="preserve">of patients with anxiety disorders (3.6% in </w:t>
      </w:r>
      <w:r w:rsidRPr="00DD6A5D">
        <w:rPr>
          <w:rFonts w:cs="Times New Roman"/>
          <w:sz w:val="24"/>
          <w:szCs w:val="24"/>
        </w:rPr>
        <w:t>the rates for fe</w:t>
      </w:r>
      <w:r>
        <w:rPr>
          <w:rFonts w:cs="Times New Roman"/>
          <w:sz w:val="24"/>
          <w:szCs w:val="24"/>
        </w:rPr>
        <w:t xml:space="preserve">males [p&lt;.001] and 3.7% in the </w:t>
      </w:r>
      <w:r w:rsidRPr="00DD6A5D">
        <w:rPr>
          <w:rFonts w:cs="Times New Roman"/>
          <w:sz w:val="24"/>
          <w:szCs w:val="24"/>
        </w:rPr>
        <w:t>rates for males</w:t>
      </w:r>
      <w:r>
        <w:rPr>
          <w:rFonts w:cs="Times New Roman"/>
          <w:sz w:val="24"/>
          <w:szCs w:val="24"/>
        </w:rPr>
        <w:t xml:space="preserve"> [p&lt;.001]) and patients with bipolar disorder (2.6% in males [</w:t>
      </w:r>
      <w:r w:rsidRPr="00137421">
        <w:rPr>
          <w:rFonts w:cs="Times New Roman"/>
          <w:sz w:val="24"/>
          <w:szCs w:val="24"/>
        </w:rPr>
        <w:t>p=.01</w:t>
      </w:r>
      <w:r>
        <w:rPr>
          <w:rFonts w:cs="Times New Roman"/>
          <w:sz w:val="24"/>
          <w:szCs w:val="24"/>
        </w:rPr>
        <w:t>]</w:t>
      </w:r>
      <w:r w:rsidRPr="00137421">
        <w:rPr>
          <w:rFonts w:cs="Times New Roman"/>
          <w:sz w:val="24"/>
          <w:szCs w:val="24"/>
        </w:rPr>
        <w:t xml:space="preserve"> and 3.4% in females </w:t>
      </w:r>
      <w:r>
        <w:rPr>
          <w:rFonts w:cs="Times New Roman"/>
          <w:sz w:val="24"/>
          <w:szCs w:val="24"/>
        </w:rPr>
        <w:t>[</w:t>
      </w:r>
      <w:r w:rsidRPr="00137421">
        <w:rPr>
          <w:rFonts w:cs="Times New Roman"/>
          <w:sz w:val="24"/>
          <w:szCs w:val="24"/>
        </w:rPr>
        <w:t>p&lt;.001</w:t>
      </w:r>
      <w:r>
        <w:rPr>
          <w:rFonts w:cs="Times New Roman"/>
          <w:sz w:val="24"/>
          <w:szCs w:val="24"/>
        </w:rPr>
        <w:t>]</w:t>
      </w:r>
      <w:r w:rsidRPr="001A162B">
        <w:rPr>
          <w:rFonts w:cs="Times New Roman"/>
          <w:sz w:val="24"/>
          <w:szCs w:val="24"/>
        </w:rPr>
        <w:t xml:space="preserve"> </w:t>
      </w:r>
      <w:r w:rsidRPr="00DD6A5D">
        <w:rPr>
          <w:rFonts w:cs="Times New Roman"/>
          <w:sz w:val="24"/>
          <w:szCs w:val="24"/>
        </w:rPr>
        <w:t>in public psychiatric</w:t>
      </w:r>
      <w:r>
        <w:rPr>
          <w:rFonts w:cs="Times New Roman"/>
          <w:sz w:val="24"/>
          <w:szCs w:val="24"/>
        </w:rPr>
        <w:t xml:space="preserve"> </w:t>
      </w:r>
      <w:r w:rsidRPr="00DD6A5D">
        <w:rPr>
          <w:rFonts w:cs="Times New Roman"/>
          <w:sz w:val="24"/>
          <w:szCs w:val="24"/>
        </w:rPr>
        <w:t>settings</w:t>
      </w:r>
      <w:r w:rsidRPr="00137421">
        <w:rPr>
          <w:rFonts w:cs="Times New Roman"/>
          <w:sz w:val="24"/>
          <w:szCs w:val="24"/>
        </w:rPr>
        <w:t>.</w:t>
      </w:r>
      <w:r>
        <w:rPr>
          <w:rFonts w:cs="Times New Roman"/>
          <w:sz w:val="24"/>
          <w:szCs w:val="24"/>
        </w:rPr>
        <w:t xml:space="preserve"> </w:t>
      </w:r>
      <w:r w:rsidRPr="00137421">
        <w:rPr>
          <w:rFonts w:cs="Times New Roman"/>
          <w:sz w:val="24"/>
          <w:szCs w:val="24"/>
        </w:rPr>
        <w:t>The rate of health care for depressive disorders has not changed over the studied years</w:t>
      </w:r>
      <w:r>
        <w:rPr>
          <w:rFonts w:cs="Times New Roman"/>
          <w:sz w:val="24"/>
          <w:szCs w:val="24"/>
        </w:rPr>
        <w:t xml:space="preserve"> </w:t>
      </w:r>
      <w:r>
        <w:rPr>
          <w:rFonts w:cs="Times New Roman"/>
          <w:sz w:val="24"/>
          <w:szCs w:val="24"/>
        </w:rPr>
        <w:fldChar w:fldCharType="begin"/>
      </w:r>
      <w:r>
        <w:rPr>
          <w:rFonts w:cs="Times New Roman"/>
          <w:sz w:val="24"/>
          <w:szCs w:val="24"/>
        </w:rPr>
        <w:instrText xml:space="preserve"> ADDIN EN.CITE &lt;EndNote&gt;&lt;Cite&gt;&lt;Author&gt;Badjadj&lt;/Author&gt;&lt;Year&gt;2017&lt;/Year&gt;&lt;RecNum&gt;5&lt;/RecNum&gt;&lt;DisplayText&gt;[2, 3]&lt;/DisplayText&gt;&lt;record&gt;&lt;rec-number&gt;5&lt;/rec-number&gt;&lt;foreign-keys&gt;&lt;key app="EN" db-id="22vs0xv9ixrpr6evxrhvva0209w590zts052" timestamp="1602167220"&gt;5&lt;/key&gt;&lt;/foreign-keys&gt;&lt;ref-type name="Journal Article"&gt;17&lt;/ref-type&gt;&lt;contributors&gt;&lt;authors&gt;&lt;author&gt;Badjadj, Lynda  &lt;/author&gt;&lt;author&gt;Chan Chee, Christine &lt;/author&gt;&lt;/authors&gt;&lt;/contributors&gt;&lt;titles&gt;&lt;title&gt;Hospitalization and ambulatory care for mood disorders in psychiatric settings in metropolitan france, 2010 - 2014&lt;/title&gt;&lt;secondary-title&gt;BEH (Bulletin épidémiologiue hebdomadaire)&lt;/secondary-title&gt;&lt;/titles&gt;&lt;periodical&gt;&lt;full-title&gt;BEH (Bulletin épidémiologiue hebdomadaire)&lt;/full-title&gt;&lt;/periodical&gt;&lt;dates&gt;&lt;year&gt;2017&lt;/year&gt;&lt;/dates&gt;&lt;urls&gt;&lt;/urls&gt;&lt;/record&gt;&lt;/Cite&gt;&lt;Cite&gt;&lt;Author&gt;Chee&lt;/Author&gt;&lt;Year&gt;2018&lt;/Year&gt;&lt;RecNum&gt;6&lt;/RecNum&gt;&lt;record&gt;&lt;rec-number&gt;6&lt;/rec-number&gt;&lt;foreign-keys&gt;&lt;key app="EN" db-id="22vs0xv9ixrpr6evxrhvva0209w590zts052" timestamp="1602167614"&gt;6&lt;/key&gt;&lt;/foreign-keys&gt;&lt;ref-type name="Journal Article"&gt;17&lt;/ref-type&gt;&lt;contributors&gt;&lt;authors&gt;&lt;author&gt;Christine Chan Chee&lt;/author&gt;&lt;/authors&gt;&lt;/contributors&gt;&lt;titles&gt;&lt;title&gt;Hospitalization and ambulatory care of patients with anxiety disorders in public psychiatric settings in metropolitan France, 2010 - 2014&lt;/title&gt;&lt;secondary-title&gt;BEH (Bulletin épidémiologiue hebdomadaire)&lt;/secondary-title&gt;&lt;/titles&gt;&lt;periodical&gt;&lt;full-title&gt;BEH (Bulletin épidémiologiue hebdomadaire)&lt;/full-title&gt;&lt;/periodical&gt;&lt;dates&gt;&lt;year&gt;2018&lt;/year&gt;&lt;/dates&gt;&lt;urls&gt;&lt;/urls&gt;&lt;/record&gt;&lt;/Cite&gt;&lt;/EndNote&gt;</w:instrText>
      </w:r>
      <w:r>
        <w:rPr>
          <w:rFonts w:cs="Times New Roman"/>
          <w:sz w:val="24"/>
          <w:szCs w:val="24"/>
        </w:rPr>
        <w:fldChar w:fldCharType="separate"/>
      </w:r>
      <w:r>
        <w:rPr>
          <w:rFonts w:cs="Times New Roman"/>
          <w:noProof/>
          <w:sz w:val="24"/>
          <w:szCs w:val="24"/>
        </w:rPr>
        <w:t>[2, 3]</w:t>
      </w:r>
      <w:r>
        <w:rPr>
          <w:rFonts w:cs="Times New Roman"/>
          <w:sz w:val="24"/>
          <w:szCs w:val="24"/>
        </w:rPr>
        <w:fldChar w:fldCharType="end"/>
      </w:r>
      <w:r>
        <w:rPr>
          <w:rFonts w:cs="Times New Roman"/>
          <w:sz w:val="24"/>
          <w:szCs w:val="24"/>
        </w:rPr>
        <w:t>.</w:t>
      </w:r>
    </w:p>
    <w:p w:rsidR="00B36AD4" w:rsidRDefault="00B36AD4" w:rsidP="00B36AD4">
      <w:pPr>
        <w:jc w:val="both"/>
        <w:rPr>
          <w:rFonts w:cs="Times New Roman"/>
          <w:sz w:val="24"/>
          <w:szCs w:val="24"/>
        </w:rPr>
      </w:pPr>
      <w:r w:rsidRPr="0023290B">
        <w:rPr>
          <w:rFonts w:cs="Times New Roman"/>
          <w:b/>
          <w:i/>
          <w:sz w:val="24"/>
          <w:szCs w:val="24"/>
        </w:rPr>
        <w:t xml:space="preserve">Potential challenges when comparing DALYs: </w:t>
      </w:r>
      <w:r w:rsidRPr="00074E09">
        <w:rPr>
          <w:rFonts w:cs="Times New Roman"/>
          <w:sz w:val="24"/>
          <w:szCs w:val="24"/>
        </w:rPr>
        <w:t>Estonia,</w:t>
      </w:r>
      <w:r>
        <w:rPr>
          <w:rFonts w:cs="Times New Roman"/>
          <w:sz w:val="24"/>
          <w:szCs w:val="24"/>
        </w:rPr>
        <w:t xml:space="preserve"> Germany,</w:t>
      </w:r>
      <w:r w:rsidRPr="00074E09">
        <w:rPr>
          <w:rFonts w:cs="Times New Roman"/>
          <w:sz w:val="24"/>
          <w:szCs w:val="24"/>
        </w:rPr>
        <w:t xml:space="preserve"> Scotland</w:t>
      </w:r>
      <w:r w:rsidRPr="0023290B">
        <w:rPr>
          <w:rFonts w:cs="Times New Roman"/>
          <w:sz w:val="24"/>
          <w:szCs w:val="24"/>
        </w:rPr>
        <w:t xml:space="preserve"> and Serbia who produce their own BoD estimates, mentioned that due to different standard population</w:t>
      </w:r>
      <w:r>
        <w:rPr>
          <w:rFonts w:cs="Times New Roman"/>
          <w:sz w:val="24"/>
          <w:szCs w:val="24"/>
        </w:rPr>
        <w:t>s</w:t>
      </w:r>
      <w:r w:rsidRPr="0023290B">
        <w:rPr>
          <w:rFonts w:cs="Times New Roman"/>
          <w:sz w:val="24"/>
          <w:szCs w:val="24"/>
        </w:rPr>
        <w:t xml:space="preserve"> and methodological approaches, the </w:t>
      </w:r>
      <w:r>
        <w:rPr>
          <w:rFonts w:cs="Times New Roman"/>
          <w:sz w:val="24"/>
          <w:szCs w:val="24"/>
        </w:rPr>
        <w:t xml:space="preserve">direct </w:t>
      </w:r>
      <w:r w:rsidRPr="0023290B">
        <w:rPr>
          <w:rFonts w:cs="Times New Roman"/>
          <w:sz w:val="24"/>
          <w:szCs w:val="24"/>
        </w:rPr>
        <w:t xml:space="preserve">comparison of their estimates with IHME is not possible. </w:t>
      </w:r>
    </w:p>
    <w:p w:rsidR="00B36AD4" w:rsidRPr="0023290B" w:rsidRDefault="00B36AD4" w:rsidP="00B36AD4">
      <w:pPr>
        <w:jc w:val="both"/>
        <w:rPr>
          <w:rFonts w:cs="Times New Roman"/>
          <w:sz w:val="24"/>
          <w:szCs w:val="24"/>
        </w:rPr>
      </w:pPr>
    </w:p>
    <w:p w:rsidR="00B36AD4" w:rsidRPr="0086703E" w:rsidRDefault="00B36AD4" w:rsidP="00B36AD4">
      <w:pPr>
        <w:pStyle w:val="Titre3"/>
        <w:ind w:left="709" w:hanging="567"/>
        <w:rPr>
          <w:color w:val="668D33"/>
          <w:sz w:val="26"/>
          <w:szCs w:val="26"/>
        </w:rPr>
      </w:pPr>
      <w:bookmarkStart w:id="20" w:name="_Toc46839367"/>
      <w:bookmarkStart w:id="21" w:name="_Toc53067361"/>
      <w:r w:rsidRPr="0086703E">
        <w:rPr>
          <w:color w:val="668D33"/>
          <w:sz w:val="26"/>
          <w:szCs w:val="26"/>
        </w:rPr>
        <w:t xml:space="preserve">Age-standardized </w:t>
      </w:r>
      <w:r>
        <w:rPr>
          <w:color w:val="668D33"/>
          <w:sz w:val="26"/>
          <w:szCs w:val="26"/>
        </w:rPr>
        <w:t xml:space="preserve">DALYs due to known risk factors </w:t>
      </w:r>
      <w:r w:rsidRPr="0086703E">
        <w:rPr>
          <w:color w:val="668D33"/>
          <w:sz w:val="26"/>
          <w:szCs w:val="26"/>
        </w:rPr>
        <w:t>1990 – 2017 (Figure 6)</w:t>
      </w:r>
      <w:bookmarkEnd w:id="20"/>
      <w:bookmarkEnd w:id="21"/>
    </w:p>
    <w:p w:rsidR="00B36AD4" w:rsidRPr="0023290B" w:rsidRDefault="00B36AD4" w:rsidP="00B36AD4">
      <w:pPr>
        <w:jc w:val="both"/>
        <w:rPr>
          <w:rFonts w:cs="Times New Roman"/>
          <w:sz w:val="24"/>
        </w:rPr>
      </w:pPr>
      <w:bookmarkStart w:id="22" w:name="_Hlk43898887"/>
      <w:r w:rsidRPr="0023290B">
        <w:rPr>
          <w:rFonts w:cs="Times New Roman"/>
          <w:sz w:val="24"/>
        </w:rPr>
        <w:t xml:space="preserve">According to IHME, in majority of the European countries, the contribution of individual risk factors </w:t>
      </w:r>
      <w:r>
        <w:rPr>
          <w:rFonts w:cs="Times New Roman"/>
          <w:sz w:val="24"/>
        </w:rPr>
        <w:t xml:space="preserve">(i.e., 19) </w:t>
      </w:r>
      <w:r w:rsidRPr="0023290B">
        <w:rPr>
          <w:rFonts w:cs="Times New Roman"/>
          <w:sz w:val="24"/>
        </w:rPr>
        <w:t xml:space="preserve">to the overall burden (i.e., DALYs) show a steady decrease over this period. According to the 3-category structure of risks used by GBD, the following are the risk factors whose contribution to the DALYs changes slightly over this period: </w:t>
      </w:r>
    </w:p>
    <w:bookmarkEnd w:id="22"/>
    <w:p w:rsidR="00B36AD4" w:rsidRPr="0023290B" w:rsidRDefault="00B36AD4" w:rsidP="00B36AD4">
      <w:pPr>
        <w:pStyle w:val="Paragraphedeliste"/>
        <w:numPr>
          <w:ilvl w:val="0"/>
          <w:numId w:val="21"/>
        </w:numPr>
        <w:spacing w:before="120" w:line="276" w:lineRule="auto"/>
        <w:ind w:left="567" w:hanging="425"/>
        <w:rPr>
          <w:rFonts w:ascii="Trebuchet MS" w:hAnsi="Trebuchet MS"/>
        </w:rPr>
      </w:pPr>
      <w:r w:rsidRPr="0023290B">
        <w:rPr>
          <w:rFonts w:ascii="Trebuchet MS" w:hAnsi="Trebuchet MS"/>
          <w:i/>
        </w:rPr>
        <w:t>Behavioural risk factors</w:t>
      </w:r>
      <w:r w:rsidRPr="0023290B">
        <w:rPr>
          <w:rFonts w:ascii="Trebuchet MS" w:hAnsi="Trebuchet MS"/>
        </w:rPr>
        <w:t xml:space="preserve"> including alcohol use, dietary risks, low physical activity, tobacco use and unsafe sex.</w:t>
      </w:r>
    </w:p>
    <w:p w:rsidR="00B36AD4" w:rsidRPr="0023290B" w:rsidRDefault="00B36AD4" w:rsidP="00B36AD4">
      <w:pPr>
        <w:pStyle w:val="Paragraphedeliste"/>
        <w:numPr>
          <w:ilvl w:val="0"/>
          <w:numId w:val="21"/>
        </w:numPr>
        <w:spacing w:before="120" w:line="276" w:lineRule="auto"/>
        <w:ind w:left="567" w:hanging="425"/>
        <w:rPr>
          <w:rFonts w:ascii="Trebuchet MS" w:hAnsi="Trebuchet MS"/>
        </w:rPr>
      </w:pPr>
      <w:r w:rsidRPr="0023290B">
        <w:rPr>
          <w:rFonts w:ascii="Trebuchet MS" w:hAnsi="Trebuchet MS"/>
          <w:i/>
        </w:rPr>
        <w:t>Metabolic risk factors</w:t>
      </w:r>
      <w:r>
        <w:rPr>
          <w:rFonts w:ascii="Trebuchet MS" w:hAnsi="Trebuchet MS"/>
        </w:rPr>
        <w:t xml:space="preserve"> including, high LDL-cholesterol</w:t>
      </w:r>
      <w:r w:rsidRPr="0023290B">
        <w:rPr>
          <w:rFonts w:ascii="Trebuchet MS" w:hAnsi="Trebuchet MS"/>
        </w:rPr>
        <w:t xml:space="preserve"> and high systolic blood pressure. </w:t>
      </w:r>
    </w:p>
    <w:p w:rsidR="00B36AD4" w:rsidRDefault="00B36AD4" w:rsidP="00B36AD4">
      <w:pPr>
        <w:pStyle w:val="Paragraphedeliste"/>
        <w:numPr>
          <w:ilvl w:val="0"/>
          <w:numId w:val="21"/>
        </w:numPr>
        <w:spacing w:before="120" w:line="276" w:lineRule="auto"/>
        <w:ind w:left="567" w:hanging="425"/>
        <w:rPr>
          <w:rFonts w:ascii="Trebuchet MS" w:hAnsi="Trebuchet MS"/>
        </w:rPr>
      </w:pPr>
      <w:r w:rsidRPr="0023290B">
        <w:rPr>
          <w:rFonts w:ascii="Trebuchet MS" w:hAnsi="Trebuchet MS"/>
          <w:i/>
        </w:rPr>
        <w:t>Environmental risk factors</w:t>
      </w:r>
      <w:r w:rsidRPr="0023290B">
        <w:rPr>
          <w:rFonts w:ascii="Trebuchet MS" w:hAnsi="Trebuchet MS"/>
        </w:rPr>
        <w:t xml:space="preserve"> including air pollution.</w:t>
      </w:r>
    </w:p>
    <w:p w:rsidR="00B36AD4" w:rsidRPr="0023290B" w:rsidRDefault="00B36AD4" w:rsidP="00B36AD4">
      <w:pPr>
        <w:pStyle w:val="Paragraphedeliste"/>
        <w:spacing w:before="120" w:line="276" w:lineRule="auto"/>
        <w:ind w:left="567"/>
        <w:rPr>
          <w:rFonts w:ascii="Trebuchet MS" w:hAnsi="Trebuchet MS"/>
        </w:rPr>
      </w:pPr>
    </w:p>
    <w:p w:rsidR="00B36AD4" w:rsidRPr="0023290B" w:rsidRDefault="00B36AD4" w:rsidP="00B36AD4">
      <w:pPr>
        <w:jc w:val="both"/>
        <w:rPr>
          <w:rFonts w:cs="Times New Roman"/>
          <w:i/>
          <w:sz w:val="24"/>
        </w:rPr>
      </w:pPr>
      <w:r w:rsidRPr="0023290B">
        <w:rPr>
          <w:rFonts w:cs="Times New Roman"/>
          <w:sz w:val="24"/>
        </w:rPr>
        <w:t xml:space="preserve">There are some risk factors, whose contribution to DALYs changes little or not at all over this period in European countries. For example, drug use, intimate partner violence, childhood maltreatment, high body-mass index, high fasting plasma glucose, occupation risks and other environmental risks. </w:t>
      </w:r>
      <w:r w:rsidRPr="0068545F">
        <w:rPr>
          <w:rFonts w:cs="Times New Roman"/>
          <w:i/>
          <w:sz w:val="24"/>
        </w:rPr>
        <w:t>In Scotland</w:t>
      </w:r>
      <w:r w:rsidRPr="0023290B">
        <w:rPr>
          <w:rFonts w:cs="Times New Roman"/>
          <w:sz w:val="24"/>
        </w:rPr>
        <w:t xml:space="preserve">, the drug use has increased over the last decades. In the European region, the overall burden of disease/diseases due to known risk factors has decreased but the relative contribution of a single risk factor within a given year has largely stayed unchanged. </w:t>
      </w:r>
    </w:p>
    <w:p w:rsidR="00B36AD4" w:rsidRPr="0023290B" w:rsidRDefault="00B36AD4" w:rsidP="00B36AD4">
      <w:pPr>
        <w:jc w:val="both"/>
        <w:rPr>
          <w:rFonts w:cs="Times New Roman"/>
          <w:sz w:val="24"/>
        </w:rPr>
      </w:pPr>
      <w:r w:rsidRPr="0023290B">
        <w:rPr>
          <w:rFonts w:cs="Times New Roman"/>
          <w:sz w:val="24"/>
        </w:rPr>
        <w:t xml:space="preserve">According to the national health statistics, </w:t>
      </w:r>
      <w:r>
        <w:rPr>
          <w:rFonts w:cs="Times New Roman"/>
          <w:sz w:val="24"/>
        </w:rPr>
        <w:t xml:space="preserve">DALYs due to </w:t>
      </w:r>
      <w:r w:rsidRPr="0023290B">
        <w:rPr>
          <w:rFonts w:cs="Times New Roman"/>
          <w:sz w:val="24"/>
        </w:rPr>
        <w:t xml:space="preserve">alcohol use </w:t>
      </w:r>
      <w:r>
        <w:rPr>
          <w:rFonts w:cs="Times New Roman"/>
          <w:sz w:val="24"/>
        </w:rPr>
        <w:t>are</w:t>
      </w:r>
      <w:r w:rsidRPr="0023290B">
        <w:rPr>
          <w:rFonts w:cs="Times New Roman"/>
          <w:sz w:val="24"/>
        </w:rPr>
        <w:t xml:space="preserve"> decreasing over this period in Latvia, Lithuania and Poland. </w:t>
      </w:r>
      <w:r w:rsidRPr="0068545F">
        <w:rPr>
          <w:rFonts w:cs="Times New Roman"/>
          <w:i/>
          <w:sz w:val="24"/>
        </w:rPr>
        <w:t>In Latvia</w:t>
      </w:r>
      <w:r w:rsidRPr="0023290B">
        <w:rPr>
          <w:rFonts w:cs="Times New Roman"/>
          <w:sz w:val="24"/>
        </w:rPr>
        <w:t xml:space="preserve"> </w:t>
      </w:r>
      <w:proofErr w:type="gramStart"/>
      <w:r w:rsidRPr="0023290B">
        <w:rPr>
          <w:rFonts w:cs="Times New Roman"/>
          <w:sz w:val="24"/>
        </w:rPr>
        <w:t>as part</w:t>
      </w:r>
      <w:proofErr w:type="gramEnd"/>
      <w:r w:rsidRPr="0023290B">
        <w:rPr>
          <w:rFonts w:cs="Times New Roman"/>
          <w:sz w:val="24"/>
        </w:rPr>
        <w:t xml:space="preserve"> of public health framework strategy to reduce alcoholism, following actions have been planned in 2014-2020 and 2020-2022: a gradual increase in excise tax, bans and restrictions to alcohol advertisement and </w:t>
      </w:r>
      <w:r>
        <w:rPr>
          <w:rFonts w:cs="Times New Roman"/>
          <w:sz w:val="24"/>
        </w:rPr>
        <w:t>sale</w:t>
      </w:r>
      <w:r w:rsidRPr="0023290B">
        <w:rPr>
          <w:rFonts w:cs="Times New Roman"/>
          <w:sz w:val="24"/>
        </w:rPr>
        <w:t xml:space="preserve">. </w:t>
      </w:r>
      <w:r w:rsidRPr="0023290B">
        <w:rPr>
          <w:rFonts w:cs="Times New Roman"/>
          <w:sz w:val="24"/>
        </w:rPr>
        <w:lastRenderedPageBreak/>
        <w:t xml:space="preserve">According to </w:t>
      </w:r>
      <w:r w:rsidRPr="0068545F">
        <w:rPr>
          <w:rFonts w:cs="Times New Roman"/>
          <w:i/>
          <w:sz w:val="24"/>
        </w:rPr>
        <w:t>Lithuania</w:t>
      </w:r>
      <w:r w:rsidRPr="0023290B">
        <w:rPr>
          <w:rFonts w:cs="Times New Roman"/>
          <w:sz w:val="24"/>
        </w:rPr>
        <w:t>’s health strategy, the alcohol use is decreasing since 2015.</w:t>
      </w:r>
      <w:r w:rsidRPr="0023290B">
        <w:t xml:space="preserve"> </w:t>
      </w:r>
      <w:r w:rsidRPr="0068545F">
        <w:rPr>
          <w:rFonts w:cs="Times New Roman"/>
          <w:i/>
          <w:sz w:val="24"/>
        </w:rPr>
        <w:t>In Poland</w:t>
      </w:r>
      <w:r w:rsidRPr="0023290B">
        <w:rPr>
          <w:rFonts w:cs="Times New Roman"/>
          <w:sz w:val="24"/>
        </w:rPr>
        <w:t xml:space="preserve">, the main risk factors with the largest share in DALYs are tobacco (21,2%), dietary risks (19,3 %) and metabolic risks like high systolic blood pressure 12,4%; high LDL cholesterol 10,2%; high body-mass index 9,7%, alcohol use 8,9%. </w:t>
      </w:r>
      <w:r w:rsidRPr="0068545F">
        <w:rPr>
          <w:rFonts w:cs="Times New Roman"/>
          <w:i/>
          <w:sz w:val="24"/>
        </w:rPr>
        <w:t>In France</w:t>
      </w:r>
      <w:r w:rsidRPr="0023290B">
        <w:rPr>
          <w:rFonts w:cs="Times New Roman"/>
          <w:sz w:val="24"/>
        </w:rPr>
        <w:t xml:space="preserve">, the overall trend of various risk factors corresponds to the national health statistics. </w:t>
      </w:r>
      <w:r w:rsidRPr="0068545F">
        <w:rPr>
          <w:rFonts w:cs="Times New Roman"/>
          <w:i/>
          <w:sz w:val="24"/>
        </w:rPr>
        <w:t>In Scotland</w:t>
      </w:r>
      <w:r w:rsidRPr="0023290B">
        <w:rPr>
          <w:rFonts w:cs="Times New Roman"/>
          <w:sz w:val="24"/>
        </w:rPr>
        <w:t xml:space="preserve">, the existing knowledge about the contribution of certain risk factors to the overall disease burden confirms that the tobacco use, diet, obesity and other metabolic risk factors are main contributors to overall disease burden. </w:t>
      </w:r>
    </w:p>
    <w:p w:rsidR="00B36AD4" w:rsidRPr="0023290B" w:rsidRDefault="00B36AD4" w:rsidP="00B36AD4">
      <w:pPr>
        <w:jc w:val="both"/>
        <w:rPr>
          <w:rFonts w:cs="Times New Roman"/>
          <w:sz w:val="24"/>
        </w:rPr>
      </w:pPr>
      <w:r w:rsidRPr="0023290B">
        <w:rPr>
          <w:rFonts w:cs="Times New Roman"/>
          <w:sz w:val="24"/>
        </w:rPr>
        <w:t>According to public health strategy frameworks across many European countries, prevention intervention programs help to increase awareness via health campaigns promoting stop smoking, healthy diet, regular physical activities and less alcohol drinking.</w:t>
      </w:r>
    </w:p>
    <w:p w:rsidR="00B36AD4" w:rsidRPr="0023290B" w:rsidRDefault="00B36AD4" w:rsidP="00B36AD4">
      <w:pPr>
        <w:jc w:val="both"/>
        <w:rPr>
          <w:rFonts w:cs="Times New Roman"/>
          <w:sz w:val="24"/>
        </w:rPr>
      </w:pPr>
      <w:r w:rsidRPr="0023290B">
        <w:rPr>
          <w:rFonts w:cs="Times New Roman"/>
          <w:b/>
          <w:i/>
          <w:sz w:val="24"/>
        </w:rPr>
        <w:t xml:space="preserve">Potential difference in risk factor </w:t>
      </w:r>
      <w:r w:rsidRPr="0032400E">
        <w:rPr>
          <w:rFonts w:cs="Times New Roman"/>
          <w:b/>
          <w:i/>
          <w:sz w:val="24"/>
        </w:rPr>
        <w:t>estimates/trend:</w:t>
      </w:r>
      <w:r w:rsidRPr="0023290B">
        <w:rPr>
          <w:rFonts w:cs="Times New Roman"/>
          <w:sz w:val="24"/>
        </w:rPr>
        <w:t xml:space="preserve"> In France, the </w:t>
      </w:r>
      <w:r>
        <w:rPr>
          <w:rFonts w:cs="Times New Roman"/>
          <w:sz w:val="24"/>
        </w:rPr>
        <w:t xml:space="preserve">trend of </w:t>
      </w:r>
      <w:r w:rsidRPr="0023290B">
        <w:rPr>
          <w:rFonts w:cs="Times New Roman"/>
          <w:sz w:val="24"/>
        </w:rPr>
        <w:t>occupational risks are underestimated by IHME.</w:t>
      </w:r>
    </w:p>
    <w:p w:rsidR="00B36AD4" w:rsidRDefault="00B36AD4" w:rsidP="00B36AD4">
      <w:pPr>
        <w:jc w:val="both"/>
        <w:rPr>
          <w:rFonts w:cs="Times New Roman"/>
          <w:sz w:val="24"/>
        </w:rPr>
      </w:pPr>
      <w:r w:rsidRPr="0023290B">
        <w:rPr>
          <w:rFonts w:cs="Times New Roman"/>
          <w:b/>
          <w:i/>
          <w:sz w:val="24"/>
        </w:rPr>
        <w:t xml:space="preserve">Potential limitation related to method used: </w:t>
      </w:r>
      <w:r w:rsidRPr="0023290B">
        <w:rPr>
          <w:rFonts w:cs="Times New Roman"/>
          <w:sz w:val="24"/>
        </w:rPr>
        <w:t xml:space="preserve">The IHME estimates should be interpreted with caution, as individual risk factors </w:t>
      </w:r>
      <w:r>
        <w:rPr>
          <w:rFonts w:cs="Times New Roman"/>
          <w:sz w:val="24"/>
        </w:rPr>
        <w:t>may become intermediary factors in a causal pathway</w:t>
      </w:r>
      <w:r w:rsidRPr="0023290B">
        <w:rPr>
          <w:rFonts w:cs="Times New Roman"/>
          <w:sz w:val="24"/>
        </w:rPr>
        <w:t>.</w:t>
      </w:r>
      <w:r>
        <w:rPr>
          <w:rFonts w:cs="Times New Roman"/>
          <w:sz w:val="24"/>
        </w:rPr>
        <w:t xml:space="preserve"> </w:t>
      </w:r>
      <w:r w:rsidRPr="0023290B">
        <w:rPr>
          <w:rFonts w:cs="Times New Roman"/>
          <w:sz w:val="24"/>
        </w:rPr>
        <w:t>The IHME methodology works with single risk-outcome pairs, which does not take into consideration interactions between risk factors or one risk factor being an intermediary to another one in a pathway.</w:t>
      </w:r>
    </w:p>
    <w:p w:rsidR="00B36AD4" w:rsidRDefault="00B36AD4" w:rsidP="00B36AD4">
      <w:pPr>
        <w:jc w:val="both"/>
        <w:rPr>
          <w:rFonts w:cs="Times New Roman"/>
          <w:sz w:val="24"/>
        </w:rPr>
      </w:pPr>
    </w:p>
    <w:p w:rsidR="00B36AD4" w:rsidRPr="0086703E" w:rsidRDefault="00B36AD4" w:rsidP="00B36AD4">
      <w:pPr>
        <w:pStyle w:val="Titre3"/>
        <w:ind w:left="851" w:hanging="567"/>
        <w:rPr>
          <w:color w:val="668D33"/>
          <w:sz w:val="26"/>
          <w:szCs w:val="26"/>
        </w:rPr>
      </w:pPr>
      <w:bookmarkStart w:id="23" w:name="_Toc46839368"/>
      <w:bookmarkStart w:id="24" w:name="_Toc53067362"/>
      <w:r w:rsidRPr="0086703E">
        <w:rPr>
          <w:color w:val="668D33"/>
          <w:sz w:val="26"/>
          <w:szCs w:val="26"/>
        </w:rPr>
        <w:t>Annual change in age-standardized DALYs attributable to top ten health conditions 1990 – 2017 (Figure 7)</w:t>
      </w:r>
      <w:bookmarkEnd w:id="23"/>
      <w:bookmarkEnd w:id="24"/>
    </w:p>
    <w:p w:rsidR="00B36AD4" w:rsidRPr="00805729" w:rsidRDefault="00B36AD4" w:rsidP="00B36AD4">
      <w:pPr>
        <w:jc w:val="both"/>
        <w:rPr>
          <w:rFonts w:cs="Times New Roman"/>
          <w:sz w:val="24"/>
        </w:rPr>
      </w:pPr>
      <w:r w:rsidRPr="00805729">
        <w:rPr>
          <w:rFonts w:cs="Times New Roman"/>
          <w:sz w:val="24"/>
        </w:rPr>
        <w:t xml:space="preserve">According to the IHME estimates, the annual change in age-standardized DALYs attributable to individual health conditions is progressively declining over time in European countries. Cardiovascular and cancer are the main contributors to the annual decrease in overall DALYs in all European countries and to a lesser extent, unintentional injuries, diabetes, respiratory conditions, substance use disorder and other non-communicable diseases. In some European countries, the contribution of musculoskeletal disorders (DK, ENG, FR, IE) and substance use disorder (FI) to the overall DALYs has increased in 2017. </w:t>
      </w:r>
    </w:p>
    <w:p w:rsidR="00B36AD4" w:rsidRPr="00805729" w:rsidRDefault="00B36AD4" w:rsidP="00B36AD4">
      <w:pPr>
        <w:jc w:val="both"/>
        <w:rPr>
          <w:rFonts w:cs="Times New Roman"/>
          <w:sz w:val="24"/>
        </w:rPr>
      </w:pPr>
      <w:r w:rsidRPr="00805729">
        <w:rPr>
          <w:rFonts w:cs="Times New Roman"/>
          <w:sz w:val="24"/>
        </w:rPr>
        <w:t>According to the national health statistics, some European countries (CY, FI, IT, PL, PT, LV, LT) mentioned that the changes in cardiovascular diseases correspond to their national health reporting as reflected by premature mortality estimates (i.e., YLL in figure 3).</w:t>
      </w:r>
    </w:p>
    <w:p w:rsidR="00B36AD4" w:rsidRPr="00074E09" w:rsidRDefault="00B36AD4" w:rsidP="00B36AD4">
      <w:pPr>
        <w:pStyle w:val="Commentaire"/>
        <w:spacing w:line="276" w:lineRule="auto"/>
        <w:jc w:val="both"/>
        <w:rPr>
          <w:rFonts w:cs="Times New Roman"/>
          <w:sz w:val="24"/>
          <w:szCs w:val="24"/>
        </w:rPr>
      </w:pPr>
      <w:r w:rsidRPr="00490ECF">
        <w:rPr>
          <w:rFonts w:cs="Times New Roman"/>
          <w:b/>
          <w:i/>
          <w:sz w:val="24"/>
        </w:rPr>
        <w:t>Potential difference in attributable DALYs estimates/trend:</w:t>
      </w:r>
      <w:r w:rsidRPr="00490ECF">
        <w:rPr>
          <w:rFonts w:cs="Times New Roman"/>
          <w:sz w:val="24"/>
        </w:rPr>
        <w:t xml:space="preserve"> </w:t>
      </w:r>
      <w:r w:rsidRPr="00490ECF">
        <w:rPr>
          <w:i/>
          <w:sz w:val="24"/>
          <w:szCs w:val="24"/>
        </w:rPr>
        <w:t>In Estonia</w:t>
      </w:r>
      <w:r w:rsidRPr="00074E09">
        <w:rPr>
          <w:sz w:val="24"/>
          <w:szCs w:val="24"/>
        </w:rPr>
        <w:t>, there a</w:t>
      </w:r>
      <w:r>
        <w:rPr>
          <w:sz w:val="24"/>
          <w:szCs w:val="24"/>
        </w:rPr>
        <w:t>re</w:t>
      </w:r>
      <w:r w:rsidRPr="00074E09">
        <w:rPr>
          <w:sz w:val="24"/>
          <w:szCs w:val="24"/>
        </w:rPr>
        <w:t xml:space="preserve"> quite some difference</w:t>
      </w:r>
      <w:r>
        <w:rPr>
          <w:sz w:val="24"/>
          <w:szCs w:val="24"/>
        </w:rPr>
        <w:t>s</w:t>
      </w:r>
      <w:r w:rsidRPr="00074E09">
        <w:rPr>
          <w:sz w:val="24"/>
          <w:szCs w:val="24"/>
        </w:rPr>
        <w:t xml:space="preserve"> between the causes of YLLs and YLDs. If </w:t>
      </w:r>
      <w:r>
        <w:rPr>
          <w:sz w:val="24"/>
          <w:szCs w:val="24"/>
        </w:rPr>
        <w:t xml:space="preserve">we </w:t>
      </w:r>
      <w:r w:rsidRPr="00074E09">
        <w:rPr>
          <w:sz w:val="24"/>
          <w:szCs w:val="24"/>
        </w:rPr>
        <w:t>sum them up, then the real problems</w:t>
      </w:r>
      <w:r>
        <w:rPr>
          <w:sz w:val="24"/>
          <w:szCs w:val="24"/>
        </w:rPr>
        <w:t xml:space="preserve"> </w:t>
      </w:r>
      <w:proofErr w:type="gramStart"/>
      <w:r>
        <w:rPr>
          <w:sz w:val="24"/>
          <w:szCs w:val="24"/>
        </w:rPr>
        <w:t>cannot be observed</w:t>
      </w:r>
      <w:proofErr w:type="gramEnd"/>
      <w:r w:rsidRPr="00074E09">
        <w:rPr>
          <w:sz w:val="24"/>
          <w:szCs w:val="24"/>
        </w:rPr>
        <w:t>.</w:t>
      </w:r>
      <w:r>
        <w:rPr>
          <w:sz w:val="24"/>
          <w:szCs w:val="24"/>
        </w:rPr>
        <w:t xml:space="preserve"> </w:t>
      </w:r>
      <w:r w:rsidRPr="00490ECF">
        <w:rPr>
          <w:rFonts w:cs="Times New Roman"/>
          <w:i/>
          <w:sz w:val="24"/>
        </w:rPr>
        <w:t>In France</w:t>
      </w:r>
      <w:r w:rsidRPr="00805729">
        <w:rPr>
          <w:rFonts w:cs="Times New Roman"/>
          <w:sz w:val="24"/>
        </w:rPr>
        <w:t xml:space="preserve">, the </w:t>
      </w:r>
      <w:r>
        <w:rPr>
          <w:rFonts w:cs="Times New Roman"/>
          <w:sz w:val="24"/>
        </w:rPr>
        <w:t xml:space="preserve">trend in </w:t>
      </w:r>
      <w:r w:rsidRPr="00074E09">
        <w:rPr>
          <w:rFonts w:cs="Times New Roman"/>
          <w:sz w:val="24"/>
          <w:szCs w:val="24"/>
        </w:rPr>
        <w:t xml:space="preserve">interpersonal violence does not reflect the real-time situation. </w:t>
      </w:r>
      <w:r w:rsidRPr="00490ECF">
        <w:rPr>
          <w:rFonts w:cs="Times New Roman"/>
          <w:i/>
          <w:sz w:val="24"/>
          <w:szCs w:val="24"/>
        </w:rPr>
        <w:t xml:space="preserve">Germany </w:t>
      </w:r>
      <w:r w:rsidRPr="00074E09">
        <w:rPr>
          <w:rFonts w:cs="Times New Roman"/>
          <w:sz w:val="24"/>
          <w:szCs w:val="24"/>
        </w:rPr>
        <w:t xml:space="preserve">mentioned that their national health reporting does not </w:t>
      </w:r>
      <w:r>
        <w:rPr>
          <w:rFonts w:cs="Times New Roman"/>
          <w:sz w:val="24"/>
          <w:szCs w:val="24"/>
        </w:rPr>
        <w:t xml:space="preserve">fully </w:t>
      </w:r>
      <w:r w:rsidRPr="00074E09">
        <w:rPr>
          <w:rFonts w:cs="Times New Roman"/>
          <w:sz w:val="24"/>
          <w:szCs w:val="24"/>
        </w:rPr>
        <w:t xml:space="preserve">reflect these variations. Most of the European countries did not comment on these estimates because DALYs </w:t>
      </w:r>
      <w:proofErr w:type="gramStart"/>
      <w:r>
        <w:rPr>
          <w:rFonts w:cs="Times New Roman"/>
          <w:sz w:val="24"/>
          <w:szCs w:val="24"/>
        </w:rPr>
        <w:t xml:space="preserve">are </w:t>
      </w:r>
      <w:r w:rsidRPr="00074E09">
        <w:rPr>
          <w:rFonts w:cs="Times New Roman"/>
          <w:sz w:val="24"/>
          <w:szCs w:val="24"/>
        </w:rPr>
        <w:t>not commonly calculated</w:t>
      </w:r>
      <w:proofErr w:type="gramEnd"/>
      <w:r w:rsidRPr="00074E09">
        <w:rPr>
          <w:rFonts w:cs="Times New Roman"/>
          <w:sz w:val="24"/>
          <w:szCs w:val="24"/>
        </w:rPr>
        <w:t xml:space="preserve"> at national public health institutes as part of routine activities. </w:t>
      </w:r>
    </w:p>
    <w:p w:rsidR="00B36AD4" w:rsidRDefault="00B36AD4" w:rsidP="00B36AD4">
      <w:pPr>
        <w:jc w:val="both"/>
        <w:rPr>
          <w:rFonts w:cs="Times New Roman"/>
          <w:sz w:val="24"/>
        </w:rPr>
      </w:pPr>
    </w:p>
    <w:p w:rsidR="00B36AD4" w:rsidRPr="0086703E" w:rsidRDefault="00B36AD4" w:rsidP="00B36AD4">
      <w:pPr>
        <w:pStyle w:val="Titre3"/>
        <w:ind w:left="851" w:hanging="567"/>
        <w:rPr>
          <w:color w:val="668D33"/>
          <w:sz w:val="26"/>
          <w:szCs w:val="26"/>
        </w:rPr>
      </w:pPr>
      <w:bookmarkStart w:id="25" w:name="_Toc46839369"/>
      <w:bookmarkStart w:id="26" w:name="_Toc53067363"/>
      <w:r w:rsidRPr="0086703E">
        <w:rPr>
          <w:color w:val="668D33"/>
          <w:sz w:val="26"/>
          <w:szCs w:val="26"/>
        </w:rPr>
        <w:lastRenderedPageBreak/>
        <w:t>Healthcare Access and Quality Index (HAQ) based on amenable mortality 2017 (Figure 8)</w:t>
      </w:r>
      <w:bookmarkEnd w:id="25"/>
      <w:bookmarkEnd w:id="26"/>
    </w:p>
    <w:p w:rsidR="00B36AD4" w:rsidRPr="006F633E" w:rsidRDefault="00B36AD4" w:rsidP="00B36AD4">
      <w:pPr>
        <w:jc w:val="both"/>
        <w:rPr>
          <w:sz w:val="24"/>
        </w:rPr>
      </w:pPr>
      <w:r w:rsidRPr="00805729">
        <w:rPr>
          <w:rFonts w:cs="Times New Roman"/>
          <w:sz w:val="24"/>
        </w:rPr>
        <w:t>According to IHME estimates in 2017, the HAQ index (i.e., a proxy measure of the quality of health care services based on amenable mortality</w:t>
      </w:r>
      <w:r>
        <w:rPr>
          <w:rFonts w:cs="Times New Roman"/>
          <w:sz w:val="24"/>
        </w:rPr>
        <w:t xml:space="preserve"> [32 causes of death]</w:t>
      </w:r>
      <w:r w:rsidRPr="00805729">
        <w:rPr>
          <w:rFonts w:cs="Times New Roman"/>
          <w:sz w:val="24"/>
        </w:rPr>
        <w:t xml:space="preserve">) shows that </w:t>
      </w:r>
      <w:r>
        <w:rPr>
          <w:sz w:val="24"/>
        </w:rPr>
        <w:t>i</w:t>
      </w:r>
      <w:r w:rsidRPr="006F633E">
        <w:rPr>
          <w:sz w:val="24"/>
        </w:rPr>
        <w:t>n most European countries, results for circulatory diseases, respiratory diseases and some types of cancers are close to the highest percentile. This reflects the performance of health care services in those conditions amenable to better outcomes where high quality care is available. Improvements in life expectancy are linked to it.</w:t>
      </w:r>
    </w:p>
    <w:p w:rsidR="00B36AD4" w:rsidRPr="00805729" w:rsidRDefault="00B36AD4" w:rsidP="00B36AD4">
      <w:pPr>
        <w:jc w:val="both"/>
        <w:rPr>
          <w:rFonts w:cs="Times New Roman"/>
          <w:sz w:val="24"/>
        </w:rPr>
      </w:pPr>
      <w:r w:rsidRPr="00805729">
        <w:rPr>
          <w:rFonts w:cs="Times New Roman"/>
          <w:sz w:val="24"/>
        </w:rPr>
        <w:t>On the other hand, the HAQ index for the treatment of non-melanoma skin cancer (squamous-cell carcinoma) is lower than 60 in following European countries, highlighting the potential issues with diagnosis, treatment and care: AT, BE, CY, DK, EE, ES, HR, HU, LV, LT, PL, PT, RO, SRB, SK, SI.</w:t>
      </w:r>
    </w:p>
    <w:p w:rsidR="00B36AD4" w:rsidRDefault="00B36AD4" w:rsidP="00B36AD4">
      <w:pPr>
        <w:jc w:val="both"/>
        <w:rPr>
          <w:rFonts w:cs="Times New Roman"/>
          <w:sz w:val="24"/>
        </w:rPr>
      </w:pPr>
      <w:r w:rsidRPr="00805729">
        <w:rPr>
          <w:rFonts w:cs="Times New Roman"/>
          <w:sz w:val="24"/>
        </w:rPr>
        <w:t>Some countries mentioned that the HAQ index is a rough proxy measure, useful to compare the performance of health care services across European countries, but that it is of limited use for an in-depth improvement in the delivery and quality of health care services (DE, PL). Due to lack of knowledge on data sources and methods used for amenable mortality estimation, it is difficult to i</w:t>
      </w:r>
      <w:r>
        <w:rPr>
          <w:rFonts w:cs="Times New Roman"/>
          <w:sz w:val="24"/>
        </w:rPr>
        <w:t xml:space="preserve">nterpret these estimates (HU). </w:t>
      </w:r>
    </w:p>
    <w:p w:rsidR="00B36AD4" w:rsidRDefault="00B36AD4" w:rsidP="00B36AD4">
      <w:pPr>
        <w:jc w:val="both"/>
        <w:rPr>
          <w:rFonts w:cs="Times New Roman"/>
          <w:sz w:val="24"/>
        </w:rPr>
      </w:pPr>
    </w:p>
    <w:p w:rsidR="00B36AD4" w:rsidRPr="00303D98" w:rsidRDefault="00B36AD4" w:rsidP="00B36AD4">
      <w:pPr>
        <w:pStyle w:val="Titre2"/>
      </w:pPr>
      <w:bookmarkStart w:id="27" w:name="_Toc46839370"/>
      <w:bookmarkStart w:id="28" w:name="_Toc53067364"/>
      <w:r w:rsidRPr="00303D98">
        <w:t>Additional data sources used by individual countries for national health reporting</w:t>
      </w:r>
      <w:bookmarkEnd w:id="27"/>
      <w:bookmarkEnd w:id="28"/>
      <w:r w:rsidRPr="00303D98">
        <w:t xml:space="preserve"> </w:t>
      </w:r>
    </w:p>
    <w:p w:rsidR="00B36AD4" w:rsidRPr="00E302EE" w:rsidRDefault="00B36AD4" w:rsidP="00B36AD4">
      <w:pPr>
        <w:jc w:val="both"/>
        <w:rPr>
          <w:rFonts w:cs="Times New Roman"/>
          <w:sz w:val="24"/>
          <w:szCs w:val="24"/>
        </w:rPr>
      </w:pPr>
      <w:r w:rsidRPr="00E302EE">
        <w:rPr>
          <w:rFonts w:cs="Times New Roman"/>
          <w:sz w:val="24"/>
          <w:szCs w:val="24"/>
        </w:rPr>
        <w:t xml:space="preserve">IHME uses a broad range of various types of data sources to calculate GBD estimates. Some countries mentioned that many of these sources are not commonly used in routine calculation of their national health statistics. </w:t>
      </w:r>
    </w:p>
    <w:p w:rsidR="00B36AD4" w:rsidRPr="00E302EE" w:rsidRDefault="00B36AD4" w:rsidP="00B36AD4">
      <w:pPr>
        <w:jc w:val="both"/>
        <w:rPr>
          <w:rFonts w:cs="Times New Roman"/>
          <w:b/>
          <w:sz w:val="24"/>
        </w:rPr>
      </w:pPr>
      <w:r w:rsidRPr="00E302EE">
        <w:rPr>
          <w:rFonts w:cs="Times New Roman"/>
          <w:sz w:val="24"/>
          <w:szCs w:val="24"/>
        </w:rPr>
        <w:t>Following countries mentioned additional data sources, which are not included in the list of data sources by IHME:</w:t>
      </w:r>
    </w:p>
    <w:p w:rsidR="00B36AD4" w:rsidRPr="008615EB" w:rsidRDefault="00B36AD4" w:rsidP="00B36AD4">
      <w:pPr>
        <w:pStyle w:val="Corpsdetexte"/>
        <w:spacing w:before="0" w:after="200" w:line="276" w:lineRule="auto"/>
        <w:jc w:val="both"/>
        <w:rPr>
          <w:rFonts w:ascii="Trebuchet MS" w:hAnsi="Trebuchet MS" w:cs="Times New Roman"/>
        </w:rPr>
      </w:pPr>
      <w:r w:rsidRPr="00046555">
        <w:rPr>
          <w:rFonts w:ascii="Trebuchet MS" w:hAnsi="Trebuchet MS" w:cs="Times New Roman"/>
          <w:b/>
          <w:i/>
        </w:rPr>
        <w:t>Croatia:</w:t>
      </w:r>
      <w:r>
        <w:rPr>
          <w:rFonts w:ascii="Trebuchet MS" w:hAnsi="Trebuchet MS" w:cs="Times New Roman"/>
        </w:rPr>
        <w:t xml:space="preserve"> Data</w:t>
      </w:r>
      <w:r w:rsidRPr="00D32960">
        <w:rPr>
          <w:rFonts w:ascii="Trebuchet MS" w:hAnsi="Trebuchet MS" w:cs="Times New Roman"/>
        </w:rPr>
        <w:t xml:space="preserve"> source</w:t>
      </w:r>
      <w:r>
        <w:rPr>
          <w:rFonts w:ascii="Trebuchet MS" w:hAnsi="Trebuchet MS" w:cs="Times New Roman"/>
        </w:rPr>
        <w:t xml:space="preserve">s to calculate related estimates </w:t>
      </w:r>
      <w:r w:rsidRPr="00D32960">
        <w:rPr>
          <w:rFonts w:ascii="Trebuchet MS" w:hAnsi="Trebuchet MS" w:cs="Times New Roman"/>
        </w:rPr>
        <w:t>of mortality</w:t>
      </w:r>
      <w:r>
        <w:rPr>
          <w:rFonts w:ascii="Trebuchet MS" w:hAnsi="Trebuchet MS" w:cs="Times New Roman"/>
        </w:rPr>
        <w:t>,</w:t>
      </w:r>
      <w:r w:rsidRPr="00D32960">
        <w:rPr>
          <w:rFonts w:ascii="Trebuchet MS" w:hAnsi="Trebuchet MS" w:cs="Times New Roman"/>
        </w:rPr>
        <w:t xml:space="preserve"> morbidity and for risk factors used by the IHME are appropriate. </w:t>
      </w:r>
      <w:r>
        <w:rPr>
          <w:rFonts w:ascii="Trebuchet MS" w:hAnsi="Trebuchet MS" w:cs="Times New Roman"/>
        </w:rPr>
        <w:t xml:space="preserve">A data source that </w:t>
      </w:r>
      <w:proofErr w:type="gramStart"/>
      <w:r>
        <w:rPr>
          <w:rFonts w:ascii="Trebuchet MS" w:hAnsi="Trebuchet MS" w:cs="Times New Roman"/>
        </w:rPr>
        <w:t>is often used</w:t>
      </w:r>
      <w:proofErr w:type="gramEnd"/>
      <w:r>
        <w:rPr>
          <w:rFonts w:ascii="Trebuchet MS" w:hAnsi="Trebuchet MS" w:cs="Times New Roman"/>
        </w:rPr>
        <w:t xml:space="preserve"> in national statistics and is not included in the list of IHME data sources is </w:t>
      </w:r>
      <w:r w:rsidRPr="00D32960">
        <w:rPr>
          <w:rFonts w:ascii="Trebuchet MS" w:hAnsi="Trebuchet MS" w:cs="Times New Roman"/>
        </w:rPr>
        <w:t>EHIS [European Health Interview Survey - 2nd wave]</w:t>
      </w:r>
      <w:r>
        <w:rPr>
          <w:rFonts w:ascii="Trebuchet MS" w:hAnsi="Trebuchet MS" w:cs="Times New Roman"/>
        </w:rPr>
        <w:t>.</w:t>
      </w:r>
    </w:p>
    <w:p w:rsidR="00B36AD4" w:rsidRDefault="00B36AD4" w:rsidP="00B36AD4">
      <w:pPr>
        <w:pStyle w:val="Corpsdetexte"/>
        <w:spacing w:before="0" w:after="200" w:line="276" w:lineRule="auto"/>
        <w:jc w:val="both"/>
        <w:rPr>
          <w:rFonts w:ascii="Trebuchet MS" w:hAnsi="Trebuchet MS" w:cs="Times New Roman"/>
        </w:rPr>
      </w:pPr>
      <w:r w:rsidRPr="00B93FFB">
        <w:rPr>
          <w:rFonts w:ascii="Trebuchet MS" w:hAnsi="Trebuchet MS" w:cs="Times New Roman"/>
          <w:b/>
          <w:i/>
        </w:rPr>
        <w:t>Czech Republic:</w:t>
      </w:r>
      <w:r>
        <w:rPr>
          <w:rFonts w:ascii="Trebuchet MS" w:hAnsi="Trebuchet MS" w:cs="Times New Roman"/>
        </w:rPr>
        <w:t xml:space="preserve"> Data sources used by IHME often refer to international health-related databases (ECHI, OECD, WHO) to which the Institute of Health Information and Statistics of the Czech Republic contributes. In some cases, more recent data are available than listed. Some results </w:t>
      </w:r>
      <w:proofErr w:type="gramStart"/>
      <w:r>
        <w:rPr>
          <w:rFonts w:ascii="Trebuchet MS" w:hAnsi="Trebuchet MS" w:cs="Times New Roman"/>
        </w:rPr>
        <w:t>are based</w:t>
      </w:r>
      <w:proofErr w:type="gramEnd"/>
      <w:r>
        <w:rPr>
          <w:rFonts w:ascii="Trebuchet MS" w:hAnsi="Trebuchet MS" w:cs="Times New Roman"/>
        </w:rPr>
        <w:t xml:space="preserve"> on local studies, which may not be fully generalizable to the Czech population. </w:t>
      </w:r>
      <w:proofErr w:type="gramStart"/>
      <w:r>
        <w:rPr>
          <w:rFonts w:ascii="Trebuchet MS" w:hAnsi="Trebuchet MS" w:cs="Times New Roman"/>
        </w:rPr>
        <w:t>More detailed data</w:t>
      </w:r>
      <w:proofErr w:type="gramEnd"/>
      <w:r>
        <w:rPr>
          <w:rFonts w:ascii="Trebuchet MS" w:hAnsi="Trebuchet MS" w:cs="Times New Roman"/>
        </w:rPr>
        <w:t xml:space="preserve"> are used for national health statistics since the primary data are available within national health registries such as National Cancer Register, National Register of Hospitalized Patients, </w:t>
      </w:r>
      <w:r w:rsidRPr="0076530C">
        <w:rPr>
          <w:rFonts w:ascii="Trebuchet MS" w:hAnsi="Trebuchet MS" w:cs="Times New Roman"/>
        </w:rPr>
        <w:t>National Register of Reproduction Health</w:t>
      </w:r>
      <w:r>
        <w:rPr>
          <w:rFonts w:ascii="Trebuchet MS" w:hAnsi="Trebuchet MS" w:cs="Times New Roman"/>
        </w:rPr>
        <w:t xml:space="preserve">, </w:t>
      </w:r>
      <w:r w:rsidRPr="0076530C">
        <w:rPr>
          <w:rFonts w:ascii="Trebuchet MS" w:hAnsi="Trebuchet MS" w:cs="Times New Roman"/>
        </w:rPr>
        <w:t>National Register of Cardiovascular Surgery and Intervention</w:t>
      </w:r>
      <w:r>
        <w:rPr>
          <w:rFonts w:ascii="Trebuchet MS" w:hAnsi="Trebuchet MS" w:cs="Times New Roman"/>
        </w:rPr>
        <w:t xml:space="preserve"> etc. In 2018, </w:t>
      </w:r>
      <w:r w:rsidRPr="0076530C">
        <w:rPr>
          <w:rFonts w:ascii="Trebuchet MS" w:hAnsi="Trebuchet MS" w:cs="Times New Roman"/>
        </w:rPr>
        <w:t>National Register of Reimbursed Health Services</w:t>
      </w:r>
      <w:r>
        <w:rPr>
          <w:rFonts w:ascii="Trebuchet MS" w:hAnsi="Trebuchet MS" w:cs="Times New Roman"/>
        </w:rPr>
        <w:t xml:space="preserve"> was </w:t>
      </w:r>
      <w:r>
        <w:rPr>
          <w:rFonts w:ascii="Trebuchet MS" w:hAnsi="Trebuchet MS" w:cs="Times New Roman"/>
        </w:rPr>
        <w:lastRenderedPageBreak/>
        <w:t xml:space="preserve">launched, containing individual-level claims data of the </w:t>
      </w:r>
      <w:proofErr w:type="gramStart"/>
      <w:r>
        <w:rPr>
          <w:rFonts w:ascii="Trebuchet MS" w:hAnsi="Trebuchet MS" w:cs="Times New Roman"/>
        </w:rPr>
        <w:t>whole</w:t>
      </w:r>
      <w:proofErr w:type="gramEnd"/>
      <w:r>
        <w:rPr>
          <w:rFonts w:ascii="Trebuchet MS" w:hAnsi="Trebuchet MS" w:cs="Times New Roman"/>
        </w:rPr>
        <w:t xml:space="preserve"> Czech population (10.6 million) from 2010 to the present, updated quarterly. Nowadays, it is the main source of information on morbidity based on inpatient and outpatient care records including diagnoses and treatment (procedures, medications). </w:t>
      </w:r>
    </w:p>
    <w:p w:rsidR="00B36AD4" w:rsidRPr="00C43310" w:rsidRDefault="00B36AD4" w:rsidP="00B36AD4">
      <w:pPr>
        <w:pStyle w:val="Corpsdetexte"/>
        <w:spacing w:before="0" w:after="200" w:line="276" w:lineRule="auto"/>
        <w:jc w:val="both"/>
        <w:rPr>
          <w:rFonts w:ascii="Trebuchet MS" w:hAnsi="Trebuchet MS" w:cs="Times New Roman"/>
        </w:rPr>
      </w:pPr>
      <w:r w:rsidRPr="00A31E7D">
        <w:rPr>
          <w:rFonts w:ascii="Trebuchet MS" w:hAnsi="Trebuchet MS" w:cs="Times New Roman"/>
          <w:b/>
          <w:i/>
        </w:rPr>
        <w:t>Finland:</w:t>
      </w:r>
      <w:r>
        <w:rPr>
          <w:rFonts w:ascii="Trebuchet MS" w:hAnsi="Trebuchet MS" w:cs="Times New Roman"/>
        </w:rPr>
        <w:t xml:space="preserve"> the IHME data source for mortality data is the WHO mortality database and latest data is from 2015. From National Statistics Finland, more up-to-date information by sex until 2018 </w:t>
      </w:r>
      <w:proofErr w:type="gramStart"/>
      <w:r>
        <w:rPr>
          <w:rFonts w:ascii="Trebuchet MS" w:hAnsi="Trebuchet MS" w:cs="Times New Roman"/>
        </w:rPr>
        <w:t>can be obtained</w:t>
      </w:r>
      <w:proofErr w:type="gramEnd"/>
      <w:r>
        <w:rPr>
          <w:rFonts w:ascii="Trebuchet MS" w:hAnsi="Trebuchet MS" w:cs="Times New Roman"/>
        </w:rPr>
        <w:t xml:space="preserve">. Death from 2019 </w:t>
      </w:r>
      <w:proofErr w:type="gramStart"/>
      <w:r>
        <w:rPr>
          <w:rFonts w:ascii="Trebuchet MS" w:hAnsi="Trebuchet MS" w:cs="Times New Roman"/>
        </w:rPr>
        <w:t>will be published</w:t>
      </w:r>
      <w:proofErr w:type="gramEnd"/>
      <w:r>
        <w:rPr>
          <w:rFonts w:ascii="Trebuchet MS" w:hAnsi="Trebuchet MS" w:cs="Times New Roman"/>
        </w:rPr>
        <w:t xml:space="preserve"> at the end of 2020. The latest morbidity information used by IHME from the </w:t>
      </w:r>
      <w:r w:rsidRPr="00CB0D43">
        <w:rPr>
          <w:rFonts w:ascii="Trebuchet MS" w:hAnsi="Trebuchet MS" w:cs="Times New Roman"/>
        </w:rPr>
        <w:t>Hospital Discharge Register</w:t>
      </w:r>
      <w:r>
        <w:rPr>
          <w:rFonts w:ascii="Trebuchet MS" w:hAnsi="Trebuchet MS" w:cs="Times New Roman"/>
        </w:rPr>
        <w:t xml:space="preserve"> is from 2014. For national calculations, we can obtain more up-to-date information about in- and out-patient hospital visits from the care register. For risk factors such as smoking, hypertension and obesity, the latest questionnaire data used by IHME is from 2014 and health examination data from 2012. Since then, we have had a health examination survey in 2017 and questionnaire-based health surveys annually, latest completed data from 2019. In our national calculations, we can also use data on medical prescriptions and purchases.</w:t>
      </w:r>
    </w:p>
    <w:p w:rsidR="00B36AD4" w:rsidRDefault="00B36AD4" w:rsidP="00B36AD4">
      <w:pPr>
        <w:jc w:val="both"/>
        <w:rPr>
          <w:rFonts w:cs="Times New Roman"/>
          <w:sz w:val="24"/>
          <w:szCs w:val="24"/>
        </w:rPr>
      </w:pPr>
      <w:r w:rsidRPr="00E302EE">
        <w:rPr>
          <w:rFonts w:cs="Times New Roman"/>
          <w:b/>
          <w:i/>
          <w:sz w:val="24"/>
          <w:szCs w:val="24"/>
        </w:rPr>
        <w:t xml:space="preserve">France: </w:t>
      </w:r>
      <w:r w:rsidRPr="00E302EE">
        <w:rPr>
          <w:rFonts w:cs="Times New Roman"/>
          <w:sz w:val="24"/>
          <w:szCs w:val="24"/>
        </w:rPr>
        <w:t xml:space="preserve">The following data sources are not included in the list of IHME data sources and are frequently used in national health statistics: surveys (ENRED, Baromètres santé, ESPS), INSERM CépiDC for national mortality data and INCA database for cancer. </w:t>
      </w:r>
    </w:p>
    <w:p w:rsidR="00B36AD4" w:rsidRDefault="00B36AD4" w:rsidP="00B36AD4">
      <w:pPr>
        <w:pStyle w:val="Corpsdetexte"/>
        <w:spacing w:before="120" w:after="0" w:line="276" w:lineRule="auto"/>
        <w:jc w:val="both"/>
        <w:rPr>
          <w:rFonts w:ascii="Trebuchet MS" w:hAnsi="Trebuchet MS" w:cs="Times New Roman"/>
        </w:rPr>
      </w:pPr>
      <w:r w:rsidRPr="00ED45BE">
        <w:rPr>
          <w:rFonts w:ascii="Trebuchet MS" w:hAnsi="Trebuchet MS" w:cs="Times New Roman"/>
          <w:b/>
          <w:i/>
        </w:rPr>
        <w:t>Germany:</w:t>
      </w:r>
      <w:r>
        <w:rPr>
          <w:rFonts w:ascii="Trebuchet MS" w:hAnsi="Trebuchet MS" w:cs="Times New Roman"/>
        </w:rPr>
        <w:t xml:space="preserve"> IHME heavily relies on evidence that </w:t>
      </w:r>
      <w:proofErr w:type="gramStart"/>
      <w:r>
        <w:rPr>
          <w:rFonts w:ascii="Trebuchet MS" w:hAnsi="Trebuchet MS" w:cs="Times New Roman"/>
        </w:rPr>
        <w:t>is published</w:t>
      </w:r>
      <w:proofErr w:type="gramEnd"/>
      <w:r>
        <w:rPr>
          <w:rFonts w:ascii="Trebuchet MS" w:hAnsi="Trebuchet MS" w:cs="Times New Roman"/>
        </w:rPr>
        <w:t xml:space="preserve"> in scientific journals</w:t>
      </w:r>
      <w:r w:rsidRPr="006745C5">
        <w:rPr>
          <w:rFonts w:ascii="Trebuchet MS" w:hAnsi="Trebuchet MS" w:cs="Times New Roman"/>
        </w:rPr>
        <w:t xml:space="preserve"> </w:t>
      </w:r>
      <w:r>
        <w:rPr>
          <w:rFonts w:ascii="Trebuchet MS" w:hAnsi="Trebuchet MS" w:cs="Times New Roman"/>
        </w:rPr>
        <w:t xml:space="preserve">in English language. Thus, with some exceptions like hospital data or causes of death data national data sources </w:t>
      </w:r>
      <w:proofErr w:type="gramStart"/>
      <w:r>
        <w:rPr>
          <w:rFonts w:ascii="Trebuchet MS" w:hAnsi="Trebuchet MS" w:cs="Times New Roman"/>
        </w:rPr>
        <w:t>are not systematically accessed</w:t>
      </w:r>
      <w:proofErr w:type="gramEnd"/>
      <w:r>
        <w:rPr>
          <w:rFonts w:ascii="Trebuchet MS" w:hAnsi="Trebuchet MS" w:cs="Times New Roman"/>
        </w:rPr>
        <w:t xml:space="preserve"> in order to estimate the burden of disease. In Germany, for instance, both national statistics and survey data on road injuries are accessible at micro data level, </w:t>
      </w:r>
      <w:proofErr w:type="gramStart"/>
      <w:r>
        <w:rPr>
          <w:rFonts w:ascii="Trebuchet MS" w:hAnsi="Trebuchet MS" w:cs="Times New Roman"/>
        </w:rPr>
        <w:t>are not listed</w:t>
      </w:r>
      <w:proofErr w:type="gramEnd"/>
      <w:r>
        <w:rPr>
          <w:rFonts w:ascii="Trebuchet MS" w:hAnsi="Trebuchet MS" w:cs="Times New Roman"/>
        </w:rPr>
        <w:t xml:space="preserve"> among the data that is used to estimate the burden of road traffic injuries. Some type of data that is important to consider for accurate national estimates, may be difficult to access for foreign research institutions due to data protection regulations (e.g. claims data).</w:t>
      </w:r>
    </w:p>
    <w:p w:rsidR="00B36AD4" w:rsidRPr="000F4822" w:rsidRDefault="00B36AD4" w:rsidP="00B36AD4">
      <w:pPr>
        <w:pStyle w:val="Corpsdetexte"/>
        <w:spacing w:before="120" w:after="0" w:line="276" w:lineRule="auto"/>
        <w:jc w:val="both"/>
        <w:rPr>
          <w:rFonts w:ascii="Trebuchet MS" w:hAnsi="Trebuchet MS" w:cs="Times New Roman"/>
        </w:rPr>
      </w:pPr>
    </w:p>
    <w:p w:rsidR="00B36AD4" w:rsidRDefault="00B36AD4" w:rsidP="00B36AD4">
      <w:pPr>
        <w:jc w:val="both"/>
      </w:pPr>
      <w:r w:rsidRPr="00E302EE">
        <w:rPr>
          <w:rFonts w:cs="Times New Roman"/>
          <w:b/>
          <w:i/>
          <w:sz w:val="24"/>
          <w:szCs w:val="24"/>
        </w:rPr>
        <w:t xml:space="preserve">Italy: </w:t>
      </w:r>
      <w:r w:rsidRPr="00E302EE">
        <w:rPr>
          <w:rFonts w:cs="Times New Roman"/>
          <w:sz w:val="24"/>
          <w:szCs w:val="24"/>
        </w:rPr>
        <w:t>Most of the data sources used by the IHME to calculate estimate</w:t>
      </w:r>
      <w:r>
        <w:rPr>
          <w:rFonts w:cs="Times New Roman"/>
          <w:sz w:val="24"/>
          <w:szCs w:val="24"/>
        </w:rPr>
        <w:t>s</w:t>
      </w:r>
      <w:r w:rsidRPr="00E302EE">
        <w:rPr>
          <w:rFonts w:cs="Times New Roman"/>
          <w:sz w:val="24"/>
          <w:szCs w:val="24"/>
        </w:rPr>
        <w:t xml:space="preserve"> of mortality</w:t>
      </w:r>
      <w:r>
        <w:rPr>
          <w:rFonts w:cs="Times New Roman"/>
          <w:sz w:val="24"/>
          <w:szCs w:val="24"/>
        </w:rPr>
        <w:t>,</w:t>
      </w:r>
      <w:r w:rsidRPr="00E302EE">
        <w:rPr>
          <w:rFonts w:cs="Times New Roman"/>
          <w:sz w:val="24"/>
          <w:szCs w:val="24"/>
        </w:rPr>
        <w:t xml:space="preserve"> morbidity and risk factors are appropriate. However, the IHME also used data related to earthquakes in Italy released by the British Broadcasting Corporation (BBC) News, which is inappropriate.</w:t>
      </w:r>
      <w:r w:rsidRPr="00E302EE">
        <w:t xml:space="preserve"> </w:t>
      </w:r>
    </w:p>
    <w:p w:rsidR="00B36AD4" w:rsidRPr="00C43310" w:rsidRDefault="00B36AD4" w:rsidP="00B36AD4">
      <w:pPr>
        <w:pStyle w:val="Corpsdetexte"/>
        <w:spacing w:before="120" w:after="0" w:line="276" w:lineRule="auto"/>
        <w:jc w:val="both"/>
        <w:rPr>
          <w:rFonts w:ascii="Trebuchet MS" w:hAnsi="Trebuchet MS" w:cs="Times New Roman"/>
        </w:rPr>
      </w:pPr>
      <w:r w:rsidRPr="00C43310">
        <w:rPr>
          <w:rFonts w:ascii="Trebuchet MS" w:hAnsi="Trebuchet MS" w:cs="Times New Roman"/>
          <w:b/>
          <w:i/>
        </w:rPr>
        <w:t>Lithuania:</w:t>
      </w:r>
      <w:r>
        <w:rPr>
          <w:rFonts w:ascii="Trebuchet MS" w:hAnsi="Trebuchet MS" w:cs="Times New Roman"/>
        </w:rPr>
        <w:t xml:space="preserve"> There are many important data sources, which </w:t>
      </w:r>
      <w:proofErr w:type="gramStart"/>
      <w:r>
        <w:rPr>
          <w:rFonts w:ascii="Trebuchet MS" w:hAnsi="Trebuchet MS" w:cs="Times New Roman"/>
        </w:rPr>
        <w:t>are used</w:t>
      </w:r>
      <w:proofErr w:type="gramEnd"/>
      <w:r>
        <w:rPr>
          <w:rFonts w:ascii="Trebuchet MS" w:hAnsi="Trebuchet MS" w:cs="Times New Roman"/>
        </w:rPr>
        <w:t xml:space="preserve"> at national level but are not used for BoD calculations by IHME. For example, morbidity data (Health Insurance Fund), national </w:t>
      </w:r>
      <w:proofErr w:type="gramStart"/>
      <w:r>
        <w:rPr>
          <w:rFonts w:ascii="Trebuchet MS" w:hAnsi="Trebuchet MS" w:cs="Times New Roman"/>
        </w:rPr>
        <w:t>health interview survey data</w:t>
      </w:r>
      <w:proofErr w:type="gramEnd"/>
      <w:r>
        <w:rPr>
          <w:rFonts w:ascii="Trebuchet MS" w:hAnsi="Trebuchet MS" w:cs="Times New Roman"/>
        </w:rPr>
        <w:t xml:space="preserve"> (Institute of Hygiene) and other data sources are presented at sveikstat.hi.lt.</w:t>
      </w:r>
    </w:p>
    <w:p w:rsidR="00B36AD4" w:rsidRDefault="00B36AD4" w:rsidP="00B36AD4">
      <w:pPr>
        <w:spacing w:before="120" w:after="0"/>
        <w:jc w:val="both"/>
        <w:rPr>
          <w:rFonts w:eastAsia="Calibri" w:cs="Times New Roman"/>
          <w:sz w:val="24"/>
          <w:szCs w:val="24"/>
        </w:rPr>
      </w:pPr>
      <w:r w:rsidRPr="00E302EE">
        <w:rPr>
          <w:rFonts w:cs="Times New Roman"/>
          <w:b/>
          <w:i/>
        </w:rPr>
        <w:t>Slovenia</w:t>
      </w:r>
      <w:r w:rsidRPr="00E302EE">
        <w:rPr>
          <w:rFonts w:cs="Times New Roman"/>
          <w:b/>
        </w:rPr>
        <w:t>:</w:t>
      </w:r>
      <w:r w:rsidRPr="00E302EE">
        <w:rPr>
          <w:rFonts w:cs="Times New Roman"/>
        </w:rPr>
        <w:t xml:space="preserve"> </w:t>
      </w:r>
      <w:r>
        <w:rPr>
          <w:rFonts w:cs="Times New Roman"/>
        </w:rPr>
        <w:t xml:space="preserve">The </w:t>
      </w:r>
      <w:r w:rsidRPr="00E302EE">
        <w:rPr>
          <w:rFonts w:cs="Times New Roman"/>
        </w:rPr>
        <w:t xml:space="preserve">National </w:t>
      </w:r>
      <w:r>
        <w:rPr>
          <w:rFonts w:cs="Times New Roman"/>
        </w:rPr>
        <w:t>P</w:t>
      </w:r>
      <w:r w:rsidRPr="00E302EE">
        <w:rPr>
          <w:rFonts w:cs="Times New Roman"/>
        </w:rPr>
        <w:t xml:space="preserve">ublic </w:t>
      </w:r>
      <w:r>
        <w:rPr>
          <w:rFonts w:cs="Times New Roman"/>
        </w:rPr>
        <w:t>H</w:t>
      </w:r>
      <w:r w:rsidRPr="00E302EE">
        <w:rPr>
          <w:rFonts w:cs="Times New Roman"/>
        </w:rPr>
        <w:t xml:space="preserve">ealth </w:t>
      </w:r>
      <w:r>
        <w:rPr>
          <w:rFonts w:cs="Times New Roman"/>
        </w:rPr>
        <w:t>I</w:t>
      </w:r>
      <w:r w:rsidRPr="00E302EE">
        <w:rPr>
          <w:rFonts w:cs="Times New Roman"/>
        </w:rPr>
        <w:t>nstitute of Slovenia is collaborating with IHME</w:t>
      </w:r>
      <w:r>
        <w:rPr>
          <w:rFonts w:cs="Times New Roman"/>
        </w:rPr>
        <w:t>.</w:t>
      </w:r>
      <w:r w:rsidRPr="00E302EE">
        <w:rPr>
          <w:rFonts w:cs="Times New Roman"/>
        </w:rPr>
        <w:t xml:space="preserve"> </w:t>
      </w:r>
      <w:r>
        <w:rPr>
          <w:rFonts w:cs="Times New Roman"/>
        </w:rPr>
        <w:t>I</w:t>
      </w:r>
      <w:r w:rsidRPr="00E302EE">
        <w:rPr>
          <w:rFonts w:cs="Times New Roman"/>
        </w:rPr>
        <w:t>n the last round the mortality data sources were checked, which were the same as used for national health statistics. There are some missing data sources for risk factors (i.e., including two types of periodic surveys: 1. EHIS [European Health Interview Survey - 2nd wave] and 2. CINDI [Countrywide Integrated Non-communicable Disease Intervention-WHO])</w:t>
      </w:r>
      <w:r>
        <w:rPr>
          <w:rFonts w:cs="Times New Roman"/>
        </w:rPr>
        <w:t xml:space="preserve">. </w:t>
      </w:r>
      <w:r>
        <w:rPr>
          <w:rFonts w:cs="Times New Roman"/>
          <w:sz w:val="24"/>
          <w:szCs w:val="24"/>
        </w:rPr>
        <w:t>The D</w:t>
      </w:r>
      <w:r w:rsidRPr="00E302EE">
        <w:rPr>
          <w:rFonts w:cs="Times New Roman"/>
          <w:sz w:val="24"/>
          <w:szCs w:val="24"/>
        </w:rPr>
        <w:t xml:space="preserve">rug </w:t>
      </w:r>
      <w:r>
        <w:rPr>
          <w:rFonts w:cs="Times New Roman"/>
          <w:sz w:val="24"/>
          <w:szCs w:val="24"/>
        </w:rPr>
        <w:t>P</w:t>
      </w:r>
      <w:r w:rsidRPr="00E302EE">
        <w:rPr>
          <w:rFonts w:cs="Times New Roman"/>
          <w:sz w:val="24"/>
          <w:szCs w:val="24"/>
        </w:rPr>
        <w:t xml:space="preserve">rescription </w:t>
      </w:r>
      <w:r>
        <w:rPr>
          <w:rFonts w:cs="Times New Roman"/>
          <w:sz w:val="24"/>
          <w:szCs w:val="24"/>
        </w:rPr>
        <w:t>D</w:t>
      </w:r>
      <w:r w:rsidRPr="00E302EE">
        <w:rPr>
          <w:rFonts w:cs="Times New Roman"/>
          <w:sz w:val="24"/>
          <w:szCs w:val="24"/>
        </w:rPr>
        <w:t>atabase is often used for morbidity</w:t>
      </w:r>
      <w:r>
        <w:rPr>
          <w:rFonts w:cs="Times New Roman"/>
          <w:sz w:val="24"/>
          <w:szCs w:val="24"/>
        </w:rPr>
        <w:t xml:space="preserve"> estimates.</w:t>
      </w:r>
    </w:p>
    <w:p w:rsidR="00B36AD4" w:rsidRPr="00E302EE" w:rsidRDefault="00B36AD4" w:rsidP="00B36AD4">
      <w:pPr>
        <w:pStyle w:val="Corpsdetexte"/>
        <w:spacing w:before="120" w:after="0" w:line="276" w:lineRule="auto"/>
        <w:jc w:val="both"/>
        <w:rPr>
          <w:rFonts w:ascii="Trebuchet MS" w:hAnsi="Trebuchet MS" w:cs="Times New Roman"/>
        </w:rPr>
      </w:pPr>
    </w:p>
    <w:p w:rsidR="00B36AD4" w:rsidRPr="0086703E" w:rsidRDefault="00B36AD4" w:rsidP="00B36AD4">
      <w:pPr>
        <w:pStyle w:val="Titre1"/>
        <w:ind w:hanging="993"/>
        <w:rPr>
          <w:sz w:val="28"/>
          <w:szCs w:val="28"/>
        </w:rPr>
      </w:pPr>
      <w:bookmarkStart w:id="29" w:name="_Toc46839371"/>
      <w:bookmarkStart w:id="30" w:name="_Toc53067365"/>
      <w:r w:rsidRPr="0086703E">
        <w:rPr>
          <w:sz w:val="28"/>
          <w:szCs w:val="28"/>
        </w:rPr>
        <w:t>Discussion</w:t>
      </w:r>
      <w:bookmarkEnd w:id="29"/>
      <w:bookmarkEnd w:id="30"/>
    </w:p>
    <w:p w:rsidR="00B36AD4" w:rsidRPr="00BB2C0A" w:rsidRDefault="00B36AD4" w:rsidP="00B36AD4">
      <w:pPr>
        <w:jc w:val="both"/>
        <w:rPr>
          <w:rFonts w:cs="Times New Roman"/>
          <w:sz w:val="24"/>
        </w:rPr>
      </w:pPr>
      <w:r w:rsidRPr="00BB2C0A">
        <w:rPr>
          <w:rFonts w:cs="Times New Roman"/>
          <w:sz w:val="24"/>
        </w:rPr>
        <w:t>The results of this study provided an overview of priority health conditions</w:t>
      </w:r>
      <w:r>
        <w:rPr>
          <w:rFonts w:cs="Times New Roman"/>
          <w:sz w:val="24"/>
        </w:rPr>
        <w:t xml:space="preserve"> and</w:t>
      </w:r>
      <w:r w:rsidRPr="00BB2C0A">
        <w:rPr>
          <w:rFonts w:cs="Times New Roman"/>
          <w:sz w:val="24"/>
        </w:rPr>
        <w:t xml:space="preserve"> risk factors</w:t>
      </w:r>
      <w:r>
        <w:rPr>
          <w:rFonts w:cs="Times New Roman"/>
          <w:sz w:val="24"/>
        </w:rPr>
        <w:t xml:space="preserve"> contributing </w:t>
      </w:r>
      <w:r w:rsidRPr="00BB2C0A">
        <w:rPr>
          <w:rFonts w:cs="Times New Roman"/>
          <w:sz w:val="24"/>
        </w:rPr>
        <w:t xml:space="preserve">to </w:t>
      </w:r>
      <w:r>
        <w:rPr>
          <w:rFonts w:cs="Times New Roman"/>
          <w:sz w:val="24"/>
        </w:rPr>
        <w:t xml:space="preserve">the </w:t>
      </w:r>
      <w:r w:rsidRPr="00BB2C0A">
        <w:rPr>
          <w:rFonts w:cs="Times New Roman"/>
          <w:sz w:val="24"/>
        </w:rPr>
        <w:t>overall burden (i.e., DALYs) and health system performance in European countries by comparing the national health statistics with IHME</w:t>
      </w:r>
      <w:r>
        <w:rPr>
          <w:rFonts w:cs="Times New Roman"/>
          <w:sz w:val="24"/>
        </w:rPr>
        <w:t xml:space="preserve"> calculated estimates</w:t>
      </w:r>
      <w:r w:rsidRPr="00BB2C0A">
        <w:rPr>
          <w:rFonts w:cs="Times New Roman"/>
          <w:sz w:val="24"/>
        </w:rPr>
        <w:t>. This comparison highlighted certain differences in ranking of priority health conditions and risk factors in some European countries</w:t>
      </w:r>
      <w:r>
        <w:rPr>
          <w:rFonts w:cs="Times New Roman"/>
          <w:sz w:val="24"/>
        </w:rPr>
        <w:t xml:space="preserve">. These differences may be due to </w:t>
      </w:r>
      <w:r w:rsidRPr="00BB2C0A">
        <w:rPr>
          <w:rFonts w:cs="Times New Roman"/>
          <w:sz w:val="24"/>
        </w:rPr>
        <w:t xml:space="preserve">additional data sources used by the individual country for national health reporting, choice of </w:t>
      </w:r>
      <w:r>
        <w:rPr>
          <w:rFonts w:cs="Times New Roman"/>
          <w:sz w:val="24"/>
        </w:rPr>
        <w:t xml:space="preserve">a </w:t>
      </w:r>
      <w:r w:rsidRPr="00BB2C0A">
        <w:rPr>
          <w:rFonts w:cs="Times New Roman"/>
          <w:sz w:val="24"/>
        </w:rPr>
        <w:t xml:space="preserve">standard population and </w:t>
      </w:r>
      <w:r>
        <w:rPr>
          <w:rFonts w:cs="Times New Roman"/>
          <w:sz w:val="24"/>
        </w:rPr>
        <w:t xml:space="preserve">the </w:t>
      </w:r>
      <w:r w:rsidRPr="00BB2C0A">
        <w:rPr>
          <w:rFonts w:cs="Times New Roman"/>
          <w:sz w:val="24"/>
        </w:rPr>
        <w:t>use of different methodological choices to calculate BoD estimates</w:t>
      </w:r>
      <w:r>
        <w:rPr>
          <w:rFonts w:cs="Times New Roman"/>
          <w:sz w:val="24"/>
        </w:rPr>
        <w:t xml:space="preserve">. </w:t>
      </w:r>
    </w:p>
    <w:p w:rsidR="00B36AD4" w:rsidRPr="00BB2C0A" w:rsidRDefault="00B36AD4" w:rsidP="00B36AD4">
      <w:pPr>
        <w:jc w:val="both"/>
        <w:rPr>
          <w:rFonts w:cs="Times New Roman"/>
          <w:b/>
          <w:i/>
          <w:sz w:val="24"/>
        </w:rPr>
      </w:pPr>
      <w:r>
        <w:rPr>
          <w:rFonts w:cs="Times New Roman"/>
          <w:b/>
          <w:i/>
          <w:sz w:val="24"/>
        </w:rPr>
        <w:t>1</w:t>
      </w:r>
      <w:r w:rsidRPr="00BB2C0A">
        <w:rPr>
          <w:rFonts w:cs="Times New Roman"/>
          <w:b/>
          <w:i/>
          <w:sz w:val="24"/>
        </w:rPr>
        <w:t>.</w:t>
      </w:r>
      <w:r>
        <w:rPr>
          <w:rFonts w:cs="Times New Roman"/>
          <w:b/>
          <w:i/>
          <w:sz w:val="24"/>
        </w:rPr>
        <w:t xml:space="preserve"> Different </w:t>
      </w:r>
      <w:r w:rsidRPr="00BB2C0A">
        <w:rPr>
          <w:rFonts w:cs="Times New Roman"/>
          <w:b/>
          <w:i/>
          <w:sz w:val="24"/>
        </w:rPr>
        <w:t xml:space="preserve">data sources </w:t>
      </w:r>
    </w:p>
    <w:p w:rsidR="00B36AD4" w:rsidRPr="00BB2C0A" w:rsidRDefault="00B36AD4" w:rsidP="00B36AD4">
      <w:pPr>
        <w:jc w:val="both"/>
        <w:rPr>
          <w:rFonts w:cs="Times New Roman"/>
          <w:sz w:val="24"/>
        </w:rPr>
      </w:pPr>
      <w:r w:rsidRPr="00BB2C0A">
        <w:rPr>
          <w:rFonts w:cs="Times New Roman"/>
          <w:sz w:val="24"/>
        </w:rPr>
        <w:t xml:space="preserve">Some countries mentioned the additional data sources used in their routine calculations of national statistics, which are not included in the list of IHME and can influence the </w:t>
      </w:r>
      <w:r>
        <w:rPr>
          <w:rFonts w:cs="Times New Roman"/>
          <w:sz w:val="24"/>
        </w:rPr>
        <w:t>ranking of</w:t>
      </w:r>
      <w:r w:rsidRPr="00BB2C0A">
        <w:rPr>
          <w:rFonts w:cs="Times New Roman"/>
          <w:sz w:val="24"/>
        </w:rPr>
        <w:t xml:space="preserve"> health conditions and risk factors produced. </w:t>
      </w:r>
      <w:r>
        <w:rPr>
          <w:rFonts w:cs="Times New Roman"/>
          <w:sz w:val="24"/>
        </w:rPr>
        <w:t>L</w:t>
      </w:r>
      <w:r w:rsidRPr="00BB2C0A">
        <w:rPr>
          <w:rFonts w:cs="Times New Roman"/>
          <w:sz w:val="24"/>
        </w:rPr>
        <w:t xml:space="preserve">ow-quality data challenge to calculate BoD estimates. </w:t>
      </w:r>
    </w:p>
    <w:p w:rsidR="00B36AD4" w:rsidRPr="00BB2C0A" w:rsidRDefault="00B36AD4" w:rsidP="00B36AD4">
      <w:pPr>
        <w:jc w:val="both"/>
        <w:rPr>
          <w:rFonts w:cs="Times New Roman"/>
          <w:b/>
          <w:i/>
          <w:sz w:val="24"/>
        </w:rPr>
      </w:pPr>
      <w:r>
        <w:rPr>
          <w:rFonts w:cs="Times New Roman"/>
          <w:b/>
          <w:i/>
          <w:sz w:val="24"/>
        </w:rPr>
        <w:t>2</w:t>
      </w:r>
      <w:r w:rsidRPr="00BB2C0A">
        <w:rPr>
          <w:rFonts w:cs="Times New Roman"/>
          <w:b/>
          <w:i/>
          <w:sz w:val="24"/>
        </w:rPr>
        <w:t>. Choice of standard</w:t>
      </w:r>
      <w:r>
        <w:rPr>
          <w:rFonts w:cs="Times New Roman"/>
          <w:b/>
          <w:i/>
          <w:sz w:val="24"/>
        </w:rPr>
        <w:t xml:space="preserve"> </w:t>
      </w:r>
      <w:r w:rsidRPr="00BB2C0A">
        <w:rPr>
          <w:rFonts w:cs="Times New Roman"/>
          <w:b/>
          <w:i/>
          <w:sz w:val="24"/>
        </w:rPr>
        <w:t xml:space="preserve">population </w:t>
      </w:r>
    </w:p>
    <w:p w:rsidR="00B36AD4" w:rsidRPr="00BB2C0A" w:rsidRDefault="00B36AD4" w:rsidP="00B36AD4">
      <w:pPr>
        <w:jc w:val="both"/>
        <w:rPr>
          <w:rFonts w:cs="Times New Roman"/>
          <w:sz w:val="24"/>
        </w:rPr>
      </w:pPr>
      <w:r w:rsidRPr="00BB2C0A">
        <w:rPr>
          <w:rFonts w:cs="Times New Roman"/>
          <w:sz w:val="24"/>
        </w:rPr>
        <w:t>The choice of the standard population strongly influences the disease ranking</w:t>
      </w:r>
      <w:r>
        <w:rPr>
          <w:rFonts w:cs="Times New Roman"/>
          <w:sz w:val="24"/>
        </w:rPr>
        <w:t xml:space="preserve"> </w:t>
      </w:r>
      <w:r w:rsidRPr="00BB2C0A">
        <w:rPr>
          <w:rFonts w:cs="Times New Roman"/>
          <w:sz w:val="24"/>
        </w:rPr>
        <w:fldChar w:fldCharType="begin"/>
      </w:r>
      <w:r>
        <w:rPr>
          <w:rFonts w:cs="Times New Roman"/>
          <w:sz w:val="24"/>
        </w:rPr>
        <w:instrText xml:space="preserve"> ADDIN EN.CITE &lt;EndNote&gt;&lt;Cite&gt;&lt;Author&gt;Wyper&lt;/Author&gt;&lt;Year&gt;2020&lt;/Year&gt;&lt;RecNum&gt;1&lt;/RecNum&gt;&lt;DisplayText&gt;[4]&lt;/DisplayText&gt;&lt;record&gt;&lt;rec-number&gt;1&lt;/rec-number&gt;&lt;foreign-keys&gt;&lt;key app="EN" db-id="22vs0xv9ixrpr6evxrhvva0209w590zts052" timestamp="1589536154"&gt;1&lt;/key&gt;&lt;/foreign-keys&gt;&lt;ref-type name="Journal Article"&gt;17&lt;/ref-type&gt;&lt;contributors&gt;&lt;authors&gt;&lt;author&gt;Wyper, Grant M. A.&lt;/author&gt;&lt;author&gt;Grant, Ian&lt;/author&gt;&lt;author&gt;Fletcher, Eilidh&lt;/author&gt;&lt;author&gt;McCartney, Gerry&lt;/author&gt;&lt;author&gt;Fischbacher, Colin&lt;/author&gt;&lt;author&gt;Stockton, Diane L.&lt;/author&gt;&lt;/authors&gt;&lt;/contributors&gt;&lt;titles&gt;&lt;title&gt;How do world and European standard populations impact burden of disease studies? A case study of disability-adjusted life years (DALYs) in Scotland&lt;/title&gt;&lt;secondary-title&gt;Archives of Public Health&lt;/secondary-title&gt;&lt;/titles&gt;&lt;periodical&gt;&lt;full-title&gt;Archives of Public Health&lt;/full-title&gt;&lt;/periodical&gt;&lt;pages&gt;1&lt;/pages&gt;&lt;volume&gt;78&lt;/volume&gt;&lt;number&gt;1&lt;/number&gt;&lt;dates&gt;&lt;year&gt;2020&lt;/year&gt;&lt;pub-dates&gt;&lt;date&gt;2020/01/03&lt;/date&gt;&lt;/pub-dates&gt;&lt;/dates&gt;&lt;isbn&gt;2049-3258&lt;/isbn&gt;&lt;urls&gt;&lt;related-urls&gt;&lt;url&gt;https://doi.org/10.1186/s13690-019-0383-8&lt;/url&gt;&lt;/related-urls&gt;&lt;/urls&gt;&lt;electronic-resource-num&gt;10.1186/s13690-019-0383-8&lt;/electronic-resource-num&gt;&lt;/record&gt;&lt;/Cite&gt;&lt;/EndNote&gt;</w:instrText>
      </w:r>
      <w:r w:rsidRPr="00BB2C0A">
        <w:rPr>
          <w:rFonts w:cs="Times New Roman"/>
          <w:sz w:val="24"/>
        </w:rPr>
        <w:fldChar w:fldCharType="separate"/>
      </w:r>
      <w:r>
        <w:rPr>
          <w:rFonts w:cs="Times New Roman"/>
          <w:noProof/>
          <w:sz w:val="24"/>
        </w:rPr>
        <w:t>[4]</w:t>
      </w:r>
      <w:r w:rsidRPr="00BB2C0A">
        <w:rPr>
          <w:rFonts w:cs="Times New Roman"/>
          <w:sz w:val="24"/>
        </w:rPr>
        <w:fldChar w:fldCharType="end"/>
      </w:r>
      <w:r w:rsidRPr="00BB2C0A">
        <w:rPr>
          <w:rFonts w:cs="Times New Roman"/>
          <w:sz w:val="24"/>
        </w:rPr>
        <w:t xml:space="preserve">. For example, in Belgium as mentioned under “Age-standardized mortality rates by top ten conditions 1990 – 2017”, cardiovascular diseases are ranked as the top contributing factor to the burden of morality by using the European standard population. However, by changing the standard population from </w:t>
      </w:r>
      <w:r>
        <w:rPr>
          <w:rFonts w:cs="Times New Roman"/>
          <w:sz w:val="24"/>
        </w:rPr>
        <w:t xml:space="preserve">the </w:t>
      </w:r>
      <w:r w:rsidRPr="00BB2C0A">
        <w:rPr>
          <w:rFonts w:cs="Times New Roman"/>
          <w:sz w:val="24"/>
        </w:rPr>
        <w:t>European population to the world population, this ranking changes and cancer mortality has become the first contributing factor to the burden of mortality as used by IHME.</w:t>
      </w:r>
    </w:p>
    <w:p w:rsidR="00B36AD4" w:rsidRPr="00BB2C0A" w:rsidRDefault="00B36AD4" w:rsidP="00B36AD4">
      <w:pPr>
        <w:jc w:val="both"/>
        <w:rPr>
          <w:rFonts w:cs="Times New Roman"/>
          <w:b/>
          <w:i/>
          <w:sz w:val="24"/>
        </w:rPr>
      </w:pPr>
      <w:r>
        <w:rPr>
          <w:rFonts w:cs="Times New Roman"/>
          <w:b/>
          <w:i/>
          <w:sz w:val="24"/>
        </w:rPr>
        <w:t>3</w:t>
      </w:r>
      <w:r w:rsidRPr="00BB2C0A">
        <w:rPr>
          <w:rFonts w:cs="Times New Roman"/>
          <w:b/>
          <w:i/>
          <w:sz w:val="24"/>
        </w:rPr>
        <w:t xml:space="preserve">. Use of different methodological choices </w:t>
      </w:r>
    </w:p>
    <w:p w:rsidR="00B36AD4" w:rsidRPr="00BB2C0A" w:rsidRDefault="00B36AD4" w:rsidP="00B36AD4">
      <w:pPr>
        <w:jc w:val="both"/>
        <w:rPr>
          <w:rFonts w:cs="Times New Roman"/>
          <w:sz w:val="24"/>
        </w:rPr>
      </w:pPr>
      <w:r w:rsidRPr="00BB2C0A">
        <w:rPr>
          <w:rFonts w:cs="Times New Roman"/>
          <w:sz w:val="24"/>
        </w:rPr>
        <w:t>Several methodological challenges were identified by some European countries who produce their own BoD estimates, which limits the comparison of GBD estimates with national BoD estimates and national statistics. For example, differences in prevalence rates and duration parameters, use of different life tables to estimate YLL, difference in estimation methods used to</w:t>
      </w:r>
      <w:r>
        <w:rPr>
          <w:rFonts w:cs="Times New Roman"/>
          <w:sz w:val="24"/>
        </w:rPr>
        <w:t xml:space="preserve"> calculate age-standardized rates,</w:t>
      </w:r>
      <w:r w:rsidRPr="00BB2C0A">
        <w:rPr>
          <w:rFonts w:cs="Times New Roman"/>
          <w:sz w:val="24"/>
        </w:rPr>
        <w:t xml:space="preserve"> </w:t>
      </w:r>
      <w:r>
        <w:rPr>
          <w:rFonts w:cs="Times New Roman"/>
          <w:sz w:val="24"/>
        </w:rPr>
        <w:t xml:space="preserve">to </w:t>
      </w:r>
      <w:r w:rsidRPr="00BB2C0A">
        <w:rPr>
          <w:rFonts w:cs="Times New Roman"/>
          <w:sz w:val="24"/>
        </w:rPr>
        <w:t xml:space="preserve">redistribute garbage codes and </w:t>
      </w:r>
      <w:r>
        <w:rPr>
          <w:rFonts w:cs="Times New Roman"/>
          <w:sz w:val="24"/>
        </w:rPr>
        <w:t xml:space="preserve">invalid ICD-10 codes, </w:t>
      </w:r>
      <w:r w:rsidRPr="00BB2C0A">
        <w:rPr>
          <w:rFonts w:cs="Times New Roman"/>
          <w:sz w:val="24"/>
        </w:rPr>
        <w:t>use of same severity distributions across countries and regions</w:t>
      </w:r>
      <w:r>
        <w:rPr>
          <w:rFonts w:cs="Times New Roman"/>
          <w:sz w:val="24"/>
        </w:rPr>
        <w:t xml:space="preserve"> </w:t>
      </w:r>
      <w:r w:rsidRPr="00BB2C0A">
        <w:rPr>
          <w:rFonts w:cs="Times New Roman"/>
          <w:sz w:val="24"/>
        </w:rPr>
        <w:fldChar w:fldCharType="begin"/>
      </w:r>
      <w:r>
        <w:rPr>
          <w:rFonts w:cs="Times New Roman"/>
          <w:sz w:val="24"/>
        </w:rPr>
        <w:instrText xml:space="preserve"> ADDIN EN.CITE &lt;EndNote&gt;&lt;Cite&gt;&lt;Author&gt;Wyper&lt;/Author&gt;&lt;Year&gt;2020&lt;/Year&gt;&lt;RecNum&gt;4&lt;/RecNum&gt;&lt;DisplayText&gt;[5]&lt;/DisplayText&gt;&lt;record&gt;&lt;rec-number&gt;4&lt;/rec-number&gt;&lt;foreign-keys&gt;&lt;key app="EN" db-id="22vs0xv9ixrpr6evxrhvva0209w590zts052" timestamp="1595339712"&gt;4&lt;/key&gt;&lt;/foreign-keys&gt;&lt;ref-type name="Journal Article"&gt;17&lt;/ref-type&gt;&lt;contributors&gt;&lt;authors&gt;&lt;author&gt;Wyper, G. M. A.&lt;/author&gt;&lt;author&gt;Grant, I.&lt;/author&gt;&lt;author&gt;Fletcher, E.&lt;/author&gt;&lt;author&gt;Chalmers, N.&lt;/author&gt;&lt;author&gt;McCartney, G.&lt;/author&gt;&lt;author&gt;Stockton, D. L.&lt;/author&gt;&lt;/authors&gt;&lt;/contributors&gt;&lt;auth-address&gt;Public Health Science Directorate, NHS Health Scotland, Meridian Court, 5 Cadogan Street, Glasgow, Scotland G2 6QE.&amp;#xD;2Information Services Division, NHS National Services Scotland, Gyle Square, 1 South Gyle Crescent, Edinburgh, Scotland EH12 9EB. ISNI: 0000 0000 9506 6213. GRID: grid.422655.2&lt;/auth-address&gt;&lt;titles&gt;&lt;title&gt;Prioritising the development of severity distributions in burden of disease studies for countries in the European region&lt;/title&gt;&lt;secondary-title&gt;Arch Public Health&lt;/secondary-title&gt;&lt;/titles&gt;&lt;periodical&gt;&lt;full-title&gt;Arch Public Health&lt;/full-title&gt;&lt;/periodical&gt;&lt;pages&gt;3&lt;/pages&gt;&lt;volume&gt;78&lt;/volume&gt;&lt;edition&gt;2020/01/11&lt;/edition&gt;&lt;keywords&gt;&lt;keyword&gt;Burden of disease&lt;/keyword&gt;&lt;keyword&gt;Daly&lt;/keyword&gt;&lt;keyword&gt;Ebodn&lt;/keyword&gt;&lt;keyword&gt;Gbd&lt;/keyword&gt;&lt;keyword&gt;Sbod&lt;/keyword&gt;&lt;keyword&gt;Severity distribution&lt;/keyword&gt;&lt;keyword&gt;Summary measures of population health&lt;/keyword&gt;&lt;keyword&gt;YLD&lt;/keyword&gt;&lt;keyword&gt;(https://www.cost.eu/) action CA18218 (European Burden of Disease Network). GW is a&lt;/keyword&gt;&lt;keyword&gt;substitute management committee member for the UK. All other authors declare that&lt;/keyword&gt;&lt;keyword&gt;they have no competing interests.&lt;/keyword&gt;&lt;/keywords&gt;&lt;dates&gt;&lt;year&gt;2020&lt;/year&gt;&lt;/dates&gt;&lt;isbn&gt;0778-7367 (Print)&amp;#xD;0778-7367&lt;/isbn&gt;&lt;accession-num&gt;31921418&lt;/accession-num&gt;&lt;urls&gt;&lt;/urls&gt;&lt;custom2&gt;PMC6950931&lt;/custom2&gt;&lt;electronic-resource-num&gt;10.1186/s13690-019-0385-6&lt;/electronic-resource-num&gt;&lt;remote-database-provider&gt;NLM&lt;/remote-database-provider&gt;&lt;language&gt;eng&lt;/language&gt;&lt;/record&gt;&lt;/Cite&gt;&lt;/EndNote&gt;</w:instrText>
      </w:r>
      <w:r w:rsidRPr="00BB2C0A">
        <w:rPr>
          <w:rFonts w:cs="Times New Roman"/>
          <w:sz w:val="24"/>
        </w:rPr>
        <w:fldChar w:fldCharType="separate"/>
      </w:r>
      <w:r>
        <w:rPr>
          <w:rFonts w:cs="Times New Roman"/>
          <w:noProof/>
          <w:sz w:val="24"/>
        </w:rPr>
        <w:t>[5]</w:t>
      </w:r>
      <w:r w:rsidRPr="00BB2C0A">
        <w:rPr>
          <w:rFonts w:cs="Times New Roman"/>
          <w:sz w:val="24"/>
        </w:rPr>
        <w:fldChar w:fldCharType="end"/>
      </w:r>
      <w:r w:rsidRPr="00BB2C0A">
        <w:rPr>
          <w:rFonts w:cs="Times New Roman"/>
          <w:sz w:val="24"/>
        </w:rPr>
        <w:t>,</w:t>
      </w:r>
      <w:r>
        <w:rPr>
          <w:rFonts w:cs="Times New Roman"/>
          <w:sz w:val="24"/>
        </w:rPr>
        <w:t xml:space="preserve"> estimation of disability weights at disease level or sequelae level, comorbidity adjustment methods, etc</w:t>
      </w:r>
      <w:r w:rsidRPr="00BB2C0A">
        <w:rPr>
          <w:rFonts w:cs="Times New Roman"/>
          <w:sz w:val="24"/>
        </w:rPr>
        <w:t xml:space="preserve">. </w:t>
      </w:r>
    </w:p>
    <w:p w:rsidR="00B36AD4" w:rsidRDefault="00B36AD4" w:rsidP="00B36AD4">
      <w:pPr>
        <w:jc w:val="both"/>
        <w:rPr>
          <w:rFonts w:cs="Times New Roman"/>
          <w:sz w:val="24"/>
        </w:rPr>
      </w:pPr>
      <w:r w:rsidRPr="00BB2C0A">
        <w:rPr>
          <w:rFonts w:cs="Times New Roman"/>
          <w:sz w:val="24"/>
        </w:rPr>
        <w:t xml:space="preserve">Some countries mentioned that </w:t>
      </w:r>
      <w:r>
        <w:rPr>
          <w:rFonts w:cs="Times New Roman"/>
          <w:sz w:val="24"/>
        </w:rPr>
        <w:t xml:space="preserve">the </w:t>
      </w:r>
      <w:r w:rsidRPr="00BB2C0A">
        <w:rPr>
          <w:rFonts w:cs="Times New Roman"/>
          <w:sz w:val="24"/>
        </w:rPr>
        <w:t xml:space="preserve">lack of information on the method used to calculate </w:t>
      </w:r>
      <w:r>
        <w:rPr>
          <w:rFonts w:cs="Times New Roman"/>
          <w:sz w:val="24"/>
        </w:rPr>
        <w:t>IHME</w:t>
      </w:r>
      <w:r w:rsidRPr="00BB2C0A">
        <w:rPr>
          <w:rFonts w:cs="Times New Roman"/>
          <w:sz w:val="24"/>
        </w:rPr>
        <w:t xml:space="preserve"> estimates make</w:t>
      </w:r>
      <w:r>
        <w:rPr>
          <w:rFonts w:cs="Times New Roman"/>
          <w:sz w:val="24"/>
        </w:rPr>
        <w:t>s</w:t>
      </w:r>
      <w:r w:rsidRPr="00BB2C0A">
        <w:rPr>
          <w:rFonts w:cs="Times New Roman"/>
          <w:sz w:val="24"/>
        </w:rPr>
        <w:t xml:space="preserve"> it challenging to compare them</w:t>
      </w:r>
      <w:r>
        <w:rPr>
          <w:rFonts w:cs="Times New Roman"/>
          <w:sz w:val="24"/>
        </w:rPr>
        <w:t xml:space="preserve"> with estimates from national studies</w:t>
      </w:r>
      <w:r w:rsidRPr="00BB2C0A">
        <w:rPr>
          <w:rFonts w:cs="Times New Roman"/>
          <w:sz w:val="24"/>
        </w:rPr>
        <w:t>.</w:t>
      </w:r>
    </w:p>
    <w:p w:rsidR="00B36AD4" w:rsidRDefault="00B36AD4" w:rsidP="00B36AD4">
      <w:pPr>
        <w:pStyle w:val="Paragraphedeliste"/>
        <w:numPr>
          <w:ilvl w:val="0"/>
          <w:numId w:val="21"/>
        </w:numPr>
        <w:rPr>
          <w:rFonts w:ascii="Trebuchet MS" w:hAnsi="Trebuchet MS"/>
          <w:b/>
          <w:i/>
        </w:rPr>
      </w:pPr>
      <w:r w:rsidRPr="007E1D00">
        <w:rPr>
          <w:rFonts w:ascii="Trebuchet MS" w:hAnsi="Trebuchet MS"/>
          <w:b/>
          <w:i/>
        </w:rPr>
        <w:t xml:space="preserve">The difference in priority health conditions and risk factors </w:t>
      </w:r>
    </w:p>
    <w:p w:rsidR="00B36AD4" w:rsidRPr="007E1D00" w:rsidRDefault="00B36AD4" w:rsidP="00B36AD4">
      <w:pPr>
        <w:pStyle w:val="Paragraphedeliste"/>
        <w:rPr>
          <w:rFonts w:ascii="Trebuchet MS" w:hAnsi="Trebuchet MS"/>
          <w:b/>
          <w:i/>
        </w:rPr>
      </w:pPr>
    </w:p>
    <w:p w:rsidR="00B36AD4" w:rsidRPr="00BB2C0A" w:rsidRDefault="00B36AD4" w:rsidP="00B36AD4">
      <w:pPr>
        <w:jc w:val="both"/>
        <w:rPr>
          <w:rFonts w:cs="Times New Roman"/>
          <w:sz w:val="24"/>
        </w:rPr>
      </w:pPr>
      <w:r w:rsidRPr="00BB2C0A">
        <w:rPr>
          <w:rFonts w:cs="Times New Roman"/>
          <w:sz w:val="24"/>
        </w:rPr>
        <w:t xml:space="preserve">Some countries mentioned that ranking of mortality estimates due to some health conditions do not correspond to the IHME ranking. For example, </w:t>
      </w:r>
      <w:r w:rsidRPr="00F57795">
        <w:rPr>
          <w:rFonts w:cs="Times New Roman"/>
          <w:i/>
          <w:sz w:val="24"/>
        </w:rPr>
        <w:t>in Romania</w:t>
      </w:r>
      <w:r w:rsidRPr="00BB2C0A">
        <w:rPr>
          <w:rFonts w:cs="Times New Roman"/>
          <w:sz w:val="24"/>
        </w:rPr>
        <w:t xml:space="preserve">, mortality rates for cardiovascular diseases and cancer are under-estimated by IHME as compared to national statistics and premature mortality for cardiovascular diseases are over-estimated by IHME. </w:t>
      </w:r>
      <w:r w:rsidRPr="00F57795">
        <w:rPr>
          <w:rFonts w:cs="Times New Roman"/>
          <w:i/>
          <w:sz w:val="24"/>
        </w:rPr>
        <w:t>In Serbia</w:t>
      </w:r>
      <w:r w:rsidRPr="00BB2C0A">
        <w:rPr>
          <w:rFonts w:cs="Times New Roman"/>
          <w:sz w:val="24"/>
        </w:rPr>
        <w:t xml:space="preserve">, mortality rates for cardiovascular and respiratory diseases were under-estimated by </w:t>
      </w:r>
      <w:r w:rsidRPr="00BB2C0A">
        <w:rPr>
          <w:rFonts w:cs="Times New Roman"/>
          <w:sz w:val="24"/>
        </w:rPr>
        <w:lastRenderedPageBreak/>
        <w:t xml:space="preserve">IHME as compared to the Serbian BoD study in 2000. In Scotland, the mortality rates due to substance use tend to have higher numbers in national death register. </w:t>
      </w:r>
      <w:r w:rsidRPr="00F57795">
        <w:rPr>
          <w:rFonts w:cs="Times New Roman"/>
          <w:i/>
          <w:sz w:val="24"/>
        </w:rPr>
        <w:t>In France</w:t>
      </w:r>
      <w:r w:rsidRPr="00BB2C0A">
        <w:rPr>
          <w:rFonts w:cs="Times New Roman"/>
          <w:sz w:val="24"/>
        </w:rPr>
        <w:t>, the trend of musculoskeletal disorders, mental health and neurological diseases contributing to the disability have changed since 2010, and occupational risks are underestimated.</w:t>
      </w:r>
    </w:p>
    <w:p w:rsidR="00B36AD4" w:rsidRPr="00BB2C0A" w:rsidRDefault="00B36AD4" w:rsidP="00B36AD4">
      <w:pPr>
        <w:jc w:val="both"/>
        <w:rPr>
          <w:rFonts w:cs="Times New Roman"/>
          <w:b/>
          <w:i/>
          <w:sz w:val="24"/>
        </w:rPr>
      </w:pPr>
      <w:r w:rsidRPr="00BB2C0A">
        <w:rPr>
          <w:rFonts w:cs="Times New Roman"/>
          <w:b/>
          <w:i/>
          <w:sz w:val="24"/>
        </w:rPr>
        <w:t>Strengths and limitations</w:t>
      </w:r>
    </w:p>
    <w:p w:rsidR="00B36AD4" w:rsidRPr="00BB2C0A" w:rsidRDefault="00B36AD4" w:rsidP="00B36AD4">
      <w:pPr>
        <w:jc w:val="both"/>
        <w:rPr>
          <w:rFonts w:cs="Times New Roman"/>
          <w:sz w:val="24"/>
        </w:rPr>
      </w:pPr>
      <w:r w:rsidRPr="00BB2C0A">
        <w:rPr>
          <w:rFonts w:cs="Times New Roman"/>
          <w:sz w:val="24"/>
        </w:rPr>
        <w:t xml:space="preserve">To our knowledge, this is the first study describing the country health profiles and comparing with national health statistics in individual countries. These results emphasize the importance of good quality data sources, choice of a </w:t>
      </w:r>
      <w:r>
        <w:rPr>
          <w:rFonts w:cs="Times New Roman"/>
          <w:sz w:val="24"/>
        </w:rPr>
        <w:t xml:space="preserve">standard </w:t>
      </w:r>
      <w:r w:rsidRPr="00BB2C0A">
        <w:rPr>
          <w:rFonts w:cs="Times New Roman"/>
          <w:sz w:val="24"/>
        </w:rPr>
        <w:t xml:space="preserve">population and methods used to calculate BoD estimates, which can influence the estimates and the ranking of health conditions and risk factors. </w:t>
      </w:r>
    </w:p>
    <w:p w:rsidR="00B36AD4" w:rsidRDefault="00B36AD4" w:rsidP="00B36AD4">
      <w:pPr>
        <w:jc w:val="both"/>
        <w:rPr>
          <w:rFonts w:cs="Times New Roman"/>
          <w:sz w:val="24"/>
        </w:rPr>
      </w:pPr>
      <w:r w:rsidRPr="00BB2C0A">
        <w:rPr>
          <w:rFonts w:cs="Times New Roman"/>
          <w:sz w:val="24"/>
        </w:rPr>
        <w:t xml:space="preserve">There are some limitations in this study. </w:t>
      </w:r>
      <w:r w:rsidRPr="00BB2C0A">
        <w:rPr>
          <w:rFonts w:cs="Times New Roman"/>
          <w:i/>
          <w:sz w:val="24"/>
          <w:u w:val="single"/>
        </w:rPr>
        <w:t>First,</w:t>
      </w:r>
      <w:r w:rsidRPr="00BB2C0A">
        <w:rPr>
          <w:rFonts w:cs="Times New Roman"/>
          <w:sz w:val="24"/>
        </w:rPr>
        <w:t xml:space="preserve"> the majority of the countries did not calculate GBD estimates using their own data to compare with IHME </w:t>
      </w:r>
      <w:r>
        <w:rPr>
          <w:rFonts w:cs="Times New Roman"/>
          <w:sz w:val="24"/>
        </w:rPr>
        <w:t xml:space="preserve">calculated </w:t>
      </w:r>
      <w:r w:rsidRPr="00BB2C0A">
        <w:rPr>
          <w:rFonts w:cs="Times New Roman"/>
          <w:sz w:val="24"/>
        </w:rPr>
        <w:t xml:space="preserve">estimates. The countries only compared the IHME trends with their national health statistics of their country, which are based on prevalence and incidence estimates. </w:t>
      </w:r>
      <w:r w:rsidRPr="00BB2C0A">
        <w:rPr>
          <w:rFonts w:cs="Times New Roman"/>
          <w:i/>
          <w:sz w:val="24"/>
          <w:u w:val="single"/>
        </w:rPr>
        <w:t>Second,</w:t>
      </w:r>
      <w:r w:rsidRPr="00BB2C0A">
        <w:rPr>
          <w:rFonts w:cs="Times New Roman"/>
          <w:sz w:val="24"/>
        </w:rPr>
        <w:t xml:space="preserve"> it is difficult to compare the country health profiles with national health statistics and to assess whether the differences in IHME estimates are due to the actual differences in population health or whether these are the result of different</w:t>
      </w:r>
      <w:r>
        <w:rPr>
          <w:rFonts w:cs="Times New Roman"/>
          <w:sz w:val="24"/>
        </w:rPr>
        <w:t xml:space="preserve"> data sources, standard population and </w:t>
      </w:r>
      <w:r w:rsidRPr="00BB2C0A">
        <w:rPr>
          <w:rFonts w:cs="Times New Roman"/>
          <w:sz w:val="24"/>
        </w:rPr>
        <w:t xml:space="preserve">methodological choices. </w:t>
      </w:r>
      <w:r w:rsidRPr="00BB2C0A">
        <w:rPr>
          <w:rFonts w:cs="Times New Roman"/>
          <w:i/>
          <w:sz w:val="24"/>
          <w:u w:val="single"/>
        </w:rPr>
        <w:t>Third</w:t>
      </w:r>
      <w:r w:rsidRPr="00BB2C0A">
        <w:rPr>
          <w:rFonts w:cs="Times New Roman"/>
          <w:sz w:val="24"/>
        </w:rPr>
        <w:t xml:space="preserve">, the IHME estimates were not stratified by different age structures and sex to explain differences at various levels. </w:t>
      </w:r>
      <w:r w:rsidRPr="00BB2C0A">
        <w:rPr>
          <w:rFonts w:cs="Times New Roman"/>
          <w:i/>
          <w:sz w:val="24"/>
          <w:u w:val="single"/>
        </w:rPr>
        <w:t>Fourth,</w:t>
      </w:r>
      <w:r w:rsidRPr="00BB2C0A">
        <w:rPr>
          <w:rFonts w:cs="Times New Roman"/>
          <w:sz w:val="24"/>
        </w:rPr>
        <w:t xml:space="preserve"> grouping of various health conditions such as neurological disorders and cancers are too general, which may </w:t>
      </w:r>
      <w:r>
        <w:rPr>
          <w:rFonts w:cs="Times New Roman"/>
          <w:sz w:val="24"/>
        </w:rPr>
        <w:t xml:space="preserve">not reveal the underlying </w:t>
      </w:r>
      <w:r w:rsidRPr="00BB2C0A">
        <w:rPr>
          <w:rFonts w:cs="Times New Roman"/>
          <w:sz w:val="24"/>
        </w:rPr>
        <w:t>the variations in es</w:t>
      </w:r>
      <w:r>
        <w:rPr>
          <w:rFonts w:cs="Times New Roman"/>
          <w:sz w:val="24"/>
        </w:rPr>
        <w:t xml:space="preserve">timates of individual diseases </w:t>
      </w:r>
      <w:r w:rsidRPr="00BB2C0A">
        <w:rPr>
          <w:rFonts w:cs="Times New Roman"/>
          <w:sz w:val="24"/>
        </w:rPr>
        <w:t xml:space="preserve">grouped under one category.  </w:t>
      </w:r>
      <w:r>
        <w:rPr>
          <w:rFonts w:cs="Times New Roman"/>
          <w:sz w:val="24"/>
        </w:rPr>
        <w:t xml:space="preserve">As an example of cancer, the country health profile did not describe as breast cancer, lung cancer, prostate cancer, etc. </w:t>
      </w:r>
    </w:p>
    <w:p w:rsidR="00B36AD4" w:rsidRPr="00BB2C0A" w:rsidRDefault="00B36AD4" w:rsidP="00B36AD4">
      <w:pPr>
        <w:jc w:val="both"/>
        <w:rPr>
          <w:rFonts w:cs="Times New Roman"/>
          <w:b/>
          <w:i/>
          <w:sz w:val="24"/>
        </w:rPr>
      </w:pPr>
      <w:r>
        <w:rPr>
          <w:rFonts w:cs="Times New Roman"/>
          <w:b/>
          <w:i/>
          <w:sz w:val="24"/>
        </w:rPr>
        <w:t>I</w:t>
      </w:r>
      <w:r w:rsidRPr="00BB2C0A">
        <w:rPr>
          <w:rFonts w:cs="Times New Roman"/>
          <w:b/>
          <w:i/>
          <w:sz w:val="24"/>
        </w:rPr>
        <w:t>mplications for policy and research</w:t>
      </w:r>
    </w:p>
    <w:p w:rsidR="00B36AD4" w:rsidRPr="00BB2C0A" w:rsidRDefault="00B36AD4" w:rsidP="00B36AD4">
      <w:pPr>
        <w:jc w:val="both"/>
        <w:rPr>
          <w:rFonts w:cs="Times New Roman"/>
          <w:sz w:val="24"/>
        </w:rPr>
      </w:pPr>
      <w:r w:rsidRPr="00BB2C0A">
        <w:rPr>
          <w:rFonts w:cs="Times New Roman"/>
          <w:sz w:val="24"/>
        </w:rPr>
        <w:t xml:space="preserve">The results of this comparison highlight the importance of key aspects such as </w:t>
      </w:r>
      <w:r>
        <w:rPr>
          <w:rFonts w:cs="Times New Roman"/>
          <w:sz w:val="24"/>
        </w:rPr>
        <w:t>different d</w:t>
      </w:r>
      <w:r w:rsidRPr="00BB2C0A">
        <w:rPr>
          <w:rFonts w:cs="Times New Roman"/>
          <w:sz w:val="24"/>
        </w:rPr>
        <w:t xml:space="preserve">ata sources, choice of a </w:t>
      </w:r>
      <w:r>
        <w:rPr>
          <w:rFonts w:cs="Times New Roman"/>
          <w:sz w:val="24"/>
        </w:rPr>
        <w:t xml:space="preserve">standard </w:t>
      </w:r>
      <w:r w:rsidRPr="00BB2C0A">
        <w:rPr>
          <w:rFonts w:cs="Times New Roman"/>
          <w:sz w:val="24"/>
        </w:rPr>
        <w:t xml:space="preserve">population and </w:t>
      </w:r>
      <w:r>
        <w:rPr>
          <w:rFonts w:cs="Times New Roman"/>
          <w:sz w:val="24"/>
        </w:rPr>
        <w:t xml:space="preserve">different </w:t>
      </w:r>
      <w:r w:rsidRPr="00BB2C0A">
        <w:rPr>
          <w:rFonts w:cs="Times New Roman"/>
          <w:sz w:val="24"/>
        </w:rPr>
        <w:t>methods used to calculate BoD estimates when developing BoD studies</w:t>
      </w:r>
      <w:r>
        <w:rPr>
          <w:rFonts w:cs="Times New Roman"/>
          <w:sz w:val="24"/>
        </w:rPr>
        <w:t xml:space="preserve">. </w:t>
      </w:r>
      <w:r w:rsidRPr="00BB2C0A">
        <w:rPr>
          <w:rFonts w:cs="Times New Roman"/>
          <w:sz w:val="24"/>
        </w:rPr>
        <w:t xml:space="preserve">Therefore, from perspectives of European and intra-country comparisons at local levels, the comparability and consistency of estimates across diseases, can strongly influence the local, national and European levels policy decisions. There are two possibilities: </w:t>
      </w:r>
      <w:r w:rsidRPr="001F3448">
        <w:rPr>
          <w:rFonts w:cs="Times New Roman"/>
          <w:i/>
          <w:sz w:val="24"/>
        </w:rPr>
        <w:t>first</w:t>
      </w:r>
      <w:r w:rsidRPr="00BB2C0A">
        <w:rPr>
          <w:rFonts w:cs="Times New Roman"/>
          <w:sz w:val="24"/>
        </w:rPr>
        <w:t xml:space="preserve">, if European countries are relying on IHME estimates, it is important to share good quality and updated data sources with IHME to improving the calculation of their GBD estimates. </w:t>
      </w:r>
      <w:r w:rsidRPr="001F3448">
        <w:rPr>
          <w:rFonts w:cs="Times New Roman"/>
          <w:i/>
          <w:sz w:val="24"/>
        </w:rPr>
        <w:t>Second</w:t>
      </w:r>
      <w:r w:rsidRPr="00BB2C0A">
        <w:rPr>
          <w:rFonts w:cs="Times New Roman"/>
          <w:sz w:val="24"/>
        </w:rPr>
        <w:t>, if European countries want to calculate their own BoD estimates, it is essential to understand the rational</w:t>
      </w:r>
      <w:r>
        <w:rPr>
          <w:rFonts w:cs="Times New Roman"/>
          <w:sz w:val="24"/>
        </w:rPr>
        <w:t>e</w:t>
      </w:r>
      <w:r w:rsidRPr="00BB2C0A">
        <w:rPr>
          <w:rFonts w:cs="Times New Roman"/>
          <w:sz w:val="24"/>
        </w:rPr>
        <w:t xml:space="preserve"> of using various methodological approaches in their country contexts. As very few European countries have the capacity to calculate their own BoD estimates, therefore, to build this capacity among European countries is of prime importance.  </w:t>
      </w:r>
    </w:p>
    <w:p w:rsidR="00B36AD4" w:rsidRDefault="00B36AD4" w:rsidP="00B36AD4">
      <w:pPr>
        <w:jc w:val="both"/>
        <w:rPr>
          <w:rFonts w:cs="Times New Roman"/>
          <w:sz w:val="24"/>
        </w:rPr>
      </w:pPr>
      <w:r w:rsidRPr="00BB2C0A">
        <w:rPr>
          <w:rFonts w:cs="Times New Roman"/>
          <w:sz w:val="24"/>
        </w:rPr>
        <w:t>From the perspectives of comparison of estimates among European countries, a European data infrastructure is required, which could support to establish the European BoD estimates</w:t>
      </w:r>
      <w:r>
        <w:rPr>
          <w:rFonts w:cs="Times New Roman"/>
          <w:sz w:val="24"/>
        </w:rPr>
        <w:t xml:space="preserve">, </w:t>
      </w:r>
      <w:r w:rsidRPr="00BB2C0A">
        <w:rPr>
          <w:rFonts w:cs="Times New Roman"/>
          <w:sz w:val="24"/>
        </w:rPr>
        <w:t xml:space="preserve">as a means for supporting evidence-based decision-making. This would allow sharing similar data sources and common methods used to calculate BoD estimates at EU level.  </w:t>
      </w:r>
    </w:p>
    <w:p w:rsidR="00B36AD4" w:rsidRPr="00023F5D" w:rsidRDefault="00B36AD4" w:rsidP="00B36AD4">
      <w:pPr>
        <w:jc w:val="both"/>
        <w:rPr>
          <w:rFonts w:cs="Times New Roman"/>
          <w:sz w:val="24"/>
        </w:rPr>
      </w:pPr>
    </w:p>
    <w:p w:rsidR="00B36AD4" w:rsidRDefault="00B36AD4" w:rsidP="00B36AD4">
      <w:pPr>
        <w:pStyle w:val="Titre1"/>
        <w:ind w:hanging="993"/>
      </w:pPr>
      <w:bookmarkStart w:id="31" w:name="_Toc53067366"/>
      <w:r>
        <w:lastRenderedPageBreak/>
        <w:t>Conclusions</w:t>
      </w:r>
      <w:bookmarkEnd w:id="31"/>
      <w:r>
        <w:t xml:space="preserve"> </w:t>
      </w:r>
    </w:p>
    <w:p w:rsidR="00B36AD4" w:rsidRDefault="00B36AD4" w:rsidP="00B36AD4">
      <w:pPr>
        <w:jc w:val="both"/>
        <w:rPr>
          <w:rFonts w:cs="Times New Roman"/>
          <w:sz w:val="24"/>
        </w:rPr>
      </w:pPr>
      <w:r w:rsidRPr="00023F5D">
        <w:rPr>
          <w:rFonts w:cs="Times New Roman"/>
          <w:sz w:val="24"/>
        </w:rPr>
        <w:t xml:space="preserve">These results highlight some variations in priority health conditions based on national health reporting or disease assessments in individual countries. </w:t>
      </w:r>
      <w:r>
        <w:rPr>
          <w:rFonts w:cs="Times New Roman"/>
          <w:sz w:val="24"/>
        </w:rPr>
        <w:t>F</w:t>
      </w:r>
      <w:r w:rsidRPr="00023F5D">
        <w:rPr>
          <w:rFonts w:cs="Times New Roman"/>
          <w:sz w:val="24"/>
        </w:rPr>
        <w:t>ew countries have a formal, complete BoD assessment, i.e. comprehensive, updated, and repeated over time to identify trends. Even the countries who develop their own BoD study, the inter-country comparability still remains an issue</w:t>
      </w:r>
      <w:r>
        <w:rPr>
          <w:rFonts w:cs="Times New Roman"/>
          <w:sz w:val="24"/>
        </w:rPr>
        <w:t xml:space="preserve"> due to different </w:t>
      </w:r>
      <w:r w:rsidRPr="00023F5D">
        <w:rPr>
          <w:rFonts w:cs="Times New Roman"/>
          <w:sz w:val="24"/>
        </w:rPr>
        <w:t>data sources</w:t>
      </w:r>
      <w:r>
        <w:rPr>
          <w:rFonts w:cs="Times New Roman"/>
          <w:sz w:val="24"/>
        </w:rPr>
        <w:t>,</w:t>
      </w:r>
      <w:r w:rsidRPr="00023F5D">
        <w:rPr>
          <w:rFonts w:cs="Times New Roman"/>
          <w:sz w:val="24"/>
        </w:rPr>
        <w:t xml:space="preserve"> the choice of </w:t>
      </w:r>
      <w:r>
        <w:rPr>
          <w:rFonts w:cs="Times New Roman"/>
          <w:sz w:val="24"/>
        </w:rPr>
        <w:t xml:space="preserve">a </w:t>
      </w:r>
      <w:r w:rsidRPr="00023F5D">
        <w:rPr>
          <w:rFonts w:cs="Times New Roman"/>
          <w:sz w:val="24"/>
        </w:rPr>
        <w:t>standard population, and</w:t>
      </w:r>
      <w:r>
        <w:rPr>
          <w:rFonts w:cs="Times New Roman"/>
          <w:sz w:val="24"/>
        </w:rPr>
        <w:t xml:space="preserve"> different m</w:t>
      </w:r>
      <w:r w:rsidRPr="00023F5D">
        <w:rPr>
          <w:rFonts w:cs="Times New Roman"/>
          <w:sz w:val="24"/>
        </w:rPr>
        <w:t>ethodological approaches</w:t>
      </w:r>
      <w:r>
        <w:rPr>
          <w:rFonts w:cs="Times New Roman"/>
          <w:sz w:val="24"/>
        </w:rPr>
        <w:t xml:space="preserve">. </w:t>
      </w:r>
      <w:r w:rsidRPr="00023F5D">
        <w:rPr>
          <w:rFonts w:cs="Times New Roman"/>
          <w:sz w:val="24"/>
        </w:rPr>
        <w:t>The use of GBD metrics (YLL, YLD, DALY</w:t>
      </w:r>
      <w:r>
        <w:rPr>
          <w:rFonts w:cs="Times New Roman"/>
          <w:sz w:val="24"/>
        </w:rPr>
        <w:t>s</w:t>
      </w:r>
      <w:r w:rsidRPr="00023F5D">
        <w:rPr>
          <w:rFonts w:cs="Times New Roman"/>
          <w:sz w:val="24"/>
        </w:rPr>
        <w:t>) is neither mandatory nor necessary when developing a BoD study. However, in the absence of a defined set of principles</w:t>
      </w:r>
      <w:r>
        <w:rPr>
          <w:rFonts w:cs="Times New Roman"/>
          <w:sz w:val="24"/>
        </w:rPr>
        <w:t>,</w:t>
      </w:r>
      <w:r w:rsidRPr="00023F5D">
        <w:rPr>
          <w:rFonts w:cs="Times New Roman"/>
          <w:sz w:val="24"/>
        </w:rPr>
        <w:t xml:space="preserve"> countries </w:t>
      </w:r>
      <w:r>
        <w:rPr>
          <w:rFonts w:cs="Times New Roman"/>
          <w:sz w:val="24"/>
        </w:rPr>
        <w:t xml:space="preserve">may </w:t>
      </w:r>
      <w:r w:rsidRPr="00023F5D">
        <w:rPr>
          <w:rFonts w:cs="Times New Roman"/>
          <w:sz w:val="24"/>
        </w:rPr>
        <w:t xml:space="preserve">find it difficult to compare </w:t>
      </w:r>
      <w:r>
        <w:rPr>
          <w:rFonts w:cs="Times New Roman"/>
          <w:sz w:val="24"/>
        </w:rPr>
        <w:t xml:space="preserve">their estimates </w:t>
      </w:r>
      <w:r w:rsidRPr="00023F5D">
        <w:rPr>
          <w:rFonts w:cs="Times New Roman"/>
          <w:sz w:val="24"/>
        </w:rPr>
        <w:t>to their peers, and to monitor the</w:t>
      </w:r>
      <w:r>
        <w:rPr>
          <w:rFonts w:cs="Times New Roman"/>
          <w:sz w:val="24"/>
        </w:rPr>
        <w:t xml:space="preserve"> trends of health conditions and risk factors </w:t>
      </w:r>
      <w:r w:rsidRPr="00023F5D">
        <w:rPr>
          <w:rFonts w:cs="Times New Roman"/>
          <w:sz w:val="24"/>
        </w:rPr>
        <w:t>over time.</w:t>
      </w:r>
    </w:p>
    <w:p w:rsidR="00B36AD4" w:rsidRDefault="00B36AD4" w:rsidP="00B36AD4">
      <w:pPr>
        <w:jc w:val="both"/>
        <w:rPr>
          <w:rFonts w:cs="Times New Roman"/>
          <w:sz w:val="24"/>
        </w:rPr>
      </w:pPr>
    </w:p>
    <w:p w:rsidR="00B36AD4" w:rsidRDefault="00B36AD4" w:rsidP="00B36AD4">
      <w:pPr>
        <w:pStyle w:val="Titre1"/>
        <w:ind w:left="426" w:hanging="426"/>
      </w:pPr>
      <w:bookmarkStart w:id="32" w:name="_Toc53067367"/>
      <w:r w:rsidRPr="000C4A56">
        <w:t>References</w:t>
      </w:r>
      <w:bookmarkEnd w:id="32"/>
    </w:p>
    <w:p w:rsidR="00B36AD4" w:rsidRPr="008137D0" w:rsidRDefault="00B36AD4" w:rsidP="00B36AD4">
      <w:pPr>
        <w:pStyle w:val="EndNoteBibliography"/>
        <w:spacing w:after="0"/>
        <w:ind w:left="720" w:hanging="720"/>
        <w:jc w:val="both"/>
      </w:pPr>
      <w:r>
        <w:rPr>
          <w:rFonts w:eastAsiaTheme="minorEastAsia" w:cs="Arial"/>
          <w:color w:val="000000" w:themeColor="text1"/>
          <w:kern w:val="24"/>
          <w:sz w:val="24"/>
          <w:szCs w:val="24"/>
        </w:rPr>
        <w:fldChar w:fldCharType="begin"/>
      </w:r>
      <w:r>
        <w:rPr>
          <w:rFonts w:eastAsiaTheme="minorEastAsia" w:cs="Arial"/>
          <w:color w:val="000000" w:themeColor="text1"/>
          <w:kern w:val="24"/>
          <w:sz w:val="24"/>
          <w:szCs w:val="24"/>
        </w:rPr>
        <w:instrText xml:space="preserve"> ADDIN EN.REFLIST </w:instrText>
      </w:r>
      <w:r>
        <w:rPr>
          <w:rFonts w:eastAsiaTheme="minorEastAsia" w:cs="Arial"/>
          <w:color w:val="000000" w:themeColor="text1"/>
          <w:kern w:val="24"/>
          <w:sz w:val="24"/>
          <w:szCs w:val="24"/>
        </w:rPr>
        <w:fldChar w:fldCharType="separate"/>
      </w:r>
      <w:r w:rsidRPr="008C1C19">
        <w:t>1.</w:t>
      </w:r>
      <w:r w:rsidRPr="008C1C19">
        <w:tab/>
      </w:r>
      <w:r w:rsidRPr="008137D0">
        <w:t xml:space="preserve">IHME: Country Health Profiles: </w:t>
      </w:r>
      <w:hyperlink r:id="rId11" w:history="1">
        <w:r w:rsidRPr="008137D0">
          <w:rPr>
            <w:rStyle w:val="Lienhypertexte"/>
          </w:rPr>
          <w:t>http://www.healthdata.org/results/country-profiles</w:t>
        </w:r>
      </w:hyperlink>
      <w:r w:rsidRPr="008137D0">
        <w:t>.</w:t>
      </w:r>
    </w:p>
    <w:p w:rsidR="00B36AD4" w:rsidRPr="008137D0" w:rsidRDefault="00B36AD4" w:rsidP="00B36AD4">
      <w:pPr>
        <w:pStyle w:val="EndNoteBibliography"/>
        <w:spacing w:after="0"/>
        <w:ind w:left="720" w:hanging="720"/>
        <w:jc w:val="both"/>
      </w:pPr>
      <w:r w:rsidRPr="008137D0">
        <w:t>2.</w:t>
      </w:r>
      <w:r w:rsidRPr="008137D0">
        <w:tab/>
        <w:t xml:space="preserve">Badjadj L, Chan Chee C: Hospitalization and ambulatory care for mood disorders in psychiatric settings in metropolitan france, 2010 - 2014. </w:t>
      </w:r>
      <w:r w:rsidRPr="008137D0">
        <w:rPr>
          <w:i/>
        </w:rPr>
        <w:t xml:space="preserve">BEH (Bulletin épidémiologiue hebdomadaire) </w:t>
      </w:r>
      <w:r w:rsidRPr="008137D0">
        <w:t>2017.</w:t>
      </w:r>
    </w:p>
    <w:p w:rsidR="00B36AD4" w:rsidRPr="008137D0" w:rsidRDefault="00B36AD4" w:rsidP="00B36AD4">
      <w:pPr>
        <w:pStyle w:val="EndNoteBibliography"/>
        <w:spacing w:after="0"/>
        <w:ind w:left="720" w:hanging="720"/>
        <w:jc w:val="both"/>
      </w:pPr>
      <w:r w:rsidRPr="008137D0">
        <w:t>3.</w:t>
      </w:r>
      <w:r w:rsidRPr="008137D0">
        <w:tab/>
        <w:t xml:space="preserve">Chee CC: Hospitalization and ambulatory care of patients with anxiety disorders in public psychiatric settings in metropolitan France, 2010 - 2014. </w:t>
      </w:r>
      <w:r w:rsidRPr="008137D0">
        <w:rPr>
          <w:i/>
        </w:rPr>
        <w:t xml:space="preserve">BEH (Bulletin épidémiologiue hebdomadaire) </w:t>
      </w:r>
      <w:r w:rsidRPr="008137D0">
        <w:t>2018.</w:t>
      </w:r>
    </w:p>
    <w:p w:rsidR="00B36AD4" w:rsidRPr="008137D0" w:rsidRDefault="00B36AD4" w:rsidP="00B36AD4">
      <w:pPr>
        <w:pStyle w:val="EndNoteBibliography"/>
        <w:spacing w:after="0"/>
        <w:ind w:left="720" w:hanging="720"/>
        <w:jc w:val="both"/>
      </w:pPr>
      <w:r w:rsidRPr="008137D0">
        <w:t>4.</w:t>
      </w:r>
      <w:r w:rsidRPr="008137D0">
        <w:tab/>
        <w:t xml:space="preserve">Wyper GMA, Grant I, Fletcher E, McCartney G, Fischbacher C, Stockton DL: How do world and European standard populations impact burden of disease studies? A case study of disability-adjusted life years (DALYs) in Scotland. </w:t>
      </w:r>
      <w:r w:rsidRPr="008137D0">
        <w:rPr>
          <w:i/>
        </w:rPr>
        <w:t xml:space="preserve">Archives of Public Health </w:t>
      </w:r>
      <w:r w:rsidRPr="008137D0">
        <w:t>2020, 78(1):1.</w:t>
      </w:r>
    </w:p>
    <w:p w:rsidR="00B36AD4" w:rsidRDefault="00B36AD4" w:rsidP="00B36AD4">
      <w:pPr>
        <w:pStyle w:val="EndNoteBibliography"/>
        <w:ind w:left="720" w:hanging="720"/>
        <w:jc w:val="both"/>
      </w:pPr>
      <w:r w:rsidRPr="008137D0">
        <w:t>5.</w:t>
      </w:r>
      <w:r w:rsidRPr="008137D0">
        <w:tab/>
        <w:t xml:space="preserve">Wyper GMA, Grant I, Fletcher E, Chalmers N, McCartney G, Stockton DL: Prioritising the development of severity distributions in burden of disease studies for countries in the European region. </w:t>
      </w:r>
      <w:r w:rsidRPr="008137D0">
        <w:rPr>
          <w:i/>
        </w:rPr>
        <w:t xml:space="preserve">Arch Public Health </w:t>
      </w:r>
      <w:r w:rsidRPr="008137D0">
        <w:t>2020, 78:3.</w:t>
      </w:r>
    </w:p>
    <w:p w:rsidR="00B36AD4" w:rsidRDefault="00B36AD4" w:rsidP="00B36AD4">
      <w:pPr>
        <w:pStyle w:val="EndNoteBibliography"/>
        <w:ind w:left="720" w:hanging="720"/>
        <w:jc w:val="both"/>
      </w:pPr>
    </w:p>
    <w:p w:rsidR="00B36AD4" w:rsidRDefault="00B36AD4" w:rsidP="00B36AD4">
      <w:pPr>
        <w:pStyle w:val="EndNoteBibliography"/>
        <w:ind w:left="720" w:hanging="720"/>
        <w:jc w:val="both"/>
      </w:pPr>
    </w:p>
    <w:p w:rsidR="00B36AD4" w:rsidRDefault="00B36AD4" w:rsidP="00B36AD4">
      <w:pPr>
        <w:pStyle w:val="EndNoteBibliography"/>
        <w:ind w:left="720" w:hanging="720"/>
        <w:jc w:val="both"/>
      </w:pPr>
    </w:p>
    <w:p w:rsidR="00B36AD4" w:rsidRDefault="00B36AD4" w:rsidP="00B36AD4">
      <w:pPr>
        <w:pStyle w:val="EndNoteBibliography"/>
        <w:ind w:left="720" w:hanging="720"/>
        <w:jc w:val="both"/>
      </w:pPr>
    </w:p>
    <w:p w:rsidR="00B36AD4" w:rsidRDefault="00B36AD4" w:rsidP="00B36AD4">
      <w:pPr>
        <w:pStyle w:val="EndNoteBibliography"/>
        <w:ind w:left="720" w:hanging="720"/>
        <w:jc w:val="both"/>
      </w:pPr>
    </w:p>
    <w:p w:rsidR="00B36AD4" w:rsidRDefault="00B36AD4" w:rsidP="00B36AD4">
      <w:pPr>
        <w:pStyle w:val="EndNoteBibliography"/>
        <w:ind w:left="720" w:hanging="720"/>
        <w:jc w:val="both"/>
      </w:pPr>
    </w:p>
    <w:p w:rsidR="00B36AD4" w:rsidRDefault="00B36AD4" w:rsidP="00B36AD4">
      <w:pPr>
        <w:pStyle w:val="EndNoteBibliography"/>
        <w:ind w:left="720" w:hanging="720"/>
        <w:jc w:val="both"/>
      </w:pPr>
    </w:p>
    <w:p w:rsidR="00B36AD4" w:rsidRDefault="00B36AD4" w:rsidP="00B36AD4">
      <w:pPr>
        <w:pStyle w:val="EndNoteBibliography"/>
        <w:ind w:left="720" w:hanging="720"/>
        <w:jc w:val="both"/>
      </w:pPr>
    </w:p>
    <w:p w:rsidR="00B36AD4" w:rsidRDefault="00B36AD4" w:rsidP="00B36AD4">
      <w:pPr>
        <w:pStyle w:val="EndNoteBibliography"/>
        <w:ind w:left="720" w:hanging="720"/>
        <w:jc w:val="both"/>
      </w:pPr>
    </w:p>
    <w:p w:rsidR="00B36AD4" w:rsidRDefault="00B36AD4" w:rsidP="00B36AD4">
      <w:pPr>
        <w:pStyle w:val="EndNoteBibliography"/>
        <w:ind w:left="720" w:hanging="720"/>
        <w:jc w:val="both"/>
      </w:pPr>
    </w:p>
    <w:p w:rsidR="00B36AD4" w:rsidRDefault="00B36AD4" w:rsidP="00B36AD4">
      <w:pPr>
        <w:pStyle w:val="EndNoteBibliography"/>
        <w:ind w:left="720" w:hanging="720"/>
        <w:jc w:val="both"/>
      </w:pPr>
    </w:p>
    <w:p w:rsidR="00B36AD4" w:rsidRDefault="00B36AD4" w:rsidP="00B36AD4">
      <w:pPr>
        <w:pStyle w:val="EndNoteBibliography"/>
        <w:ind w:left="720" w:hanging="720"/>
        <w:jc w:val="both"/>
      </w:pPr>
    </w:p>
    <w:p w:rsidR="00B36AD4" w:rsidRDefault="00B36AD4" w:rsidP="00B36AD4">
      <w:pPr>
        <w:pStyle w:val="EndNoteBibliography"/>
        <w:ind w:left="720" w:hanging="720"/>
        <w:jc w:val="both"/>
      </w:pPr>
    </w:p>
    <w:p w:rsidR="00B36AD4" w:rsidRDefault="00B36AD4" w:rsidP="00B36AD4">
      <w:pPr>
        <w:pStyle w:val="EndNoteBibliography"/>
        <w:ind w:left="720" w:hanging="720"/>
        <w:jc w:val="both"/>
      </w:pPr>
    </w:p>
    <w:p w:rsidR="00B36AD4" w:rsidRPr="004B0888" w:rsidRDefault="00B36AD4" w:rsidP="00B36AD4">
      <w:pPr>
        <w:pStyle w:val="Titre1"/>
        <w:ind w:left="851" w:hanging="851"/>
        <w:rPr>
          <w:sz w:val="28"/>
          <w:szCs w:val="28"/>
        </w:rPr>
      </w:pPr>
      <w:r>
        <w:rPr>
          <w:rFonts w:eastAsiaTheme="minorEastAsia" w:cs="Arial"/>
          <w:color w:val="000000" w:themeColor="text1"/>
          <w:kern w:val="24"/>
          <w:sz w:val="24"/>
        </w:rPr>
        <w:lastRenderedPageBreak/>
        <w:fldChar w:fldCharType="end"/>
      </w:r>
      <w:bookmarkStart w:id="33" w:name="_Toc46839377"/>
      <w:r w:rsidRPr="000C4A56">
        <w:rPr>
          <w:sz w:val="28"/>
          <w:szCs w:val="28"/>
        </w:rPr>
        <w:t xml:space="preserve"> </w:t>
      </w:r>
      <w:bookmarkStart w:id="34" w:name="_Toc53067368"/>
      <w:r w:rsidRPr="004B0888">
        <w:rPr>
          <w:sz w:val="28"/>
          <w:szCs w:val="28"/>
        </w:rPr>
        <w:t>Additional files</w:t>
      </w:r>
      <w:bookmarkEnd w:id="33"/>
      <w:bookmarkEnd w:id="34"/>
    </w:p>
    <w:p w:rsidR="00B36AD4" w:rsidRPr="004B0888" w:rsidRDefault="00B36AD4" w:rsidP="00B36AD4">
      <w:pPr>
        <w:pStyle w:val="Titre2"/>
        <w:ind w:left="993" w:hanging="567"/>
        <w:rPr>
          <w:rStyle w:val="Titre2Car"/>
          <w:b/>
        </w:rPr>
      </w:pPr>
      <w:bookmarkStart w:id="35" w:name="_Toc46839378"/>
      <w:bookmarkStart w:id="36" w:name="_Toc53067369"/>
      <w:r w:rsidRPr="004B0888">
        <w:rPr>
          <w:rStyle w:val="Titre2Car"/>
        </w:rPr>
        <w:t>Additional file 1</w:t>
      </w:r>
      <w:bookmarkEnd w:id="35"/>
      <w:bookmarkEnd w:id="36"/>
    </w:p>
    <w:p w:rsidR="00B36AD4" w:rsidRPr="00472AD3" w:rsidRDefault="00B36AD4" w:rsidP="00B36AD4">
      <w:pPr>
        <w:jc w:val="both"/>
        <w:rPr>
          <w:rFonts w:cs="Times New Roman"/>
          <w:b/>
          <w:sz w:val="24"/>
          <w:szCs w:val="24"/>
        </w:rPr>
      </w:pPr>
      <w:r w:rsidRPr="00472AD3">
        <w:rPr>
          <w:rFonts w:cs="Times New Roman"/>
          <w:b/>
          <w:sz w:val="24"/>
          <w:szCs w:val="24"/>
        </w:rPr>
        <w:t>Description of GBD metrics used to describe country health profiles</w:t>
      </w:r>
    </w:p>
    <w:p w:rsidR="00B36AD4" w:rsidRDefault="00B36AD4" w:rsidP="00B36AD4">
      <w:pPr>
        <w:jc w:val="both"/>
        <w:rPr>
          <w:rFonts w:cs="Times New Roman"/>
          <w:sz w:val="24"/>
          <w:szCs w:val="24"/>
        </w:rPr>
      </w:pPr>
      <w:r w:rsidRPr="00472AD3">
        <w:rPr>
          <w:rFonts w:cs="Times New Roman"/>
          <w:b/>
          <w:sz w:val="24"/>
          <w:szCs w:val="24"/>
          <w:u w:val="single"/>
        </w:rPr>
        <w:t>Figure 1</w:t>
      </w:r>
      <w:r w:rsidRPr="00472AD3">
        <w:rPr>
          <w:rFonts w:cs="Times New Roman"/>
          <w:sz w:val="24"/>
          <w:szCs w:val="24"/>
        </w:rPr>
        <w:t xml:space="preserve"> shows the observed and expected life expectancy. Expected values are based on a country’s expected performance according to its Socio-demographic Index (SDI) (computed using the geometric mean of income per person, educational attainment in the population older than age 15 years, and total fertility rate).</w:t>
      </w:r>
      <w:r w:rsidRPr="00472AD3">
        <w:rPr>
          <w:rStyle w:val="Appelnotedebasdep"/>
          <w:rFonts w:cs="Times New Roman"/>
          <w:sz w:val="24"/>
          <w:szCs w:val="24"/>
        </w:rPr>
        <w:footnoteReference w:id="1"/>
      </w:r>
      <w:r w:rsidRPr="00472AD3">
        <w:rPr>
          <w:rFonts w:cs="Times New Roman"/>
          <w:sz w:val="24"/>
          <w:szCs w:val="24"/>
        </w:rPr>
        <w:t xml:space="preserve"> Please note that GBD does not publish expected life expectancy for the European Union as a whole, which is why figures were used for Western Europe for illustrative purposes.</w:t>
      </w:r>
    </w:p>
    <w:p w:rsidR="00B36AD4" w:rsidRPr="00472AD3" w:rsidRDefault="00B36AD4" w:rsidP="00B36AD4">
      <w:pPr>
        <w:jc w:val="both"/>
        <w:rPr>
          <w:rFonts w:cs="Times New Roman"/>
          <w:sz w:val="24"/>
          <w:szCs w:val="24"/>
        </w:rPr>
      </w:pPr>
      <w:r w:rsidRPr="00472AD3">
        <w:rPr>
          <w:rFonts w:cs="Times New Roman"/>
          <w:b/>
          <w:sz w:val="24"/>
          <w:szCs w:val="24"/>
          <w:u w:val="single"/>
        </w:rPr>
        <w:t>Figure 2</w:t>
      </w:r>
      <w:r w:rsidRPr="00472AD3">
        <w:rPr>
          <w:rFonts w:cs="Times New Roman"/>
          <w:sz w:val="24"/>
          <w:szCs w:val="24"/>
        </w:rPr>
        <w:t xml:space="preserve"> shows age-adjusted mortality rates by major conditions (top ten). </w:t>
      </w:r>
    </w:p>
    <w:p w:rsidR="00B36AD4" w:rsidRPr="00472AD3" w:rsidRDefault="00B36AD4" w:rsidP="00B36AD4">
      <w:pPr>
        <w:jc w:val="both"/>
        <w:rPr>
          <w:rFonts w:cs="Times New Roman"/>
          <w:sz w:val="24"/>
          <w:szCs w:val="24"/>
        </w:rPr>
      </w:pPr>
      <w:r w:rsidRPr="00472AD3">
        <w:rPr>
          <w:rFonts w:cs="Times New Roman"/>
          <w:b/>
          <w:sz w:val="24"/>
          <w:szCs w:val="24"/>
          <w:u w:val="single"/>
        </w:rPr>
        <w:t>Figure 3</w:t>
      </w:r>
      <w:r w:rsidRPr="00472AD3">
        <w:rPr>
          <w:rFonts w:cs="Times New Roman"/>
          <w:sz w:val="24"/>
          <w:szCs w:val="24"/>
        </w:rPr>
        <w:t xml:space="preserve"> show</w:t>
      </w:r>
      <w:r>
        <w:rPr>
          <w:rFonts w:cs="Times New Roman"/>
          <w:sz w:val="24"/>
          <w:szCs w:val="24"/>
        </w:rPr>
        <w:t>s</w:t>
      </w:r>
      <w:r w:rsidRPr="00472AD3">
        <w:rPr>
          <w:rFonts w:cs="Times New Roman"/>
          <w:sz w:val="24"/>
          <w:szCs w:val="24"/>
        </w:rPr>
        <w:t xml:space="preserve"> Years of Life Lost (YLLs). These are the years of life lost due to premature mortality; estimated as the product of deaths and the remaining standard life expectancy at the age of death. It is computed as how many years of life are lost </w:t>
      </w:r>
      <w:r>
        <w:rPr>
          <w:rFonts w:cs="Times New Roman"/>
          <w:sz w:val="24"/>
          <w:szCs w:val="24"/>
        </w:rPr>
        <w:t xml:space="preserve">due to </w:t>
      </w:r>
      <w:r w:rsidRPr="00472AD3">
        <w:rPr>
          <w:rFonts w:cs="Times New Roman"/>
          <w:sz w:val="24"/>
          <w:szCs w:val="24"/>
        </w:rPr>
        <w:t xml:space="preserve">a person dying at a particular age </w:t>
      </w:r>
      <w:r>
        <w:rPr>
          <w:rFonts w:cs="Times New Roman"/>
          <w:sz w:val="24"/>
          <w:szCs w:val="24"/>
        </w:rPr>
        <w:t xml:space="preserve">and </w:t>
      </w:r>
      <w:r w:rsidRPr="00472AD3">
        <w:rPr>
          <w:rFonts w:cs="Times New Roman"/>
          <w:sz w:val="24"/>
          <w:szCs w:val="24"/>
        </w:rPr>
        <w:t>did not live to the full life expectancy possible. The trends are usually very similar to mortality trends.</w:t>
      </w:r>
    </w:p>
    <w:p w:rsidR="00B36AD4" w:rsidRPr="00472AD3" w:rsidRDefault="00B36AD4" w:rsidP="00B36AD4">
      <w:pPr>
        <w:jc w:val="both"/>
        <w:rPr>
          <w:rFonts w:cs="Times New Roman"/>
          <w:sz w:val="24"/>
          <w:szCs w:val="24"/>
        </w:rPr>
      </w:pPr>
      <w:r w:rsidRPr="00472AD3">
        <w:rPr>
          <w:rFonts w:cs="Times New Roman"/>
          <w:b/>
          <w:sz w:val="24"/>
          <w:szCs w:val="24"/>
          <w:u w:val="single"/>
        </w:rPr>
        <w:t>Figure 4</w:t>
      </w:r>
      <w:r w:rsidRPr="00472AD3">
        <w:rPr>
          <w:rFonts w:cs="Times New Roman"/>
          <w:sz w:val="24"/>
          <w:szCs w:val="24"/>
        </w:rPr>
        <w:t xml:space="preserve"> shows morbidity, as Years lived with disability (YLDs). These are years lived in less than ideal health. This includes health loss that may last for only a few days or a lifetime. YLDs are estimated from the prevalence of diseases and injuries, and the corresponding disability weight for each sequela. YLDs adjusted for disability and co-morbidity are the final YLDs. Trends in morbidity often show markedly different patterns from mortality, often ‘flatlining’ whereas mortality decreases. </w:t>
      </w:r>
    </w:p>
    <w:p w:rsidR="00B36AD4" w:rsidRPr="00472AD3" w:rsidRDefault="00B36AD4" w:rsidP="00B36AD4">
      <w:pPr>
        <w:jc w:val="both"/>
        <w:rPr>
          <w:rFonts w:cs="Times New Roman"/>
          <w:sz w:val="24"/>
          <w:szCs w:val="24"/>
        </w:rPr>
      </w:pPr>
      <w:r w:rsidRPr="00472AD3">
        <w:rPr>
          <w:rFonts w:cs="Times New Roman"/>
          <w:b/>
          <w:sz w:val="24"/>
          <w:szCs w:val="24"/>
          <w:u w:val="single"/>
        </w:rPr>
        <w:t>Figure 5</w:t>
      </w:r>
      <w:r w:rsidRPr="00472AD3">
        <w:rPr>
          <w:rFonts w:cs="Times New Roman"/>
          <w:sz w:val="24"/>
          <w:szCs w:val="24"/>
        </w:rPr>
        <w:t xml:space="preserve"> shows the combined burden of mortality and morbidity, Disability-adjusted life years (DALYs). These are </w:t>
      </w:r>
      <w:r>
        <w:rPr>
          <w:rFonts w:cs="Times New Roman"/>
          <w:sz w:val="24"/>
          <w:szCs w:val="24"/>
        </w:rPr>
        <w:t xml:space="preserve">the </w:t>
      </w:r>
      <w:r w:rsidRPr="00472AD3">
        <w:rPr>
          <w:rFonts w:cs="Times New Roman"/>
          <w:sz w:val="24"/>
          <w:szCs w:val="24"/>
        </w:rPr>
        <w:t>years of healthy life lost due to premature death and disability. DALYs are the sum of years of life lost (YLLs) and years lived with disability (YLDs). It is the major metric used in burden of disease assessments. Its shape is usually heavily influenced by the mortality component.</w:t>
      </w:r>
    </w:p>
    <w:p w:rsidR="00B36AD4" w:rsidRPr="00472AD3" w:rsidRDefault="00B36AD4" w:rsidP="00B36AD4">
      <w:pPr>
        <w:jc w:val="both"/>
        <w:rPr>
          <w:rFonts w:cs="Times New Roman"/>
          <w:sz w:val="24"/>
          <w:szCs w:val="24"/>
        </w:rPr>
      </w:pPr>
      <w:r w:rsidRPr="00472AD3">
        <w:rPr>
          <w:rFonts w:cs="Times New Roman"/>
          <w:b/>
          <w:sz w:val="24"/>
          <w:szCs w:val="24"/>
          <w:u w:val="single"/>
        </w:rPr>
        <w:t>Figure 6</w:t>
      </w:r>
      <w:r w:rsidRPr="00472AD3">
        <w:rPr>
          <w:rFonts w:cs="Times New Roman"/>
          <w:sz w:val="24"/>
          <w:szCs w:val="24"/>
        </w:rPr>
        <w:t xml:space="preserve"> shows the DALYs lost to all causes, </w:t>
      </w:r>
      <w:r>
        <w:rPr>
          <w:rFonts w:cs="Times New Roman"/>
          <w:sz w:val="24"/>
          <w:szCs w:val="24"/>
        </w:rPr>
        <w:t xml:space="preserve">distributed by most common </w:t>
      </w:r>
      <w:r w:rsidRPr="00472AD3">
        <w:rPr>
          <w:rFonts w:cs="Times New Roman"/>
          <w:sz w:val="24"/>
          <w:szCs w:val="24"/>
        </w:rPr>
        <w:t>risk factors. GBD uses a 3-category structure of risks, i.e. behavioural, metabolic and environmental, and estimates single risk factor – health outcome pairs. The amount of DALYs (their PAF</w:t>
      </w:r>
      <w:r>
        <w:rPr>
          <w:rFonts w:cs="Times New Roman"/>
          <w:sz w:val="24"/>
          <w:szCs w:val="24"/>
        </w:rPr>
        <w:t>s [Population Attributable Fractions]</w:t>
      </w:r>
      <w:r w:rsidRPr="00472AD3">
        <w:rPr>
          <w:rFonts w:cs="Times New Roman"/>
          <w:sz w:val="24"/>
          <w:szCs w:val="24"/>
        </w:rPr>
        <w:t>) reflects known risk factors, and therefore represents a fraction of total DALYs, as con</w:t>
      </w:r>
      <w:r>
        <w:rPr>
          <w:rFonts w:cs="Times New Roman"/>
          <w:sz w:val="24"/>
          <w:szCs w:val="24"/>
        </w:rPr>
        <w:t>ditions such as e.g. dementia, musculoskeletal disorders</w:t>
      </w:r>
      <w:r w:rsidRPr="00472AD3">
        <w:rPr>
          <w:rFonts w:cs="Times New Roman"/>
          <w:sz w:val="24"/>
          <w:szCs w:val="24"/>
        </w:rPr>
        <w:t xml:space="preserve"> or cancer are only partly explained by underlying risk factors.</w:t>
      </w:r>
    </w:p>
    <w:p w:rsidR="00B36AD4" w:rsidRPr="00472AD3" w:rsidRDefault="00B36AD4" w:rsidP="00B36AD4">
      <w:pPr>
        <w:jc w:val="both"/>
        <w:rPr>
          <w:rFonts w:cs="Times New Roman"/>
          <w:sz w:val="24"/>
          <w:szCs w:val="24"/>
        </w:rPr>
      </w:pPr>
      <w:r w:rsidRPr="00472AD3">
        <w:rPr>
          <w:rFonts w:cs="Times New Roman"/>
          <w:b/>
          <w:sz w:val="24"/>
          <w:szCs w:val="24"/>
          <w:u w:val="single"/>
        </w:rPr>
        <w:t>Figure 7</w:t>
      </w:r>
      <w:r w:rsidRPr="00472AD3">
        <w:rPr>
          <w:rFonts w:cs="Times New Roman"/>
          <w:sz w:val="24"/>
          <w:szCs w:val="24"/>
        </w:rPr>
        <w:t xml:space="preserve"> attempts to illustrate the contribution of individual causes to changes in disease burden. The columns present year-on-year changes in rates, broken down by major causes. </w:t>
      </w:r>
      <w:r w:rsidRPr="00472AD3">
        <w:rPr>
          <w:rFonts w:cs="Times New Roman"/>
          <w:sz w:val="24"/>
          <w:szCs w:val="24"/>
        </w:rPr>
        <w:lastRenderedPageBreak/>
        <w:t>This allows explaining</w:t>
      </w:r>
      <w:r>
        <w:rPr>
          <w:rFonts w:cs="Times New Roman"/>
          <w:sz w:val="24"/>
          <w:szCs w:val="24"/>
        </w:rPr>
        <w:t>,</w:t>
      </w:r>
      <w:r w:rsidRPr="00472AD3">
        <w:rPr>
          <w:rFonts w:cs="Times New Roman"/>
          <w:sz w:val="24"/>
          <w:szCs w:val="24"/>
        </w:rPr>
        <w:t xml:space="preserve"> which causes have most contributed to changes in burden. A frequent finding across countries is the year-on-year decrease in </w:t>
      </w:r>
      <w:r>
        <w:rPr>
          <w:rFonts w:cs="Times New Roman"/>
          <w:sz w:val="24"/>
          <w:szCs w:val="24"/>
        </w:rPr>
        <w:t>cardiovascular disease r</w:t>
      </w:r>
      <w:r w:rsidRPr="00472AD3">
        <w:rPr>
          <w:rFonts w:cs="Times New Roman"/>
          <w:sz w:val="24"/>
          <w:szCs w:val="24"/>
        </w:rPr>
        <w:t>ates.</w:t>
      </w:r>
    </w:p>
    <w:p w:rsidR="00B36AD4" w:rsidRPr="00472AD3" w:rsidRDefault="00B36AD4" w:rsidP="00B36AD4">
      <w:pPr>
        <w:jc w:val="both"/>
        <w:rPr>
          <w:rFonts w:cs="Times New Roman"/>
          <w:sz w:val="24"/>
          <w:szCs w:val="24"/>
        </w:rPr>
      </w:pPr>
      <w:r w:rsidRPr="00472AD3">
        <w:rPr>
          <w:rFonts w:cs="Times New Roman"/>
          <w:b/>
          <w:sz w:val="24"/>
          <w:szCs w:val="24"/>
          <w:u w:val="single"/>
        </w:rPr>
        <w:t>Figure 8</w:t>
      </w:r>
      <w:r w:rsidRPr="00472AD3">
        <w:rPr>
          <w:rFonts w:cs="Times New Roman"/>
          <w:sz w:val="24"/>
          <w:szCs w:val="24"/>
        </w:rPr>
        <w:t xml:space="preserve"> presents values for the Healthcare Access and Quality Index (HAQ)</w:t>
      </w:r>
      <w:r w:rsidRPr="00472AD3">
        <w:rPr>
          <w:rStyle w:val="Appelnotedebasdep"/>
          <w:rFonts w:cs="Times New Roman"/>
          <w:sz w:val="24"/>
          <w:szCs w:val="24"/>
        </w:rPr>
        <w:footnoteReference w:id="2"/>
      </w:r>
      <w:r w:rsidRPr="00472AD3">
        <w:rPr>
          <w:rFonts w:cs="Times New Roman"/>
          <w:sz w:val="24"/>
          <w:szCs w:val="24"/>
        </w:rPr>
        <w:t xml:space="preserve">. This is a measure of amenable mortality based on GBD mortality rates. It is based on 32 underlying causes of death. The HAQ summarizes amenable mortality (premature deaths theoretically avoidable by access to and receipt of high quality medical care) into an index, which takes values from 0-100 where 100 is best achievable performance. Amenable mortality refers to deaths, which are thought to be avoidable in a defined set of conditions by optimal access to and quality of medical care. The higher the value of the index the more likely people are able to access high quality effective care. It has been used as </w:t>
      </w:r>
      <w:proofErr w:type="gramStart"/>
      <w:r w:rsidRPr="00472AD3">
        <w:rPr>
          <w:rFonts w:cs="Times New Roman"/>
          <w:sz w:val="24"/>
          <w:szCs w:val="24"/>
        </w:rPr>
        <w:t>a</w:t>
      </w:r>
      <w:proofErr w:type="gramEnd"/>
      <w:r w:rsidRPr="00472AD3">
        <w:rPr>
          <w:rFonts w:cs="Times New Roman"/>
          <w:sz w:val="24"/>
          <w:szCs w:val="24"/>
        </w:rPr>
        <w:t xml:space="preserve"> comparative measure of healthcare and health system performance for years. The box-and-whiskers plot shows the distribution of HAQ values for M</w:t>
      </w:r>
      <w:r>
        <w:rPr>
          <w:rFonts w:cs="Times New Roman"/>
          <w:sz w:val="24"/>
          <w:szCs w:val="24"/>
        </w:rPr>
        <w:t xml:space="preserve">ember </w:t>
      </w:r>
      <w:r w:rsidRPr="00472AD3">
        <w:rPr>
          <w:rFonts w:cs="Times New Roman"/>
          <w:sz w:val="24"/>
          <w:szCs w:val="24"/>
        </w:rPr>
        <w:t>S</w:t>
      </w:r>
      <w:r>
        <w:rPr>
          <w:rFonts w:cs="Times New Roman"/>
          <w:sz w:val="24"/>
          <w:szCs w:val="24"/>
        </w:rPr>
        <w:t>tates</w:t>
      </w:r>
      <w:r w:rsidRPr="00472AD3">
        <w:rPr>
          <w:rFonts w:cs="Times New Roman"/>
          <w:sz w:val="24"/>
          <w:szCs w:val="24"/>
        </w:rPr>
        <w:t xml:space="preserve">, with the individual country highlighted as a red dot. This is the main index used by GBD to measure health system performance. </w:t>
      </w:r>
    </w:p>
    <w:p w:rsidR="00B36AD4" w:rsidRDefault="00B36AD4" w:rsidP="00B36AD4">
      <w:pPr>
        <w:rPr>
          <w:b/>
          <w:sz w:val="24"/>
        </w:rPr>
      </w:pPr>
      <w:r w:rsidRPr="00E25ABF">
        <w:rPr>
          <w:b/>
          <w:sz w:val="24"/>
        </w:rPr>
        <w:t>Here is</w:t>
      </w:r>
      <w:r>
        <w:rPr>
          <w:b/>
          <w:sz w:val="24"/>
        </w:rPr>
        <w:t xml:space="preserve"> an </w:t>
      </w:r>
      <w:r w:rsidRPr="00E25ABF">
        <w:rPr>
          <w:b/>
          <w:sz w:val="24"/>
        </w:rPr>
        <w:t xml:space="preserve">example </w:t>
      </w:r>
      <w:r>
        <w:rPr>
          <w:b/>
          <w:sz w:val="24"/>
        </w:rPr>
        <w:t xml:space="preserve">of interpretation using the </w:t>
      </w:r>
      <w:r w:rsidRPr="00E25ABF">
        <w:rPr>
          <w:b/>
          <w:sz w:val="24"/>
        </w:rPr>
        <w:t>England</w:t>
      </w:r>
      <w:r w:rsidRPr="002048ED">
        <w:rPr>
          <w:b/>
          <w:sz w:val="24"/>
        </w:rPr>
        <w:t xml:space="preserve"> </w:t>
      </w:r>
      <w:r>
        <w:rPr>
          <w:b/>
          <w:sz w:val="24"/>
        </w:rPr>
        <w:t>GBD health profile</w:t>
      </w:r>
    </w:p>
    <w:p w:rsidR="00B36AD4" w:rsidRPr="000969A9" w:rsidRDefault="00B36AD4" w:rsidP="00B36AD4">
      <w:pPr>
        <w:rPr>
          <w:b/>
          <w:sz w:val="24"/>
        </w:rPr>
      </w:pPr>
      <w:r w:rsidRPr="000969A9">
        <w:rPr>
          <w:b/>
          <w:sz w:val="24"/>
        </w:rPr>
        <w:t>Figure 1, life expectancy</w:t>
      </w:r>
    </w:p>
    <w:p w:rsidR="00B36AD4" w:rsidRDefault="00B36AD4" w:rsidP="00B36AD4">
      <w:pPr>
        <w:jc w:val="both"/>
        <w:rPr>
          <w:sz w:val="24"/>
        </w:rPr>
      </w:pPr>
      <w:r>
        <w:rPr>
          <w:sz w:val="24"/>
        </w:rPr>
        <w:t>England outperforms its expected value. However, in recent years, improvements in observed LE have stalled, while the ‘expected trend’ is meant to be continuing to rise. Compare with other EU countries where observed life expectancy is below the expected (e.g. Hungary, Romania) or countries where life improvement has not only stalled, but has deteriorated (Scotland, Finland).</w:t>
      </w:r>
    </w:p>
    <w:p w:rsidR="00B36AD4" w:rsidRPr="000969A9" w:rsidRDefault="00B36AD4" w:rsidP="00B36AD4">
      <w:pPr>
        <w:jc w:val="both"/>
        <w:rPr>
          <w:b/>
          <w:sz w:val="24"/>
        </w:rPr>
      </w:pPr>
      <w:r w:rsidRPr="000969A9">
        <w:rPr>
          <w:b/>
          <w:sz w:val="24"/>
        </w:rPr>
        <w:t xml:space="preserve">Figure 2, mortality </w:t>
      </w:r>
    </w:p>
    <w:p w:rsidR="00B36AD4" w:rsidRDefault="00B36AD4" w:rsidP="00B36AD4">
      <w:pPr>
        <w:jc w:val="both"/>
        <w:rPr>
          <w:sz w:val="24"/>
        </w:rPr>
      </w:pPr>
      <w:r>
        <w:rPr>
          <w:sz w:val="24"/>
        </w:rPr>
        <w:t>In England, mortality rates have greatly decreased for cardiovascular disease, and to minor extent for cancer. The recent slowing down in life expectancy rise is mirrored by the behaviour of these two conditions. This pattern is similar in most countries, in that CVD and cancer account for most of the burden of mortality and therefore largely determine life expectancy. The individual shape of curves is however different between countries, perhaps more so for cancer than for CVD.</w:t>
      </w:r>
    </w:p>
    <w:p w:rsidR="00B36AD4" w:rsidRDefault="00B36AD4" w:rsidP="00B36AD4">
      <w:pPr>
        <w:rPr>
          <w:sz w:val="24"/>
        </w:rPr>
      </w:pPr>
      <w:r>
        <w:rPr>
          <w:noProof/>
          <w:lang w:eastAsia="fr-FR"/>
        </w:rPr>
        <w:lastRenderedPageBreak/>
        <w:drawing>
          <wp:inline distT="0" distB="0" distL="0" distR="0" wp14:anchorId="0D3918E7" wp14:editId="627CFEFA">
            <wp:extent cx="5731510" cy="2254606"/>
            <wp:effectExtent l="0" t="0" r="254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England_files/figure-docx/top_charts_page_1-1.png"/>
                    <pic:cNvPicPr>
                      <a:picLocks noChangeAspect="1" noChangeArrowheads="1"/>
                    </pic:cNvPicPr>
                  </pic:nvPicPr>
                  <pic:blipFill>
                    <a:blip r:embed="rId12"/>
                    <a:stretch>
                      <a:fillRect/>
                    </a:stretch>
                  </pic:blipFill>
                  <pic:spPr bwMode="auto">
                    <a:xfrm>
                      <a:off x="0" y="0"/>
                      <a:ext cx="5731510" cy="2254606"/>
                    </a:xfrm>
                    <a:prstGeom prst="rect">
                      <a:avLst/>
                    </a:prstGeom>
                    <a:noFill/>
                    <a:ln w="9525">
                      <a:noFill/>
                      <a:headEnd/>
                      <a:tailEnd/>
                    </a:ln>
                  </pic:spPr>
                </pic:pic>
              </a:graphicData>
            </a:graphic>
          </wp:inline>
        </w:drawing>
      </w:r>
    </w:p>
    <w:p w:rsidR="00B36AD4" w:rsidRPr="000969A9" w:rsidRDefault="00B36AD4" w:rsidP="00B36AD4">
      <w:pPr>
        <w:rPr>
          <w:b/>
          <w:sz w:val="24"/>
        </w:rPr>
      </w:pPr>
      <w:r w:rsidRPr="000969A9">
        <w:rPr>
          <w:b/>
          <w:sz w:val="24"/>
        </w:rPr>
        <w:t>Figure 3, premature mortality</w:t>
      </w:r>
    </w:p>
    <w:p w:rsidR="00B36AD4" w:rsidRDefault="00B36AD4" w:rsidP="00B36AD4">
      <w:pPr>
        <w:rPr>
          <w:sz w:val="24"/>
        </w:rPr>
      </w:pPr>
      <w:r>
        <w:rPr>
          <w:sz w:val="24"/>
        </w:rPr>
        <w:t>The values are based on mortality data and reflect the pattern of overall improvement until the recent stalling.</w:t>
      </w:r>
    </w:p>
    <w:p w:rsidR="00B36AD4" w:rsidRPr="000969A9" w:rsidRDefault="00B36AD4" w:rsidP="00B36AD4">
      <w:pPr>
        <w:rPr>
          <w:b/>
          <w:sz w:val="24"/>
        </w:rPr>
      </w:pPr>
      <w:r w:rsidRPr="000969A9">
        <w:rPr>
          <w:b/>
          <w:sz w:val="24"/>
        </w:rPr>
        <w:t>Figure 4, morbidity</w:t>
      </w:r>
    </w:p>
    <w:p w:rsidR="00B36AD4" w:rsidRDefault="00B36AD4" w:rsidP="00B36AD4">
      <w:pPr>
        <w:jc w:val="both"/>
        <w:rPr>
          <w:sz w:val="24"/>
        </w:rPr>
      </w:pPr>
      <w:r>
        <w:rPr>
          <w:sz w:val="24"/>
        </w:rPr>
        <w:t>While mortality has massively improved, telling something about the health system’s ability to protect the population from dying of a disease, morbidity has stayed mostly unchanged, in some cases even worsening, such as MSK. In fact, in countries such as England, the main challenge is morbidity, not mortality.</w:t>
      </w:r>
    </w:p>
    <w:p w:rsidR="00B36AD4" w:rsidRDefault="00B36AD4" w:rsidP="00B36AD4">
      <w:pPr>
        <w:rPr>
          <w:sz w:val="24"/>
        </w:rPr>
      </w:pPr>
      <w:r>
        <w:rPr>
          <w:noProof/>
          <w:lang w:eastAsia="fr-FR"/>
        </w:rPr>
        <w:drawing>
          <wp:inline distT="0" distB="0" distL="0" distR="0" wp14:anchorId="704EAB56" wp14:editId="150FFF60">
            <wp:extent cx="5731510" cy="2517302"/>
            <wp:effectExtent l="0" t="0" r="254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England_files/figure-docx/middle_charts_p1-1.png"/>
                    <pic:cNvPicPr>
                      <a:picLocks noChangeAspect="1" noChangeArrowheads="1"/>
                    </pic:cNvPicPr>
                  </pic:nvPicPr>
                  <pic:blipFill>
                    <a:blip r:embed="rId13"/>
                    <a:stretch>
                      <a:fillRect/>
                    </a:stretch>
                  </pic:blipFill>
                  <pic:spPr bwMode="auto">
                    <a:xfrm>
                      <a:off x="0" y="0"/>
                      <a:ext cx="5731510" cy="2517302"/>
                    </a:xfrm>
                    <a:prstGeom prst="rect">
                      <a:avLst/>
                    </a:prstGeom>
                    <a:noFill/>
                    <a:ln w="9525">
                      <a:noFill/>
                      <a:headEnd/>
                      <a:tailEnd/>
                    </a:ln>
                  </pic:spPr>
                </pic:pic>
              </a:graphicData>
            </a:graphic>
          </wp:inline>
        </w:drawing>
      </w:r>
    </w:p>
    <w:p w:rsidR="00B36AD4" w:rsidRPr="000969A9" w:rsidRDefault="00B36AD4" w:rsidP="00B36AD4">
      <w:pPr>
        <w:jc w:val="both"/>
        <w:rPr>
          <w:b/>
          <w:sz w:val="24"/>
        </w:rPr>
      </w:pPr>
      <w:r w:rsidRPr="000969A9">
        <w:rPr>
          <w:b/>
          <w:sz w:val="24"/>
        </w:rPr>
        <w:t>Figure 5, combined burden</w:t>
      </w:r>
    </w:p>
    <w:p w:rsidR="00B36AD4" w:rsidRDefault="00B36AD4" w:rsidP="00B36AD4">
      <w:pPr>
        <w:jc w:val="both"/>
        <w:rPr>
          <w:sz w:val="24"/>
        </w:rPr>
      </w:pPr>
      <w:r>
        <w:rPr>
          <w:sz w:val="24"/>
        </w:rPr>
        <w:t>DALYs are the combination of YLLs (premature mortality) and YLDs (morbidity) giving an appreciation of the overall burden. The shape of the curves is heavily influenced by premature mortality, as the rates per 100,00 of YLLs resp. YLDs allow to identify. Nevertheless, MSK and mental health figure prominently.</w:t>
      </w:r>
    </w:p>
    <w:p w:rsidR="00B36AD4" w:rsidRDefault="00B36AD4" w:rsidP="00B36AD4">
      <w:pPr>
        <w:rPr>
          <w:sz w:val="24"/>
        </w:rPr>
      </w:pPr>
    </w:p>
    <w:p w:rsidR="00B36AD4" w:rsidRDefault="00B36AD4" w:rsidP="00B36AD4">
      <w:pPr>
        <w:rPr>
          <w:sz w:val="24"/>
        </w:rPr>
      </w:pPr>
      <w:r>
        <w:rPr>
          <w:noProof/>
          <w:lang w:eastAsia="fr-FR"/>
        </w:rPr>
        <w:lastRenderedPageBreak/>
        <w:drawing>
          <wp:inline distT="0" distB="0" distL="0" distR="0" wp14:anchorId="21C4C68A" wp14:editId="15016C9C">
            <wp:extent cx="5524500" cy="266001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England_files/figure-docx/bottom_chart_p1-1.png"/>
                    <pic:cNvPicPr>
                      <a:picLocks noChangeAspect="1" noChangeArrowheads="1"/>
                    </pic:cNvPicPr>
                  </pic:nvPicPr>
                  <pic:blipFill>
                    <a:blip r:embed="rId14"/>
                    <a:stretch>
                      <a:fillRect/>
                    </a:stretch>
                  </pic:blipFill>
                  <pic:spPr bwMode="auto">
                    <a:xfrm>
                      <a:off x="0" y="0"/>
                      <a:ext cx="5524500" cy="2660015"/>
                    </a:xfrm>
                    <a:prstGeom prst="rect">
                      <a:avLst/>
                    </a:prstGeom>
                    <a:noFill/>
                    <a:ln w="9525">
                      <a:noFill/>
                      <a:headEnd/>
                      <a:tailEnd/>
                    </a:ln>
                  </pic:spPr>
                </pic:pic>
              </a:graphicData>
            </a:graphic>
          </wp:inline>
        </w:drawing>
      </w:r>
    </w:p>
    <w:p w:rsidR="00B36AD4" w:rsidRPr="000969A9" w:rsidRDefault="00B36AD4" w:rsidP="00B36AD4">
      <w:pPr>
        <w:rPr>
          <w:b/>
          <w:sz w:val="24"/>
        </w:rPr>
      </w:pPr>
      <w:r w:rsidRPr="000969A9">
        <w:rPr>
          <w:b/>
          <w:sz w:val="24"/>
        </w:rPr>
        <w:t>Figure 6, risk factors</w:t>
      </w:r>
    </w:p>
    <w:p w:rsidR="00B36AD4" w:rsidRDefault="00B36AD4" w:rsidP="00B36AD4">
      <w:pPr>
        <w:jc w:val="both"/>
        <w:rPr>
          <w:sz w:val="24"/>
        </w:rPr>
      </w:pPr>
      <w:r>
        <w:rPr>
          <w:sz w:val="24"/>
        </w:rPr>
        <w:t>This is the contribution of individual risk factors to the overall burden, measured in DALYs. Given that the question for the UK is “what has contributed to the recent stalling in life expectancy”, this figure starts unravelling how risk factors have improved over the years, and how several have stopped decreasing in recent years. Risk factors like dietary risks or high blood pressure, whose contribution to the burden had been diminishing steadily over the previous years, no longer decrease in importance in recent years.</w:t>
      </w:r>
      <w:r>
        <w:rPr>
          <w:noProof/>
          <w:lang w:eastAsia="fr-FR"/>
        </w:rPr>
        <w:drawing>
          <wp:inline distT="0" distB="0" distL="0" distR="0" wp14:anchorId="72B0534B" wp14:editId="71784E0B">
            <wp:extent cx="5425440" cy="2887980"/>
            <wp:effectExtent l="0" t="0" r="3810" b="7620"/>
            <wp:docPr id="7" name="Picture"/>
            <wp:cNvGraphicFramePr/>
            <a:graphic xmlns:a="http://schemas.openxmlformats.org/drawingml/2006/main">
              <a:graphicData uri="http://schemas.openxmlformats.org/drawingml/2006/picture">
                <pic:pic xmlns:pic="http://schemas.openxmlformats.org/drawingml/2006/picture">
                  <pic:nvPicPr>
                    <pic:cNvPr id="0" name="Picture" descr="England_files/figure-docx/risks-1.png"/>
                    <pic:cNvPicPr>
                      <a:picLocks noChangeAspect="1" noChangeArrowheads="1"/>
                    </pic:cNvPicPr>
                  </pic:nvPicPr>
                  <pic:blipFill>
                    <a:blip r:embed="rId15"/>
                    <a:stretch>
                      <a:fillRect/>
                    </a:stretch>
                  </pic:blipFill>
                  <pic:spPr bwMode="auto">
                    <a:xfrm>
                      <a:off x="0" y="0"/>
                      <a:ext cx="5426738" cy="2888671"/>
                    </a:xfrm>
                    <a:prstGeom prst="rect">
                      <a:avLst/>
                    </a:prstGeom>
                    <a:noFill/>
                    <a:ln w="9525">
                      <a:noFill/>
                      <a:headEnd/>
                      <a:tailEnd/>
                    </a:ln>
                  </pic:spPr>
                </pic:pic>
              </a:graphicData>
            </a:graphic>
          </wp:inline>
        </w:drawing>
      </w:r>
    </w:p>
    <w:p w:rsidR="00B36AD4" w:rsidRPr="000969A9" w:rsidRDefault="00B36AD4" w:rsidP="00B36AD4">
      <w:pPr>
        <w:rPr>
          <w:b/>
          <w:sz w:val="24"/>
        </w:rPr>
      </w:pPr>
      <w:r w:rsidRPr="000969A9">
        <w:rPr>
          <w:b/>
          <w:sz w:val="24"/>
        </w:rPr>
        <w:t>Figure 7, DALY breakdown</w:t>
      </w:r>
    </w:p>
    <w:p w:rsidR="00B36AD4" w:rsidRDefault="00B36AD4" w:rsidP="00B36AD4">
      <w:pPr>
        <w:jc w:val="both"/>
        <w:rPr>
          <w:sz w:val="24"/>
        </w:rPr>
      </w:pPr>
      <w:r>
        <w:rPr>
          <w:sz w:val="24"/>
        </w:rPr>
        <w:t>As mentioned above, this chart shows which year-on-year decreases in main conditions account for overall changes in the burden of disease. CVD and cancer, and to a lesser extent respiratory conditions, brought about major improvements between 1990 and roughly 2010 and stalled ever after. This pattern is found in most comparable countries.</w:t>
      </w:r>
    </w:p>
    <w:p w:rsidR="00B36AD4" w:rsidRDefault="00B36AD4" w:rsidP="00B36AD4">
      <w:pPr>
        <w:rPr>
          <w:sz w:val="24"/>
        </w:rPr>
      </w:pPr>
    </w:p>
    <w:p w:rsidR="00B36AD4" w:rsidRDefault="00B36AD4" w:rsidP="00B36AD4">
      <w:pPr>
        <w:rPr>
          <w:sz w:val="24"/>
        </w:rPr>
      </w:pPr>
      <w:r>
        <w:rPr>
          <w:noProof/>
          <w:lang w:eastAsia="fr-FR"/>
        </w:rPr>
        <w:lastRenderedPageBreak/>
        <w:drawing>
          <wp:inline distT="0" distB="0" distL="0" distR="0" wp14:anchorId="2F56E81E" wp14:editId="3413A4EF">
            <wp:extent cx="5387340" cy="2735580"/>
            <wp:effectExtent l="0" t="0" r="3810" b="7620"/>
            <wp:docPr id="11" name="Picture"/>
            <wp:cNvGraphicFramePr/>
            <a:graphic xmlns:a="http://schemas.openxmlformats.org/drawingml/2006/main">
              <a:graphicData uri="http://schemas.openxmlformats.org/drawingml/2006/picture">
                <pic:pic xmlns:pic="http://schemas.openxmlformats.org/drawingml/2006/picture">
                  <pic:nvPicPr>
                    <pic:cNvPr id="0" name="Picture" descr="England_files/figure-docx/causes-1.png"/>
                    <pic:cNvPicPr>
                      <a:picLocks noChangeAspect="1" noChangeArrowheads="1"/>
                    </pic:cNvPicPr>
                  </pic:nvPicPr>
                  <pic:blipFill>
                    <a:blip r:embed="rId16"/>
                    <a:stretch>
                      <a:fillRect/>
                    </a:stretch>
                  </pic:blipFill>
                  <pic:spPr bwMode="auto">
                    <a:xfrm>
                      <a:off x="0" y="0"/>
                      <a:ext cx="5388630" cy="2736235"/>
                    </a:xfrm>
                    <a:prstGeom prst="rect">
                      <a:avLst/>
                    </a:prstGeom>
                    <a:noFill/>
                    <a:ln w="9525">
                      <a:noFill/>
                      <a:headEnd/>
                      <a:tailEnd/>
                    </a:ln>
                  </pic:spPr>
                </pic:pic>
              </a:graphicData>
            </a:graphic>
          </wp:inline>
        </w:drawing>
      </w:r>
    </w:p>
    <w:p w:rsidR="00B36AD4" w:rsidRDefault="00B36AD4" w:rsidP="00B36AD4">
      <w:pPr>
        <w:rPr>
          <w:sz w:val="24"/>
        </w:rPr>
      </w:pPr>
    </w:p>
    <w:p w:rsidR="00B36AD4" w:rsidRPr="000969A9" w:rsidRDefault="00B36AD4" w:rsidP="00B36AD4">
      <w:pPr>
        <w:rPr>
          <w:b/>
          <w:sz w:val="24"/>
        </w:rPr>
      </w:pPr>
      <w:r w:rsidRPr="000969A9">
        <w:rPr>
          <w:b/>
          <w:sz w:val="24"/>
        </w:rPr>
        <w:t>Figure 8, Healthcare Access and Quality Index</w:t>
      </w:r>
    </w:p>
    <w:p w:rsidR="00B36AD4" w:rsidRDefault="00B36AD4" w:rsidP="00B36AD4">
      <w:pPr>
        <w:jc w:val="both"/>
        <w:rPr>
          <w:sz w:val="24"/>
        </w:rPr>
      </w:pPr>
      <w:r>
        <w:rPr>
          <w:sz w:val="24"/>
        </w:rPr>
        <w:t>This proxy measure for quality of health services shows that in England testicular cancer, rheumatic heart disease, leukaemia, and chronic kidney disease are rather well treated, reaching the highest percentile of the index. CVD and a range of cancers are equally among the higher levels of the distribution, confirming the contribution of the health services to the improvements in life expectancy, but not the recent stalling.</w:t>
      </w:r>
    </w:p>
    <w:p w:rsidR="00B36AD4" w:rsidRPr="00472AD3" w:rsidRDefault="00B36AD4" w:rsidP="00B36AD4">
      <w:pPr>
        <w:rPr>
          <w:rFonts w:cs="Times New Roman"/>
          <w:sz w:val="24"/>
          <w:szCs w:val="24"/>
        </w:rPr>
      </w:pPr>
      <w:r>
        <w:rPr>
          <w:noProof/>
          <w:lang w:eastAsia="fr-FR"/>
        </w:rPr>
        <w:drawing>
          <wp:inline distT="0" distB="0" distL="0" distR="0" wp14:anchorId="70AB3D16" wp14:editId="74537425">
            <wp:extent cx="5160397" cy="2403475"/>
            <wp:effectExtent l="0" t="0" r="2540" b="0"/>
            <wp:docPr id="12" name="Picture"/>
            <wp:cNvGraphicFramePr/>
            <a:graphic xmlns:a="http://schemas.openxmlformats.org/drawingml/2006/main">
              <a:graphicData uri="http://schemas.openxmlformats.org/drawingml/2006/picture">
                <pic:pic xmlns:pic="http://schemas.openxmlformats.org/drawingml/2006/picture">
                  <pic:nvPicPr>
                    <pic:cNvPr id="0" name="Picture" descr="England_files/figure-docx/haq-1.png"/>
                    <pic:cNvPicPr>
                      <a:picLocks noChangeAspect="1" noChangeArrowheads="1"/>
                    </pic:cNvPicPr>
                  </pic:nvPicPr>
                  <pic:blipFill>
                    <a:blip r:embed="rId17"/>
                    <a:stretch>
                      <a:fillRect/>
                    </a:stretch>
                  </pic:blipFill>
                  <pic:spPr bwMode="auto">
                    <a:xfrm>
                      <a:off x="0" y="0"/>
                      <a:ext cx="5166932" cy="2406519"/>
                    </a:xfrm>
                    <a:prstGeom prst="rect">
                      <a:avLst/>
                    </a:prstGeom>
                    <a:noFill/>
                    <a:ln w="9525">
                      <a:noFill/>
                      <a:headEnd/>
                      <a:tailEnd/>
                    </a:ln>
                  </pic:spPr>
                </pic:pic>
              </a:graphicData>
            </a:graphic>
          </wp:inline>
        </w:drawing>
      </w:r>
    </w:p>
    <w:p w:rsidR="00B36AD4" w:rsidRPr="00472AD3" w:rsidRDefault="00B36AD4" w:rsidP="00B36AD4">
      <w:pPr>
        <w:jc w:val="both"/>
        <w:rPr>
          <w:rFonts w:cs="Times New Roman"/>
          <w:b/>
          <w:sz w:val="24"/>
          <w:szCs w:val="24"/>
        </w:rPr>
      </w:pPr>
    </w:p>
    <w:p w:rsidR="00B36AD4" w:rsidRDefault="00B36AD4" w:rsidP="00B36AD4">
      <w:pPr>
        <w:pStyle w:val="Titre2"/>
        <w:numPr>
          <w:ilvl w:val="0"/>
          <w:numId w:val="0"/>
        </w:numPr>
        <w:rPr>
          <w:rFonts w:eastAsiaTheme="minorHAnsi" w:cs="Times New Roman"/>
          <w:bCs w:val="0"/>
          <w:color w:val="auto"/>
          <w:sz w:val="24"/>
          <w:szCs w:val="24"/>
        </w:rPr>
      </w:pPr>
    </w:p>
    <w:p w:rsidR="00B36AD4" w:rsidRPr="006533B1" w:rsidRDefault="00B36AD4" w:rsidP="00B36AD4">
      <w:pPr>
        <w:pStyle w:val="Titre2"/>
      </w:pPr>
      <w:bookmarkStart w:id="37" w:name="_Toc53067370"/>
      <w:r>
        <w:t>Additional file 2</w:t>
      </w:r>
      <w:bookmarkEnd w:id="37"/>
    </w:p>
    <w:tbl>
      <w:tblPr>
        <w:tblpPr w:leftFromText="141" w:rightFromText="141" w:vertAnchor="page" w:horzAnchor="margin" w:tblpY="244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134"/>
        <w:gridCol w:w="1276"/>
        <w:gridCol w:w="1134"/>
        <w:gridCol w:w="1843"/>
        <w:gridCol w:w="3827"/>
      </w:tblGrid>
      <w:tr w:rsidR="00B36AD4" w:rsidRPr="00472AD3" w:rsidTr="00402BF6">
        <w:trPr>
          <w:trHeight w:val="819"/>
        </w:trPr>
        <w:tc>
          <w:tcPr>
            <w:tcW w:w="704" w:type="dxa"/>
            <w:shd w:val="clear" w:color="000000" w:fill="A5A5A5"/>
          </w:tcPr>
          <w:p w:rsidR="00B36AD4" w:rsidRPr="00472AD3" w:rsidRDefault="00B36AD4" w:rsidP="00402BF6">
            <w:pPr>
              <w:spacing w:after="0" w:line="240" w:lineRule="auto"/>
              <w:rPr>
                <w:rFonts w:cs="Times New Roman"/>
                <w:b/>
                <w:bCs/>
                <w:sz w:val="20"/>
                <w:szCs w:val="20"/>
                <w:lang w:eastAsia="fr-FR"/>
              </w:rPr>
            </w:pPr>
            <w:r>
              <w:rPr>
                <w:rFonts w:cs="Times New Roman"/>
                <w:b/>
                <w:bCs/>
                <w:noProof/>
                <w:sz w:val="20"/>
                <w:szCs w:val="20"/>
                <w:lang w:eastAsia="fr-FR"/>
              </w:rPr>
              <w:lastRenderedPageBreak/>
              <mc:AlternateContent>
                <mc:Choice Requires="wps">
                  <w:drawing>
                    <wp:anchor distT="0" distB="0" distL="114300" distR="114300" simplePos="0" relativeHeight="251659264" behindDoc="0" locked="0" layoutInCell="1" allowOverlap="1" wp14:anchorId="409B92B9" wp14:editId="2B58909C">
                      <wp:simplePos x="0" y="0"/>
                      <wp:positionH relativeFrom="column">
                        <wp:posOffset>-200025</wp:posOffset>
                      </wp:positionH>
                      <wp:positionV relativeFrom="paragraph">
                        <wp:posOffset>-644525</wp:posOffset>
                      </wp:positionV>
                      <wp:extent cx="6804561" cy="352425"/>
                      <wp:effectExtent l="0" t="0" r="0" b="9525"/>
                      <wp:wrapNone/>
                      <wp:docPr id="5" name="Zone de texte 5"/>
                      <wp:cNvGraphicFramePr/>
                      <a:graphic xmlns:a="http://schemas.openxmlformats.org/drawingml/2006/main">
                        <a:graphicData uri="http://schemas.microsoft.com/office/word/2010/wordprocessingShape">
                          <wps:wsp>
                            <wps:cNvSpPr txBox="1"/>
                            <wps:spPr>
                              <a:xfrm>
                                <a:off x="0" y="0"/>
                                <a:ext cx="6804561" cy="352425"/>
                              </a:xfrm>
                              <a:prstGeom prst="rect">
                                <a:avLst/>
                              </a:prstGeom>
                              <a:solidFill>
                                <a:schemeClr val="lt1"/>
                              </a:solidFill>
                              <a:ln w="6350">
                                <a:noFill/>
                              </a:ln>
                            </wps:spPr>
                            <wps:txbx>
                              <w:txbxContent>
                                <w:p w:rsidR="00B36AD4" w:rsidRDefault="00B36AD4" w:rsidP="00B36AD4">
                                  <w:r w:rsidRPr="00472AD3">
                                    <w:rPr>
                                      <w:color w:val="68AB3B"/>
                                      <w:sz w:val="24"/>
                                      <w:szCs w:val="24"/>
                                    </w:rPr>
                                    <w:t>Abbreviation of European Countries with respondents’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9B92B9" id="_x0000_t202" coordsize="21600,21600" o:spt="202" path="m,l,21600r21600,l21600,xe">
                      <v:stroke joinstyle="miter"/>
                      <v:path gradientshapeok="t" o:connecttype="rect"/>
                    </v:shapetype>
                    <v:shape id="Zone de texte 5" o:spid="_x0000_s1026" type="#_x0000_t202" style="position:absolute;margin-left:-15.75pt;margin-top:-50.75pt;width:535.8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" fillcolor="white [3201]" stroked="f" strokeweight=".5pt">
                      <v:textbox>
                        <w:txbxContent>
                          <w:p w:rsidR="00B36AD4" w:rsidRDefault="00B36AD4" w:rsidP="00B36AD4">
                            <w:r w:rsidRPr="00472AD3">
                              <w:rPr>
                                <w:color w:val="68AB3B"/>
                                <w:sz w:val="24"/>
                                <w:szCs w:val="24"/>
                              </w:rPr>
                              <w:t>Abbreviation of European Countries with respondents’ information</w:t>
                            </w:r>
                          </w:p>
                        </w:txbxContent>
                      </v:textbox>
                    </v:shape>
                  </w:pict>
                </mc:Fallback>
              </mc:AlternateContent>
            </w:r>
          </w:p>
          <w:p w:rsidR="00B36AD4" w:rsidRPr="00472AD3" w:rsidRDefault="00B36AD4" w:rsidP="00402BF6">
            <w:pPr>
              <w:spacing w:after="0" w:line="240" w:lineRule="auto"/>
              <w:rPr>
                <w:rFonts w:cs="Times New Roman"/>
                <w:b/>
                <w:bCs/>
                <w:sz w:val="20"/>
                <w:szCs w:val="20"/>
                <w:lang w:eastAsia="fr-FR"/>
              </w:rPr>
            </w:pPr>
            <w:r w:rsidRPr="00472AD3">
              <w:rPr>
                <w:rFonts w:cs="Times New Roman"/>
                <w:b/>
                <w:bCs/>
                <w:sz w:val="20"/>
                <w:szCs w:val="20"/>
                <w:lang w:eastAsia="fr-FR"/>
              </w:rPr>
              <w:t>S/No</w:t>
            </w:r>
          </w:p>
        </w:tc>
        <w:tc>
          <w:tcPr>
            <w:tcW w:w="1134" w:type="dxa"/>
            <w:shd w:val="clear" w:color="000000" w:fill="A5A5A5"/>
            <w:vAlign w:val="bottom"/>
            <w:hideMark/>
          </w:tcPr>
          <w:p w:rsidR="00B36AD4" w:rsidRPr="00472AD3" w:rsidRDefault="00B36AD4" w:rsidP="00402BF6">
            <w:pPr>
              <w:spacing w:after="0" w:line="240" w:lineRule="auto"/>
              <w:rPr>
                <w:rFonts w:cs="Times New Roman"/>
                <w:b/>
                <w:bCs/>
                <w:sz w:val="20"/>
                <w:szCs w:val="20"/>
                <w:lang w:eastAsia="fr-FR"/>
              </w:rPr>
            </w:pPr>
            <w:r w:rsidRPr="00472AD3">
              <w:rPr>
                <w:rFonts w:cs="Times New Roman"/>
                <w:b/>
                <w:bCs/>
                <w:sz w:val="20"/>
                <w:szCs w:val="20"/>
                <w:lang w:eastAsia="fr-FR"/>
              </w:rPr>
              <w:t xml:space="preserve">Abbreviations </w:t>
            </w:r>
          </w:p>
        </w:tc>
        <w:tc>
          <w:tcPr>
            <w:tcW w:w="1276" w:type="dxa"/>
            <w:shd w:val="clear" w:color="000000" w:fill="A5A5A5"/>
            <w:noWrap/>
            <w:vAlign w:val="bottom"/>
            <w:hideMark/>
          </w:tcPr>
          <w:p w:rsidR="00B36AD4" w:rsidRPr="00472AD3" w:rsidRDefault="00B36AD4" w:rsidP="00402BF6">
            <w:pPr>
              <w:spacing w:after="0" w:line="240" w:lineRule="auto"/>
              <w:rPr>
                <w:rFonts w:cs="Times New Roman"/>
                <w:b/>
                <w:bCs/>
                <w:sz w:val="20"/>
                <w:szCs w:val="20"/>
                <w:lang w:eastAsia="fr-FR"/>
              </w:rPr>
            </w:pPr>
            <w:r w:rsidRPr="00472AD3">
              <w:rPr>
                <w:rFonts w:cs="Times New Roman"/>
                <w:b/>
                <w:bCs/>
                <w:sz w:val="20"/>
                <w:szCs w:val="20"/>
                <w:lang w:eastAsia="fr-FR"/>
              </w:rPr>
              <w:t>Country</w:t>
            </w:r>
          </w:p>
        </w:tc>
        <w:tc>
          <w:tcPr>
            <w:tcW w:w="1134" w:type="dxa"/>
            <w:shd w:val="clear" w:color="000000" w:fill="A5A5A5"/>
            <w:noWrap/>
            <w:vAlign w:val="bottom"/>
            <w:hideMark/>
          </w:tcPr>
          <w:p w:rsidR="00B36AD4" w:rsidRPr="00472AD3" w:rsidRDefault="00B36AD4" w:rsidP="00402BF6">
            <w:pPr>
              <w:spacing w:after="0" w:line="240" w:lineRule="auto"/>
              <w:rPr>
                <w:rFonts w:cs="Times New Roman"/>
                <w:b/>
                <w:bCs/>
                <w:sz w:val="20"/>
                <w:szCs w:val="20"/>
                <w:lang w:eastAsia="fr-FR"/>
              </w:rPr>
            </w:pPr>
            <w:r w:rsidRPr="00472AD3">
              <w:rPr>
                <w:rFonts w:cs="Times New Roman"/>
                <w:b/>
                <w:bCs/>
                <w:sz w:val="20"/>
                <w:szCs w:val="20"/>
                <w:lang w:eastAsia="fr-FR"/>
              </w:rPr>
              <w:t>First name</w:t>
            </w:r>
          </w:p>
        </w:tc>
        <w:tc>
          <w:tcPr>
            <w:tcW w:w="1843" w:type="dxa"/>
            <w:shd w:val="clear" w:color="000000" w:fill="A5A5A5"/>
            <w:noWrap/>
            <w:vAlign w:val="bottom"/>
            <w:hideMark/>
          </w:tcPr>
          <w:p w:rsidR="00B36AD4" w:rsidRPr="00472AD3" w:rsidRDefault="00B36AD4" w:rsidP="00402BF6">
            <w:pPr>
              <w:spacing w:after="0" w:line="240" w:lineRule="auto"/>
              <w:rPr>
                <w:rFonts w:cs="Times New Roman"/>
                <w:b/>
                <w:bCs/>
                <w:sz w:val="20"/>
                <w:szCs w:val="20"/>
                <w:lang w:eastAsia="fr-FR"/>
              </w:rPr>
            </w:pPr>
            <w:r w:rsidRPr="00472AD3">
              <w:rPr>
                <w:rFonts w:cs="Times New Roman"/>
                <w:b/>
                <w:bCs/>
                <w:sz w:val="20"/>
                <w:szCs w:val="20"/>
                <w:lang w:eastAsia="fr-FR"/>
              </w:rPr>
              <w:t>Last name</w:t>
            </w:r>
          </w:p>
        </w:tc>
        <w:tc>
          <w:tcPr>
            <w:tcW w:w="3827" w:type="dxa"/>
            <w:shd w:val="clear" w:color="000000" w:fill="A5A5A5"/>
            <w:vAlign w:val="bottom"/>
            <w:hideMark/>
          </w:tcPr>
          <w:p w:rsidR="00B36AD4" w:rsidRPr="00472AD3" w:rsidRDefault="00B36AD4" w:rsidP="00402BF6">
            <w:pPr>
              <w:spacing w:after="0" w:line="240" w:lineRule="auto"/>
              <w:rPr>
                <w:rFonts w:cs="Times New Roman"/>
                <w:b/>
                <w:bCs/>
                <w:sz w:val="20"/>
                <w:szCs w:val="20"/>
                <w:lang w:eastAsia="fr-FR"/>
              </w:rPr>
            </w:pPr>
            <w:r w:rsidRPr="00472AD3">
              <w:rPr>
                <w:rFonts w:cs="Times New Roman"/>
                <w:b/>
                <w:bCs/>
                <w:sz w:val="20"/>
                <w:szCs w:val="20"/>
                <w:lang w:eastAsia="fr-FR"/>
              </w:rPr>
              <w:t>Institute</w:t>
            </w:r>
          </w:p>
        </w:tc>
      </w:tr>
      <w:tr w:rsidR="00B36AD4" w:rsidRPr="00472AD3" w:rsidTr="00402BF6">
        <w:trPr>
          <w:trHeight w:val="476"/>
        </w:trPr>
        <w:tc>
          <w:tcPr>
            <w:tcW w:w="704" w:type="dxa"/>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1</w:t>
            </w: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AT</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Austria</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rPr>
            </w:pPr>
            <w:r w:rsidRPr="00472AD3">
              <w:rPr>
                <w:rFonts w:cs="Times New Roman"/>
                <w:sz w:val="20"/>
                <w:szCs w:val="20"/>
              </w:rPr>
              <w:t xml:space="preserve">Robert </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rPr>
            </w:pPr>
            <w:r w:rsidRPr="00472AD3">
              <w:rPr>
                <w:rFonts w:cs="Times New Roman"/>
                <w:sz w:val="20"/>
                <w:szCs w:val="20"/>
              </w:rPr>
              <w:t>Griebler</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Austrian National Public Health Insititue (GÖG)</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2</w:t>
            </w: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BE</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Belgium</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 xml:space="preserve">Brecht </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rPr>
              <w:t>Devleesschauwer</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Sciensano, National Public Health institute</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3</w:t>
            </w: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HR</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Croatia</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Jelena</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Dimniakovic</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rPr>
              <w:t>National Institute of public health, division of health informatics and biostatistics</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4</w:t>
            </w: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CY</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Cyprus</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 xml:space="preserve">Vasos </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Scoutellas</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rPr>
              <w:t>Health Monitoring Unit; Ministry of Health</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5</w:t>
            </w: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CZ</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Czech Republic</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rPr>
              <w:t>Ondřej</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rPr>
              <w:t>Májek</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rPr>
              <w:t>Institute of health information and statistics of</w:t>
            </w:r>
            <w:r>
              <w:rPr>
                <w:rFonts w:cs="Times New Roman"/>
                <w:sz w:val="20"/>
                <w:szCs w:val="20"/>
              </w:rPr>
              <w:t xml:space="preserve"> the</w:t>
            </w:r>
            <w:r w:rsidRPr="00472AD3">
              <w:rPr>
                <w:rFonts w:cs="Times New Roman"/>
                <w:sz w:val="20"/>
                <w:szCs w:val="20"/>
              </w:rPr>
              <w:t xml:space="preserve"> Czech Republic</w:t>
            </w:r>
          </w:p>
        </w:tc>
      </w:tr>
      <w:tr w:rsidR="00B36AD4" w:rsidRPr="00472AD3" w:rsidTr="00402BF6">
        <w:trPr>
          <w:trHeight w:val="679"/>
        </w:trPr>
        <w:tc>
          <w:tcPr>
            <w:tcW w:w="704" w:type="dxa"/>
          </w:tcPr>
          <w:p w:rsidR="00B36AD4" w:rsidRPr="00472AD3" w:rsidRDefault="00B36AD4" w:rsidP="00402BF6">
            <w:pPr>
              <w:spacing w:before="240" w:after="0" w:line="240" w:lineRule="auto"/>
              <w:rPr>
                <w:rFonts w:cs="Times New Roman"/>
                <w:sz w:val="20"/>
                <w:szCs w:val="20"/>
                <w:lang w:eastAsia="fr-FR"/>
              </w:rPr>
            </w:pPr>
            <w:r>
              <w:rPr>
                <w:rFonts w:cs="Times New Roman"/>
                <w:sz w:val="20"/>
                <w:szCs w:val="20"/>
                <w:lang w:eastAsia="fr-FR"/>
              </w:rPr>
              <w:t>6</w:t>
            </w:r>
          </w:p>
        </w:tc>
        <w:tc>
          <w:tcPr>
            <w:tcW w:w="1134" w:type="dxa"/>
            <w:shd w:val="clear" w:color="auto" w:fill="auto"/>
            <w:noWrap/>
            <w:vAlign w:val="bottom"/>
            <w:hideMark/>
          </w:tcPr>
          <w:p w:rsidR="00B36AD4" w:rsidRPr="00C17744" w:rsidRDefault="00B36AD4" w:rsidP="00402BF6">
            <w:pPr>
              <w:spacing w:before="240" w:after="0" w:line="240" w:lineRule="auto"/>
              <w:rPr>
                <w:rFonts w:cs="Times New Roman"/>
                <w:sz w:val="20"/>
                <w:szCs w:val="20"/>
                <w:lang w:eastAsia="fr-FR"/>
              </w:rPr>
            </w:pPr>
            <w:r w:rsidRPr="00C17744">
              <w:rPr>
                <w:rFonts w:cs="Times New Roman"/>
                <w:sz w:val="20"/>
                <w:szCs w:val="20"/>
                <w:lang w:eastAsia="fr-FR"/>
              </w:rPr>
              <w:t>DK</w:t>
            </w:r>
          </w:p>
        </w:tc>
        <w:tc>
          <w:tcPr>
            <w:tcW w:w="1276" w:type="dxa"/>
            <w:shd w:val="clear" w:color="auto" w:fill="auto"/>
            <w:noWrap/>
            <w:vAlign w:val="bottom"/>
            <w:hideMark/>
          </w:tcPr>
          <w:p w:rsidR="00B36AD4" w:rsidRPr="00C17744" w:rsidRDefault="00B36AD4" w:rsidP="00402BF6">
            <w:pPr>
              <w:spacing w:before="240" w:after="0" w:line="240" w:lineRule="auto"/>
              <w:rPr>
                <w:rFonts w:cs="Times New Roman"/>
                <w:bCs/>
                <w:sz w:val="20"/>
                <w:szCs w:val="20"/>
                <w:lang w:eastAsia="fr-FR"/>
              </w:rPr>
            </w:pPr>
            <w:r w:rsidRPr="00C17744">
              <w:rPr>
                <w:rFonts w:cs="Times New Roman"/>
                <w:bCs/>
                <w:sz w:val="20"/>
                <w:szCs w:val="20"/>
                <w:lang w:eastAsia="fr-FR"/>
              </w:rPr>
              <w:t>Denmark</w:t>
            </w:r>
          </w:p>
        </w:tc>
        <w:tc>
          <w:tcPr>
            <w:tcW w:w="1134" w:type="dxa"/>
            <w:shd w:val="clear" w:color="auto" w:fill="auto"/>
            <w:noWrap/>
            <w:vAlign w:val="bottom"/>
          </w:tcPr>
          <w:p w:rsidR="00B36AD4" w:rsidRPr="00472AD3" w:rsidRDefault="00B36AD4" w:rsidP="00402BF6">
            <w:pPr>
              <w:spacing w:before="240" w:after="0" w:line="240" w:lineRule="auto"/>
              <w:rPr>
                <w:rFonts w:cs="Times New Roman"/>
                <w:sz w:val="20"/>
                <w:szCs w:val="20"/>
                <w:lang w:eastAsia="fr-FR"/>
              </w:rPr>
            </w:pPr>
            <w:r>
              <w:rPr>
                <w:rFonts w:cs="Times New Roman"/>
                <w:sz w:val="20"/>
                <w:szCs w:val="20"/>
                <w:lang w:eastAsia="fr-FR"/>
              </w:rPr>
              <w:t>Janne</w:t>
            </w:r>
          </w:p>
        </w:tc>
        <w:tc>
          <w:tcPr>
            <w:tcW w:w="1843" w:type="dxa"/>
            <w:shd w:val="clear" w:color="auto" w:fill="auto"/>
            <w:noWrap/>
            <w:vAlign w:val="bottom"/>
          </w:tcPr>
          <w:p w:rsidR="00B36AD4" w:rsidRPr="00472AD3" w:rsidRDefault="00B36AD4" w:rsidP="00402BF6">
            <w:pPr>
              <w:spacing w:before="240" w:after="0" w:line="240" w:lineRule="auto"/>
              <w:rPr>
                <w:rFonts w:cs="Times New Roman"/>
                <w:sz w:val="20"/>
                <w:szCs w:val="20"/>
                <w:lang w:eastAsia="fr-FR"/>
              </w:rPr>
            </w:pPr>
            <w:r>
              <w:rPr>
                <w:rFonts w:cs="Times New Roman"/>
                <w:sz w:val="20"/>
                <w:szCs w:val="20"/>
                <w:lang w:eastAsia="fr-FR"/>
              </w:rPr>
              <w:t>Tolstrup</w:t>
            </w:r>
          </w:p>
        </w:tc>
        <w:tc>
          <w:tcPr>
            <w:tcW w:w="3827" w:type="dxa"/>
            <w:shd w:val="clear" w:color="auto" w:fill="auto"/>
            <w:vAlign w:val="bottom"/>
          </w:tcPr>
          <w:p w:rsidR="00B36AD4" w:rsidRPr="00C17744" w:rsidRDefault="00B36AD4" w:rsidP="00402BF6">
            <w:pPr>
              <w:rPr>
                <w:rFonts w:cs="Calibri"/>
                <w:sz w:val="20"/>
                <w:szCs w:val="20"/>
              </w:rPr>
            </w:pPr>
            <w:r w:rsidRPr="00C17744">
              <w:rPr>
                <w:rFonts w:cs="Calibri"/>
                <w:sz w:val="20"/>
                <w:szCs w:val="20"/>
              </w:rPr>
              <w:t>National Institute of Public Health, Denmark</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7</w:t>
            </w:r>
          </w:p>
        </w:tc>
        <w:tc>
          <w:tcPr>
            <w:tcW w:w="1134" w:type="dxa"/>
            <w:shd w:val="clear" w:color="auto" w:fill="auto"/>
            <w:noWrap/>
            <w:vAlign w:val="bottom"/>
            <w:hideMark/>
          </w:tcPr>
          <w:p w:rsidR="00B36AD4" w:rsidRPr="002C0372" w:rsidRDefault="00B36AD4" w:rsidP="00402BF6">
            <w:pPr>
              <w:spacing w:after="0" w:line="240" w:lineRule="auto"/>
              <w:rPr>
                <w:rFonts w:cs="Times New Roman"/>
                <w:sz w:val="20"/>
                <w:szCs w:val="20"/>
                <w:lang w:eastAsia="fr-FR"/>
              </w:rPr>
            </w:pPr>
            <w:r w:rsidRPr="002C0372">
              <w:rPr>
                <w:rFonts w:cs="Times New Roman"/>
                <w:sz w:val="20"/>
                <w:szCs w:val="20"/>
                <w:lang w:eastAsia="fr-FR"/>
              </w:rPr>
              <w:t>EE</w:t>
            </w:r>
          </w:p>
        </w:tc>
        <w:tc>
          <w:tcPr>
            <w:tcW w:w="1276" w:type="dxa"/>
            <w:shd w:val="clear" w:color="auto" w:fill="auto"/>
            <w:noWrap/>
            <w:vAlign w:val="bottom"/>
            <w:hideMark/>
          </w:tcPr>
          <w:p w:rsidR="00B36AD4" w:rsidRPr="002C0372" w:rsidRDefault="00B36AD4" w:rsidP="00402BF6">
            <w:pPr>
              <w:spacing w:after="0" w:line="240" w:lineRule="auto"/>
              <w:rPr>
                <w:rFonts w:cs="Times New Roman"/>
                <w:bCs/>
                <w:sz w:val="20"/>
                <w:szCs w:val="20"/>
                <w:lang w:eastAsia="fr-FR"/>
              </w:rPr>
            </w:pPr>
            <w:r w:rsidRPr="002C0372">
              <w:rPr>
                <w:rFonts w:cs="Times New Roman"/>
                <w:bCs/>
                <w:sz w:val="20"/>
                <w:szCs w:val="20"/>
                <w:lang w:eastAsia="fr-FR"/>
              </w:rPr>
              <w:t>Estonia</w:t>
            </w:r>
          </w:p>
        </w:tc>
        <w:tc>
          <w:tcPr>
            <w:tcW w:w="1134" w:type="dxa"/>
            <w:shd w:val="clear" w:color="auto" w:fill="auto"/>
            <w:noWrap/>
            <w:vAlign w:val="bottom"/>
          </w:tcPr>
          <w:p w:rsidR="00B36AD4" w:rsidRPr="002C0372" w:rsidRDefault="00B36AD4" w:rsidP="00402BF6">
            <w:pPr>
              <w:spacing w:after="0" w:line="240" w:lineRule="auto"/>
              <w:rPr>
                <w:rFonts w:cs="Times New Roman"/>
                <w:sz w:val="20"/>
                <w:szCs w:val="20"/>
                <w:lang w:eastAsia="fr-FR"/>
              </w:rPr>
            </w:pPr>
            <w:r w:rsidRPr="002C0372">
              <w:rPr>
                <w:rFonts w:cs="Times New Roman"/>
                <w:sz w:val="20"/>
                <w:szCs w:val="20"/>
                <w:lang w:eastAsia="fr-FR"/>
              </w:rPr>
              <w:t>Jane</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Idavain</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National Institute for Health Development</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8</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ENG</w:t>
            </w:r>
          </w:p>
        </w:tc>
        <w:tc>
          <w:tcPr>
            <w:tcW w:w="1276" w:type="dxa"/>
            <w:shd w:val="clear" w:color="auto" w:fill="auto"/>
            <w:noWrap/>
            <w:vAlign w:val="bottom"/>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England</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 xml:space="preserve">Jürgen </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Schmidt</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Public Health England</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9</w:t>
            </w: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FI</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Finland</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Hanna</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Tolonen</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rPr>
              <w:t>Finnish Institute for Health and Welfare (THL), Helsinki</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1</w:t>
            </w:r>
            <w:r>
              <w:rPr>
                <w:rFonts w:cs="Times New Roman"/>
                <w:sz w:val="20"/>
                <w:szCs w:val="20"/>
                <w:lang w:eastAsia="fr-FR"/>
              </w:rPr>
              <w:t>0</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FR</w:t>
            </w:r>
          </w:p>
        </w:tc>
        <w:tc>
          <w:tcPr>
            <w:tcW w:w="1276" w:type="dxa"/>
            <w:shd w:val="clear" w:color="auto" w:fill="auto"/>
            <w:noWrap/>
            <w:vAlign w:val="bottom"/>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France</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 xml:space="preserve">Anne </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Gallay</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Santé Publique France</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11</w:t>
            </w: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DE</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Germany</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 xml:space="preserve">Alexander </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Rommel</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Robert Koch Institute</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12</w:t>
            </w: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EL</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Greece</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Spyridon</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Goulas</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el-GR"/>
              </w:rPr>
              <w:t>National Organization for Health Care Services Provision [EOPYY]</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13</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HU</w:t>
            </w:r>
          </w:p>
        </w:tc>
        <w:tc>
          <w:tcPr>
            <w:tcW w:w="1276" w:type="dxa"/>
            <w:shd w:val="clear" w:color="auto" w:fill="auto"/>
            <w:noWrap/>
            <w:vAlign w:val="bottom"/>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Hungary</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Juhasz</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Attila</w:t>
            </w:r>
          </w:p>
        </w:tc>
        <w:tc>
          <w:tcPr>
            <w:tcW w:w="3827" w:type="dxa"/>
            <w:shd w:val="clear" w:color="auto" w:fill="auto"/>
            <w:vAlign w:val="bottom"/>
          </w:tcPr>
          <w:p w:rsidR="00B36AD4" w:rsidRPr="00680A1B" w:rsidRDefault="00B36AD4" w:rsidP="00402BF6">
            <w:pPr>
              <w:spacing w:after="0" w:line="240" w:lineRule="auto"/>
              <w:rPr>
                <w:rFonts w:cs="Times New Roman"/>
                <w:sz w:val="20"/>
                <w:szCs w:val="20"/>
                <w:lang w:eastAsia="fr-FR"/>
              </w:rPr>
            </w:pPr>
            <w:r w:rsidRPr="00680A1B">
              <w:rPr>
                <w:rFonts w:cs="Times New Roman"/>
                <w:sz w:val="20"/>
                <w:szCs w:val="20"/>
                <w:lang w:eastAsia="fr-FR"/>
              </w:rPr>
              <w:t>Ministry of Health</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14</w:t>
            </w:r>
          </w:p>
        </w:tc>
        <w:tc>
          <w:tcPr>
            <w:tcW w:w="1134" w:type="dxa"/>
            <w:shd w:val="clear" w:color="auto" w:fill="auto"/>
            <w:noWrap/>
            <w:vAlign w:val="bottom"/>
            <w:hideMark/>
          </w:tcPr>
          <w:p w:rsidR="00B36AD4" w:rsidRPr="00680A1B" w:rsidRDefault="00B36AD4" w:rsidP="00402BF6">
            <w:pPr>
              <w:spacing w:after="0" w:line="240" w:lineRule="auto"/>
              <w:rPr>
                <w:rFonts w:cs="Times New Roman"/>
                <w:sz w:val="20"/>
                <w:szCs w:val="20"/>
                <w:lang w:eastAsia="fr-FR"/>
              </w:rPr>
            </w:pPr>
            <w:r w:rsidRPr="00680A1B">
              <w:rPr>
                <w:rFonts w:cs="Times New Roman"/>
                <w:sz w:val="20"/>
                <w:szCs w:val="20"/>
                <w:lang w:eastAsia="fr-FR"/>
              </w:rPr>
              <w:t>IE</w:t>
            </w:r>
          </w:p>
        </w:tc>
        <w:tc>
          <w:tcPr>
            <w:tcW w:w="1276" w:type="dxa"/>
            <w:shd w:val="clear" w:color="auto" w:fill="auto"/>
            <w:noWrap/>
            <w:vAlign w:val="bottom"/>
            <w:hideMark/>
          </w:tcPr>
          <w:p w:rsidR="00B36AD4" w:rsidRPr="00680A1B" w:rsidRDefault="00B36AD4" w:rsidP="00402BF6">
            <w:pPr>
              <w:spacing w:after="0" w:line="240" w:lineRule="auto"/>
              <w:rPr>
                <w:rFonts w:cs="Times New Roman"/>
                <w:bCs/>
                <w:sz w:val="20"/>
                <w:szCs w:val="20"/>
                <w:lang w:eastAsia="fr-FR"/>
              </w:rPr>
            </w:pPr>
            <w:r w:rsidRPr="00680A1B">
              <w:rPr>
                <w:rFonts w:cs="Times New Roman"/>
                <w:bCs/>
                <w:sz w:val="20"/>
                <w:szCs w:val="20"/>
                <w:lang w:eastAsia="fr-FR"/>
              </w:rPr>
              <w:t>Ireland</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Shoena</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Gilsenan</w:t>
            </w:r>
          </w:p>
        </w:tc>
        <w:tc>
          <w:tcPr>
            <w:tcW w:w="3827" w:type="dxa"/>
            <w:shd w:val="clear" w:color="auto" w:fill="auto"/>
            <w:vAlign w:val="bottom"/>
          </w:tcPr>
          <w:p w:rsidR="00B36AD4" w:rsidRPr="00680A1B" w:rsidRDefault="00B36AD4" w:rsidP="00402BF6">
            <w:pPr>
              <w:rPr>
                <w:rFonts w:cs="Calibri"/>
                <w:sz w:val="20"/>
                <w:szCs w:val="20"/>
              </w:rPr>
            </w:pPr>
            <w:r w:rsidRPr="00680A1B">
              <w:rPr>
                <w:rFonts w:cs="Calibri"/>
                <w:sz w:val="20"/>
                <w:szCs w:val="20"/>
              </w:rPr>
              <w:t>Department of Health Service Executive, Ireland</w:t>
            </w:r>
          </w:p>
        </w:tc>
      </w:tr>
      <w:tr w:rsidR="00B36AD4" w:rsidRPr="00472AD3" w:rsidTr="00402BF6">
        <w:trPr>
          <w:trHeight w:val="409"/>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15</w:t>
            </w: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IT</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Italy</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Brigid</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Unim</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rPr>
              <w:t xml:space="preserve">Department of cardiovascular, </w:t>
            </w:r>
            <w:r w:rsidRPr="00472AD3">
              <w:rPr>
                <w:rFonts w:cs="Times New Roman"/>
                <w:iCs/>
                <w:sz w:val="20"/>
                <w:szCs w:val="20"/>
                <w:lang w:eastAsia="it-IT"/>
              </w:rPr>
              <w:t>Endocrine-metabolic Diseases and Aging</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16</w:t>
            </w: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LV</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Latvia</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Laura</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iCs/>
                <w:sz w:val="20"/>
                <w:szCs w:val="20"/>
                <w:lang w:eastAsia="it-IT"/>
              </w:rPr>
              <w:t>Isaieya</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Ministry of health</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17</w:t>
            </w: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LT</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Lithuania</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Ausra</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Zelviene</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val="lt-LT" w:eastAsia="lt-LT"/>
              </w:rPr>
              <w:t xml:space="preserve">Institute of Hygiene, Health information Centre </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18</w:t>
            </w:r>
          </w:p>
        </w:tc>
        <w:tc>
          <w:tcPr>
            <w:tcW w:w="1134" w:type="dxa"/>
            <w:shd w:val="clear" w:color="auto" w:fill="auto"/>
            <w:noWrap/>
            <w:vAlign w:val="bottom"/>
            <w:hideMark/>
          </w:tcPr>
          <w:p w:rsidR="00B36AD4" w:rsidRPr="00F2684E" w:rsidRDefault="00B36AD4" w:rsidP="00402BF6">
            <w:pPr>
              <w:spacing w:after="0" w:line="240" w:lineRule="auto"/>
              <w:rPr>
                <w:rFonts w:cs="Times New Roman"/>
                <w:sz w:val="20"/>
                <w:szCs w:val="20"/>
                <w:lang w:eastAsia="fr-FR"/>
              </w:rPr>
            </w:pPr>
            <w:r w:rsidRPr="00F2684E">
              <w:rPr>
                <w:rFonts w:cs="Times New Roman"/>
                <w:sz w:val="20"/>
                <w:szCs w:val="20"/>
                <w:lang w:eastAsia="fr-FR"/>
              </w:rPr>
              <w:t>MT</w:t>
            </w:r>
          </w:p>
        </w:tc>
        <w:tc>
          <w:tcPr>
            <w:tcW w:w="1276" w:type="dxa"/>
            <w:shd w:val="clear" w:color="auto" w:fill="auto"/>
            <w:noWrap/>
            <w:vAlign w:val="bottom"/>
            <w:hideMark/>
          </w:tcPr>
          <w:p w:rsidR="00B36AD4" w:rsidRPr="00F2684E" w:rsidRDefault="00B36AD4" w:rsidP="00402BF6">
            <w:pPr>
              <w:spacing w:after="0" w:line="240" w:lineRule="auto"/>
              <w:rPr>
                <w:rFonts w:cs="Times New Roman"/>
                <w:bCs/>
                <w:sz w:val="20"/>
                <w:szCs w:val="20"/>
                <w:lang w:eastAsia="fr-FR"/>
              </w:rPr>
            </w:pPr>
            <w:r w:rsidRPr="00F2684E">
              <w:rPr>
                <w:rFonts w:cs="Times New Roman"/>
                <w:bCs/>
                <w:sz w:val="20"/>
                <w:szCs w:val="20"/>
                <w:lang w:eastAsia="fr-FR"/>
              </w:rPr>
              <w:t>Malta</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Sara</w:t>
            </w:r>
          </w:p>
        </w:tc>
        <w:tc>
          <w:tcPr>
            <w:tcW w:w="1843" w:type="dxa"/>
            <w:shd w:val="clear" w:color="auto" w:fill="auto"/>
            <w:noWrap/>
            <w:vAlign w:val="bottom"/>
          </w:tcPr>
          <w:p w:rsidR="00B36AD4" w:rsidRPr="00F2684E" w:rsidRDefault="00B36AD4" w:rsidP="00402BF6">
            <w:pPr>
              <w:spacing w:after="0" w:line="240" w:lineRule="auto"/>
              <w:rPr>
                <w:rFonts w:cs="Times New Roman"/>
                <w:sz w:val="20"/>
                <w:szCs w:val="20"/>
                <w:lang w:eastAsia="fr-FR"/>
              </w:rPr>
            </w:pPr>
            <w:r w:rsidRPr="00F2684E">
              <w:rPr>
                <w:rFonts w:cs="Times New Roman"/>
                <w:sz w:val="20"/>
                <w:szCs w:val="20"/>
                <w:lang w:eastAsia="fr-FR"/>
              </w:rPr>
              <w:t>Cuschieri</w:t>
            </w:r>
          </w:p>
        </w:tc>
        <w:tc>
          <w:tcPr>
            <w:tcW w:w="3827" w:type="dxa"/>
            <w:shd w:val="clear" w:color="auto" w:fill="auto"/>
            <w:vAlign w:val="bottom"/>
          </w:tcPr>
          <w:p w:rsidR="00B36AD4" w:rsidRPr="00F2684E" w:rsidRDefault="00B36AD4" w:rsidP="00402BF6">
            <w:pPr>
              <w:rPr>
                <w:rFonts w:cs="Calibri"/>
                <w:sz w:val="20"/>
                <w:szCs w:val="20"/>
              </w:rPr>
            </w:pPr>
            <w:r w:rsidRPr="00F2684E">
              <w:rPr>
                <w:rFonts w:cs="Calibri"/>
                <w:sz w:val="20"/>
                <w:szCs w:val="20"/>
              </w:rPr>
              <w:t>Centre of Molecular medicine and Biobanking, University of Malta</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19</w:t>
            </w:r>
          </w:p>
        </w:tc>
        <w:tc>
          <w:tcPr>
            <w:tcW w:w="1134" w:type="dxa"/>
            <w:shd w:val="clear" w:color="auto" w:fill="auto"/>
            <w:noWrap/>
            <w:vAlign w:val="bottom"/>
            <w:hideMark/>
          </w:tcPr>
          <w:p w:rsidR="00B36AD4" w:rsidRPr="00F2684E" w:rsidRDefault="00B36AD4" w:rsidP="00402BF6">
            <w:pPr>
              <w:spacing w:after="0" w:line="240" w:lineRule="auto"/>
              <w:rPr>
                <w:rFonts w:cs="Times New Roman"/>
                <w:sz w:val="20"/>
                <w:szCs w:val="20"/>
                <w:lang w:eastAsia="fr-FR"/>
              </w:rPr>
            </w:pPr>
            <w:r w:rsidRPr="00F2684E">
              <w:rPr>
                <w:rFonts w:cs="Times New Roman"/>
                <w:sz w:val="20"/>
                <w:szCs w:val="20"/>
                <w:lang w:eastAsia="fr-FR"/>
              </w:rPr>
              <w:t>NL</w:t>
            </w:r>
          </w:p>
        </w:tc>
        <w:tc>
          <w:tcPr>
            <w:tcW w:w="1276" w:type="dxa"/>
            <w:shd w:val="clear" w:color="auto" w:fill="auto"/>
            <w:noWrap/>
            <w:vAlign w:val="bottom"/>
            <w:hideMark/>
          </w:tcPr>
          <w:p w:rsidR="00B36AD4" w:rsidRPr="00F2684E" w:rsidRDefault="00B36AD4" w:rsidP="00402BF6">
            <w:pPr>
              <w:spacing w:after="0" w:line="240" w:lineRule="auto"/>
              <w:rPr>
                <w:rFonts w:cs="Times New Roman"/>
                <w:bCs/>
                <w:sz w:val="20"/>
                <w:szCs w:val="20"/>
                <w:lang w:eastAsia="fr-FR"/>
              </w:rPr>
            </w:pPr>
            <w:r w:rsidRPr="00F2684E">
              <w:rPr>
                <w:rFonts w:cs="Times New Roman"/>
                <w:bCs/>
                <w:sz w:val="20"/>
                <w:szCs w:val="20"/>
                <w:lang w:eastAsia="fr-FR"/>
              </w:rPr>
              <w:t>Netherlands</w:t>
            </w:r>
          </w:p>
        </w:tc>
        <w:tc>
          <w:tcPr>
            <w:tcW w:w="1134" w:type="dxa"/>
            <w:shd w:val="clear" w:color="auto" w:fill="auto"/>
            <w:noWrap/>
            <w:vAlign w:val="bottom"/>
          </w:tcPr>
          <w:p w:rsidR="00B36AD4" w:rsidRPr="00F2684E" w:rsidRDefault="00B36AD4" w:rsidP="00402BF6">
            <w:pPr>
              <w:spacing w:after="0" w:line="240" w:lineRule="auto"/>
              <w:rPr>
                <w:rFonts w:cs="Times New Roman"/>
                <w:sz w:val="20"/>
                <w:szCs w:val="20"/>
                <w:lang w:eastAsia="fr-FR"/>
              </w:rPr>
            </w:pPr>
            <w:r w:rsidRPr="00F2684E">
              <w:rPr>
                <w:rFonts w:cs="Times New Roman"/>
                <w:sz w:val="20"/>
                <w:szCs w:val="20"/>
                <w:lang w:eastAsia="fr-FR"/>
              </w:rPr>
              <w:t>Henk</w:t>
            </w:r>
          </w:p>
        </w:tc>
        <w:tc>
          <w:tcPr>
            <w:tcW w:w="1843" w:type="dxa"/>
            <w:shd w:val="clear" w:color="auto" w:fill="auto"/>
            <w:noWrap/>
            <w:vAlign w:val="bottom"/>
          </w:tcPr>
          <w:p w:rsidR="00B36AD4" w:rsidRPr="00F2684E" w:rsidRDefault="00B36AD4" w:rsidP="00402BF6">
            <w:pPr>
              <w:spacing w:after="0" w:line="240" w:lineRule="auto"/>
              <w:rPr>
                <w:rFonts w:cs="Times New Roman"/>
                <w:sz w:val="20"/>
                <w:szCs w:val="20"/>
                <w:lang w:eastAsia="fr-FR"/>
              </w:rPr>
            </w:pPr>
            <w:r w:rsidRPr="00F2684E">
              <w:rPr>
                <w:rFonts w:cs="Times New Roman"/>
                <w:sz w:val="20"/>
                <w:szCs w:val="20"/>
                <w:lang w:eastAsia="fr-FR"/>
              </w:rPr>
              <w:t>Hilderink</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RIVM, N</w:t>
            </w:r>
            <w:r w:rsidRPr="00134E2E">
              <w:rPr>
                <w:rFonts w:cs="Times New Roman"/>
                <w:sz w:val="20"/>
                <w:szCs w:val="20"/>
                <w:lang w:eastAsia="fr-FR"/>
              </w:rPr>
              <w:t>ational Institute of Public Health and Environment</w:t>
            </w:r>
            <w:r>
              <w:rPr>
                <w:rFonts w:cs="Times New Roman"/>
                <w:sz w:val="20"/>
                <w:szCs w:val="20"/>
                <w:lang w:eastAsia="fr-FR"/>
              </w:rPr>
              <w:t>, The Netherland</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20</w:t>
            </w:r>
          </w:p>
        </w:tc>
        <w:tc>
          <w:tcPr>
            <w:tcW w:w="1134" w:type="dxa"/>
            <w:shd w:val="clear" w:color="auto" w:fill="auto"/>
            <w:noWrap/>
            <w:vAlign w:val="bottom"/>
            <w:hideMark/>
          </w:tcPr>
          <w:p w:rsidR="00B36AD4" w:rsidRPr="002C0372" w:rsidRDefault="00B36AD4" w:rsidP="00402BF6">
            <w:pPr>
              <w:spacing w:after="0" w:line="240" w:lineRule="auto"/>
              <w:rPr>
                <w:rFonts w:cs="Times New Roman"/>
                <w:sz w:val="20"/>
                <w:szCs w:val="20"/>
                <w:lang w:eastAsia="fr-FR"/>
              </w:rPr>
            </w:pPr>
            <w:r w:rsidRPr="002C0372">
              <w:rPr>
                <w:rFonts w:cs="Times New Roman"/>
                <w:sz w:val="20"/>
                <w:szCs w:val="20"/>
                <w:lang w:eastAsia="fr-FR"/>
              </w:rPr>
              <w:t>NO</w:t>
            </w:r>
          </w:p>
        </w:tc>
        <w:tc>
          <w:tcPr>
            <w:tcW w:w="1276" w:type="dxa"/>
            <w:shd w:val="clear" w:color="auto" w:fill="auto"/>
            <w:noWrap/>
            <w:vAlign w:val="bottom"/>
            <w:hideMark/>
          </w:tcPr>
          <w:p w:rsidR="00B36AD4" w:rsidRPr="002C0372" w:rsidRDefault="00B36AD4" w:rsidP="00402BF6">
            <w:pPr>
              <w:spacing w:after="0" w:line="240" w:lineRule="auto"/>
              <w:rPr>
                <w:rFonts w:cs="Times New Roman"/>
                <w:bCs/>
                <w:sz w:val="20"/>
                <w:szCs w:val="20"/>
                <w:lang w:eastAsia="fr-FR"/>
              </w:rPr>
            </w:pPr>
            <w:r w:rsidRPr="002C0372">
              <w:rPr>
                <w:rFonts w:cs="Times New Roman"/>
                <w:bCs/>
                <w:sz w:val="20"/>
                <w:szCs w:val="20"/>
                <w:lang w:eastAsia="fr-FR"/>
              </w:rPr>
              <w:t>Norway</w:t>
            </w:r>
          </w:p>
        </w:tc>
        <w:tc>
          <w:tcPr>
            <w:tcW w:w="1134" w:type="dxa"/>
            <w:shd w:val="clear" w:color="auto" w:fill="auto"/>
            <w:noWrap/>
            <w:vAlign w:val="bottom"/>
          </w:tcPr>
          <w:p w:rsidR="00B36AD4" w:rsidRPr="002C0372" w:rsidRDefault="00B36AD4" w:rsidP="00402BF6">
            <w:pPr>
              <w:spacing w:after="0" w:line="240" w:lineRule="auto"/>
              <w:rPr>
                <w:rFonts w:cs="Times New Roman"/>
                <w:sz w:val="20"/>
                <w:szCs w:val="20"/>
                <w:lang w:eastAsia="fr-FR"/>
              </w:rPr>
            </w:pPr>
            <w:r w:rsidRPr="002C0372">
              <w:rPr>
                <w:rFonts w:cs="Times New Roman"/>
                <w:sz w:val="20"/>
                <w:szCs w:val="20"/>
                <w:lang w:eastAsia="fr-FR"/>
              </w:rPr>
              <w:t>Simon</w:t>
            </w:r>
          </w:p>
        </w:tc>
        <w:tc>
          <w:tcPr>
            <w:tcW w:w="1843" w:type="dxa"/>
            <w:shd w:val="clear" w:color="auto" w:fill="auto"/>
            <w:noWrap/>
            <w:vAlign w:val="bottom"/>
          </w:tcPr>
          <w:p w:rsidR="00B36AD4" w:rsidRPr="002C0372" w:rsidRDefault="00B36AD4" w:rsidP="00402BF6">
            <w:pPr>
              <w:spacing w:after="0" w:line="240" w:lineRule="auto"/>
              <w:rPr>
                <w:rFonts w:cs="Times New Roman"/>
                <w:sz w:val="20"/>
                <w:szCs w:val="20"/>
                <w:highlight w:val="yellow"/>
                <w:lang w:eastAsia="fr-FR"/>
              </w:rPr>
            </w:pPr>
            <w:r w:rsidRPr="002C0372">
              <w:rPr>
                <w:rFonts w:cs="Times New Roman"/>
                <w:sz w:val="20"/>
                <w:szCs w:val="20"/>
              </w:rPr>
              <w:t>Øverland</w:t>
            </w:r>
          </w:p>
        </w:tc>
        <w:tc>
          <w:tcPr>
            <w:tcW w:w="3827" w:type="dxa"/>
            <w:shd w:val="clear" w:color="auto" w:fill="auto"/>
            <w:vAlign w:val="bottom"/>
          </w:tcPr>
          <w:p w:rsidR="00B36AD4" w:rsidRPr="002C0372" w:rsidRDefault="00B36AD4" w:rsidP="00402BF6">
            <w:pPr>
              <w:spacing w:after="0" w:line="240" w:lineRule="auto"/>
              <w:rPr>
                <w:rFonts w:cs="Times New Roman"/>
                <w:sz w:val="20"/>
                <w:szCs w:val="20"/>
                <w:lang w:eastAsia="fr-FR"/>
              </w:rPr>
            </w:pPr>
            <w:r w:rsidRPr="002C0372">
              <w:rPr>
                <w:rFonts w:cs="Times New Roman"/>
                <w:sz w:val="20"/>
                <w:szCs w:val="20"/>
              </w:rPr>
              <w:t>Norwegian Institute of Public Health</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21</w:t>
            </w: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PL</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Poland</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Anna</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Weszka</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The Agency for Health Technology Assessment and Tariff System, Warsaw</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22</w:t>
            </w: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PT</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Portugal</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Ricardo</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Assunção</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 xml:space="preserve">National Institute of Health Dr. Ricardo Jorge, </w:t>
            </w:r>
            <w:r w:rsidRPr="00472AD3">
              <w:rPr>
                <w:rFonts w:cs="Times New Roman"/>
                <w:sz w:val="20"/>
                <w:szCs w:val="20"/>
                <w:lang w:eastAsia="fr-FR"/>
              </w:rPr>
              <w:t>Food and Nutrition Department, Lisbon</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23</w:t>
            </w: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RO</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Romania</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 xml:space="preserve">Ciprin </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Ursu</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National Institute of Public H</w:t>
            </w:r>
            <w:r w:rsidRPr="00472AD3">
              <w:rPr>
                <w:rFonts w:cs="Times New Roman"/>
                <w:sz w:val="20"/>
                <w:szCs w:val="20"/>
                <w:lang w:eastAsia="fr-FR"/>
              </w:rPr>
              <w:t>ealth</w:t>
            </w:r>
          </w:p>
        </w:tc>
      </w:tr>
      <w:tr w:rsidR="00B36AD4" w:rsidRPr="00472AD3" w:rsidTr="00402BF6">
        <w:trPr>
          <w:trHeight w:val="390"/>
        </w:trPr>
        <w:tc>
          <w:tcPr>
            <w:tcW w:w="704" w:type="dxa"/>
          </w:tcPr>
          <w:p w:rsidR="00B36AD4" w:rsidRDefault="00B36AD4" w:rsidP="00402BF6">
            <w:pPr>
              <w:spacing w:after="0" w:line="240" w:lineRule="auto"/>
              <w:rPr>
                <w:rFonts w:cs="Times New Roman"/>
                <w:sz w:val="20"/>
                <w:szCs w:val="20"/>
                <w:lang w:eastAsia="fr-FR"/>
              </w:rPr>
            </w:pPr>
            <w:r>
              <w:rPr>
                <w:rFonts w:cs="Times New Roman"/>
                <w:sz w:val="20"/>
                <w:szCs w:val="20"/>
                <w:lang w:eastAsia="fr-FR"/>
              </w:rPr>
              <w:t>24</w:t>
            </w:r>
          </w:p>
          <w:p w:rsidR="00B36AD4" w:rsidRDefault="00B36AD4" w:rsidP="00402BF6">
            <w:pPr>
              <w:spacing w:after="0" w:line="240" w:lineRule="auto"/>
              <w:rPr>
                <w:rFonts w:cs="Times New Roman"/>
                <w:sz w:val="20"/>
                <w:szCs w:val="20"/>
                <w:lang w:eastAsia="fr-FR"/>
              </w:rPr>
            </w:pPr>
          </w:p>
          <w:p w:rsidR="00B36AD4" w:rsidRPr="00472AD3" w:rsidRDefault="00B36AD4" w:rsidP="00402BF6">
            <w:pPr>
              <w:spacing w:after="0" w:line="240" w:lineRule="auto"/>
              <w:rPr>
                <w:rFonts w:cs="Times New Roman"/>
                <w:sz w:val="20"/>
                <w:szCs w:val="20"/>
                <w:lang w:eastAsia="fr-FR"/>
              </w:rPr>
            </w:pP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RS</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Serbia</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rPr>
              <w:t>Milena</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rPr>
              <w:t>Šantrić Milićević</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rPr>
              <w:t>University of Belgrade, Faculty of Medicine, Institute of Social Medicine, School of Public Health and Health Management</w:t>
            </w:r>
          </w:p>
        </w:tc>
      </w:tr>
      <w:tr w:rsidR="00B36AD4" w:rsidRPr="00472AD3" w:rsidTr="00402BF6">
        <w:trPr>
          <w:trHeight w:val="77"/>
        </w:trPr>
        <w:tc>
          <w:tcPr>
            <w:tcW w:w="704" w:type="dxa"/>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lastRenderedPageBreak/>
              <w:t>2</w:t>
            </w:r>
            <w:r>
              <w:rPr>
                <w:rFonts w:cs="Times New Roman"/>
                <w:sz w:val="20"/>
                <w:szCs w:val="20"/>
                <w:lang w:eastAsia="fr-FR"/>
              </w:rPr>
              <w:t>5</w:t>
            </w:r>
          </w:p>
        </w:tc>
        <w:tc>
          <w:tcPr>
            <w:tcW w:w="1134" w:type="dxa"/>
            <w:shd w:val="clear" w:color="auto" w:fill="auto"/>
            <w:noWrap/>
            <w:vAlign w:val="bottom"/>
            <w:hideMark/>
          </w:tcPr>
          <w:p w:rsidR="00B36AD4" w:rsidRPr="00134E2E" w:rsidRDefault="00B36AD4" w:rsidP="00402BF6">
            <w:pPr>
              <w:spacing w:after="0" w:line="240" w:lineRule="auto"/>
              <w:rPr>
                <w:rFonts w:cs="Times New Roman"/>
                <w:sz w:val="20"/>
                <w:szCs w:val="20"/>
                <w:lang w:eastAsia="fr-FR"/>
              </w:rPr>
            </w:pPr>
            <w:r w:rsidRPr="00134E2E">
              <w:rPr>
                <w:rFonts w:cs="Times New Roman"/>
                <w:sz w:val="20"/>
                <w:szCs w:val="20"/>
                <w:lang w:eastAsia="fr-FR"/>
              </w:rPr>
              <w:t>SK</w:t>
            </w:r>
          </w:p>
        </w:tc>
        <w:tc>
          <w:tcPr>
            <w:tcW w:w="1276" w:type="dxa"/>
            <w:shd w:val="clear" w:color="auto" w:fill="auto"/>
            <w:noWrap/>
            <w:vAlign w:val="bottom"/>
            <w:hideMark/>
          </w:tcPr>
          <w:p w:rsidR="00B36AD4" w:rsidRPr="00134E2E" w:rsidRDefault="00B36AD4" w:rsidP="00402BF6">
            <w:pPr>
              <w:spacing w:after="0" w:line="240" w:lineRule="auto"/>
              <w:rPr>
                <w:rFonts w:cs="Times New Roman"/>
                <w:bCs/>
                <w:sz w:val="20"/>
                <w:szCs w:val="20"/>
                <w:lang w:eastAsia="fr-FR"/>
              </w:rPr>
            </w:pPr>
            <w:r w:rsidRPr="00134E2E">
              <w:rPr>
                <w:rFonts w:cs="Times New Roman"/>
                <w:bCs/>
                <w:sz w:val="20"/>
                <w:szCs w:val="20"/>
                <w:lang w:eastAsia="fr-FR"/>
              </w:rPr>
              <w:t>Slovakia</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Jan</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Cap</w:t>
            </w:r>
          </w:p>
        </w:tc>
        <w:tc>
          <w:tcPr>
            <w:tcW w:w="3827" w:type="dxa"/>
            <w:shd w:val="clear" w:color="auto" w:fill="auto"/>
            <w:vAlign w:val="bottom"/>
          </w:tcPr>
          <w:p w:rsidR="00B36AD4" w:rsidRPr="00B771CA" w:rsidRDefault="00B36AD4" w:rsidP="00402BF6">
            <w:pPr>
              <w:rPr>
                <w:rFonts w:cs="Calibri"/>
                <w:sz w:val="20"/>
                <w:szCs w:val="20"/>
              </w:rPr>
            </w:pPr>
            <w:r w:rsidRPr="00B771CA">
              <w:rPr>
                <w:rFonts w:cs="Calibri"/>
                <w:sz w:val="20"/>
                <w:szCs w:val="20"/>
              </w:rPr>
              <w:t>National Health Information Centre, Slovakia</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26</w:t>
            </w: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SI</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Slovenia</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Tina</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Lesnik</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rPr>
              <w:t>National Institute of Public Health [NIJZ], Ljubljana</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27</w:t>
            </w: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ES</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Spain</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Rodrigo</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rPr>
              <w:t>Sarmiento Suarez</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es-ES"/>
              </w:rPr>
              <w:t xml:space="preserve">National School of Public Health, </w:t>
            </w:r>
            <w:r>
              <w:rPr>
                <w:rFonts w:cs="Times New Roman"/>
                <w:sz w:val="20"/>
                <w:szCs w:val="20"/>
                <w:lang w:eastAsia="es-ES"/>
              </w:rPr>
              <w:t>I</w:t>
            </w:r>
            <w:r w:rsidRPr="00472AD3">
              <w:rPr>
                <w:rFonts w:cs="Times New Roman"/>
                <w:sz w:val="20"/>
                <w:szCs w:val="20"/>
                <w:lang w:val="es-ES" w:eastAsia="es-ES"/>
              </w:rPr>
              <w:t>nstituto de Salud Carlos III</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28</w:t>
            </w:r>
          </w:p>
        </w:tc>
        <w:tc>
          <w:tcPr>
            <w:tcW w:w="1134" w:type="dxa"/>
            <w:shd w:val="clear" w:color="auto" w:fill="auto"/>
            <w:noWrap/>
            <w:vAlign w:val="bottom"/>
            <w:hideMark/>
          </w:tcPr>
          <w:p w:rsidR="00B36AD4" w:rsidRPr="006C051E" w:rsidRDefault="00B36AD4" w:rsidP="00402BF6">
            <w:pPr>
              <w:spacing w:after="0" w:line="240" w:lineRule="auto"/>
              <w:rPr>
                <w:rFonts w:cs="Times New Roman"/>
                <w:sz w:val="20"/>
                <w:szCs w:val="20"/>
                <w:lang w:eastAsia="fr-FR"/>
              </w:rPr>
            </w:pPr>
            <w:r w:rsidRPr="006C051E">
              <w:rPr>
                <w:rFonts w:cs="Times New Roman"/>
                <w:sz w:val="20"/>
                <w:szCs w:val="20"/>
                <w:lang w:eastAsia="fr-FR"/>
              </w:rPr>
              <w:t>SE</w:t>
            </w:r>
          </w:p>
        </w:tc>
        <w:tc>
          <w:tcPr>
            <w:tcW w:w="1276" w:type="dxa"/>
            <w:shd w:val="clear" w:color="auto" w:fill="auto"/>
            <w:noWrap/>
            <w:vAlign w:val="bottom"/>
            <w:hideMark/>
          </w:tcPr>
          <w:p w:rsidR="00B36AD4" w:rsidRPr="006C051E" w:rsidRDefault="00B36AD4" w:rsidP="00402BF6">
            <w:pPr>
              <w:spacing w:after="0" w:line="240" w:lineRule="auto"/>
              <w:rPr>
                <w:rFonts w:cs="Times New Roman"/>
                <w:bCs/>
                <w:sz w:val="20"/>
                <w:szCs w:val="20"/>
                <w:lang w:eastAsia="fr-FR"/>
              </w:rPr>
            </w:pPr>
            <w:r w:rsidRPr="006C051E">
              <w:rPr>
                <w:rFonts w:cs="Times New Roman"/>
                <w:bCs/>
                <w:sz w:val="20"/>
                <w:szCs w:val="20"/>
                <w:lang w:eastAsia="fr-FR"/>
              </w:rPr>
              <w:t>Sweden</w:t>
            </w:r>
          </w:p>
        </w:tc>
        <w:tc>
          <w:tcPr>
            <w:tcW w:w="1134"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 xml:space="preserve">Emilie </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Agardh</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Karolinska Institute of Sweden</w:t>
            </w:r>
          </w:p>
        </w:tc>
      </w:tr>
      <w:tr w:rsidR="00B36AD4" w:rsidRPr="00472AD3" w:rsidTr="00402BF6">
        <w:trPr>
          <w:trHeight w:val="390"/>
        </w:trPr>
        <w:tc>
          <w:tcPr>
            <w:tcW w:w="704" w:type="dxa"/>
          </w:tcPr>
          <w:p w:rsidR="00B36AD4" w:rsidRPr="00472AD3" w:rsidRDefault="00B36AD4" w:rsidP="00402BF6">
            <w:pPr>
              <w:spacing w:after="0" w:line="240" w:lineRule="auto"/>
              <w:rPr>
                <w:rFonts w:cs="Times New Roman"/>
                <w:sz w:val="20"/>
                <w:szCs w:val="20"/>
                <w:lang w:eastAsia="fr-FR"/>
              </w:rPr>
            </w:pPr>
            <w:r>
              <w:rPr>
                <w:rFonts w:cs="Times New Roman"/>
                <w:sz w:val="20"/>
                <w:szCs w:val="20"/>
                <w:lang w:eastAsia="fr-FR"/>
              </w:rPr>
              <w:t>29</w:t>
            </w:r>
          </w:p>
        </w:tc>
        <w:tc>
          <w:tcPr>
            <w:tcW w:w="1134" w:type="dxa"/>
            <w:shd w:val="clear" w:color="auto" w:fill="auto"/>
            <w:noWrap/>
            <w:vAlign w:val="bottom"/>
            <w:hideMark/>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SC</w:t>
            </w:r>
          </w:p>
        </w:tc>
        <w:tc>
          <w:tcPr>
            <w:tcW w:w="1276" w:type="dxa"/>
            <w:shd w:val="clear" w:color="auto" w:fill="auto"/>
            <w:noWrap/>
            <w:vAlign w:val="bottom"/>
            <w:hideMark/>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Scotland</w:t>
            </w:r>
          </w:p>
        </w:tc>
        <w:tc>
          <w:tcPr>
            <w:tcW w:w="1134" w:type="dxa"/>
            <w:shd w:val="clear" w:color="auto" w:fill="auto"/>
            <w:noWrap/>
            <w:vAlign w:val="bottom"/>
          </w:tcPr>
          <w:p w:rsidR="00B36AD4" w:rsidRPr="00472AD3" w:rsidRDefault="00B36AD4" w:rsidP="00402BF6">
            <w:pPr>
              <w:spacing w:after="0" w:line="240" w:lineRule="auto"/>
              <w:rPr>
                <w:rFonts w:cs="Times New Roman"/>
                <w:bCs/>
                <w:sz w:val="20"/>
                <w:szCs w:val="20"/>
                <w:lang w:eastAsia="fr-FR"/>
              </w:rPr>
            </w:pPr>
            <w:r w:rsidRPr="00472AD3">
              <w:rPr>
                <w:rFonts w:cs="Times New Roman"/>
                <w:bCs/>
                <w:sz w:val="20"/>
                <w:szCs w:val="20"/>
                <w:lang w:eastAsia="fr-FR"/>
              </w:rPr>
              <w:t>Ian</w:t>
            </w:r>
          </w:p>
        </w:tc>
        <w:tc>
          <w:tcPr>
            <w:tcW w:w="1843" w:type="dxa"/>
            <w:shd w:val="clear" w:color="auto" w:fill="auto"/>
            <w:noWrap/>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lang w:eastAsia="fr-FR"/>
              </w:rPr>
              <w:t>Grant</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472AD3">
              <w:rPr>
                <w:rFonts w:cs="Times New Roman"/>
                <w:sz w:val="20"/>
                <w:szCs w:val="20"/>
              </w:rPr>
              <w:t>Public Health Scotland, Edinburgh</w:t>
            </w:r>
          </w:p>
        </w:tc>
      </w:tr>
      <w:tr w:rsidR="00B36AD4" w:rsidRPr="00472AD3" w:rsidTr="00402BF6">
        <w:trPr>
          <w:trHeight w:val="375"/>
        </w:trPr>
        <w:tc>
          <w:tcPr>
            <w:tcW w:w="704" w:type="dxa"/>
          </w:tcPr>
          <w:p w:rsidR="00B36AD4" w:rsidRPr="00472AD3" w:rsidRDefault="00B36AD4" w:rsidP="00402BF6">
            <w:pPr>
              <w:spacing w:after="0" w:line="240" w:lineRule="auto"/>
              <w:rPr>
                <w:rFonts w:cs="Times New Roman"/>
                <w:sz w:val="20"/>
                <w:szCs w:val="20"/>
                <w:lang w:eastAsia="fr-FR"/>
              </w:rPr>
            </w:pPr>
          </w:p>
          <w:p w:rsidR="00B36AD4" w:rsidRPr="00134E2E" w:rsidRDefault="00B36AD4" w:rsidP="00402BF6">
            <w:pPr>
              <w:spacing w:after="0" w:line="240" w:lineRule="auto"/>
              <w:rPr>
                <w:rFonts w:cs="Times New Roman"/>
                <w:sz w:val="20"/>
                <w:szCs w:val="20"/>
                <w:lang w:eastAsia="fr-FR"/>
              </w:rPr>
            </w:pPr>
            <w:r>
              <w:rPr>
                <w:rFonts w:cs="Times New Roman"/>
                <w:sz w:val="20"/>
                <w:szCs w:val="20"/>
                <w:lang w:eastAsia="fr-FR"/>
              </w:rPr>
              <w:t>30</w:t>
            </w:r>
          </w:p>
        </w:tc>
        <w:tc>
          <w:tcPr>
            <w:tcW w:w="1134" w:type="dxa"/>
            <w:shd w:val="clear" w:color="auto" w:fill="auto"/>
            <w:noWrap/>
            <w:vAlign w:val="bottom"/>
            <w:hideMark/>
          </w:tcPr>
          <w:p w:rsidR="00B36AD4" w:rsidRPr="00134E2E" w:rsidRDefault="00B36AD4" w:rsidP="00402BF6">
            <w:pPr>
              <w:spacing w:after="0" w:line="240" w:lineRule="auto"/>
              <w:rPr>
                <w:rFonts w:cs="Times New Roman"/>
                <w:sz w:val="20"/>
                <w:szCs w:val="20"/>
                <w:lang w:eastAsia="fr-FR"/>
              </w:rPr>
            </w:pPr>
            <w:r w:rsidRPr="00134E2E">
              <w:rPr>
                <w:rFonts w:cs="Times New Roman"/>
                <w:sz w:val="20"/>
                <w:szCs w:val="20"/>
                <w:lang w:eastAsia="fr-FR"/>
              </w:rPr>
              <w:t>WL</w:t>
            </w:r>
          </w:p>
        </w:tc>
        <w:tc>
          <w:tcPr>
            <w:tcW w:w="1276" w:type="dxa"/>
            <w:shd w:val="clear" w:color="auto" w:fill="auto"/>
            <w:noWrap/>
            <w:vAlign w:val="bottom"/>
            <w:hideMark/>
          </w:tcPr>
          <w:p w:rsidR="00B36AD4" w:rsidRPr="00134E2E" w:rsidRDefault="00B36AD4" w:rsidP="00402BF6">
            <w:pPr>
              <w:spacing w:after="0" w:line="240" w:lineRule="auto"/>
              <w:rPr>
                <w:rFonts w:cs="Times New Roman"/>
                <w:bCs/>
                <w:sz w:val="20"/>
                <w:szCs w:val="20"/>
                <w:lang w:eastAsia="fr-FR"/>
              </w:rPr>
            </w:pPr>
            <w:r w:rsidRPr="00134E2E">
              <w:rPr>
                <w:rFonts w:cs="Times New Roman"/>
                <w:bCs/>
                <w:sz w:val="20"/>
                <w:szCs w:val="20"/>
                <w:lang w:eastAsia="fr-FR"/>
              </w:rPr>
              <w:t>Wales</w:t>
            </w:r>
          </w:p>
        </w:tc>
        <w:tc>
          <w:tcPr>
            <w:tcW w:w="1134" w:type="dxa"/>
            <w:shd w:val="clear" w:color="auto" w:fill="auto"/>
            <w:noWrap/>
            <w:vAlign w:val="bottom"/>
          </w:tcPr>
          <w:p w:rsidR="00B36AD4" w:rsidRPr="00134E2E" w:rsidRDefault="00B36AD4" w:rsidP="00402BF6">
            <w:pPr>
              <w:spacing w:after="0" w:line="240" w:lineRule="auto"/>
              <w:rPr>
                <w:rFonts w:cs="Times New Roman"/>
                <w:bCs/>
                <w:sz w:val="20"/>
                <w:szCs w:val="20"/>
                <w:lang w:eastAsia="fr-FR"/>
              </w:rPr>
            </w:pPr>
            <w:r w:rsidRPr="00134E2E">
              <w:rPr>
                <w:rFonts w:cs="Times New Roman"/>
                <w:bCs/>
                <w:sz w:val="20"/>
                <w:szCs w:val="20"/>
                <w:lang w:eastAsia="fr-FR"/>
              </w:rPr>
              <w:t>Ronan</w:t>
            </w:r>
          </w:p>
        </w:tc>
        <w:tc>
          <w:tcPr>
            <w:tcW w:w="1843" w:type="dxa"/>
            <w:shd w:val="clear" w:color="auto" w:fill="auto"/>
            <w:noWrap/>
            <w:vAlign w:val="bottom"/>
          </w:tcPr>
          <w:p w:rsidR="00B36AD4" w:rsidRPr="00134E2E" w:rsidRDefault="00B36AD4" w:rsidP="00402BF6">
            <w:pPr>
              <w:spacing w:after="0" w:line="240" w:lineRule="auto"/>
              <w:rPr>
                <w:rFonts w:cs="Times New Roman"/>
                <w:sz w:val="20"/>
                <w:szCs w:val="20"/>
                <w:lang w:eastAsia="fr-FR"/>
              </w:rPr>
            </w:pPr>
            <w:r w:rsidRPr="00134E2E">
              <w:rPr>
                <w:rFonts w:cs="Times New Roman"/>
                <w:sz w:val="20"/>
                <w:szCs w:val="20"/>
                <w:lang w:eastAsia="fr-FR"/>
              </w:rPr>
              <w:t>Lyons</w:t>
            </w:r>
          </w:p>
        </w:tc>
        <w:tc>
          <w:tcPr>
            <w:tcW w:w="3827" w:type="dxa"/>
            <w:shd w:val="clear" w:color="auto" w:fill="auto"/>
            <w:vAlign w:val="bottom"/>
          </w:tcPr>
          <w:p w:rsidR="00B36AD4" w:rsidRPr="00472AD3" w:rsidRDefault="00B36AD4" w:rsidP="00402BF6">
            <w:pPr>
              <w:spacing w:after="0" w:line="240" w:lineRule="auto"/>
              <w:rPr>
                <w:rFonts w:cs="Times New Roman"/>
                <w:sz w:val="20"/>
                <w:szCs w:val="20"/>
                <w:lang w:eastAsia="fr-FR"/>
              </w:rPr>
            </w:pPr>
            <w:r w:rsidRPr="00134E2E">
              <w:rPr>
                <w:rFonts w:cs="Times New Roman"/>
                <w:sz w:val="20"/>
                <w:szCs w:val="20"/>
                <w:lang w:eastAsia="fr-FR"/>
              </w:rPr>
              <w:t>Swansa University, Wales</w:t>
            </w:r>
          </w:p>
        </w:tc>
      </w:tr>
    </w:tbl>
    <w:p w:rsidR="00B36AD4" w:rsidRPr="00472AD3" w:rsidRDefault="00B36AD4" w:rsidP="00B36AD4">
      <w:pPr>
        <w:rPr>
          <w:color w:val="68AB3B"/>
          <w:sz w:val="24"/>
          <w:szCs w:val="24"/>
        </w:rPr>
      </w:pPr>
    </w:p>
    <w:p w:rsidR="00B36AD4" w:rsidRPr="00472AD3" w:rsidRDefault="00B36AD4" w:rsidP="00B36AD4">
      <w:pPr>
        <w:jc w:val="both"/>
        <w:rPr>
          <w:rFonts w:cs="Times New Roman"/>
          <w:sz w:val="24"/>
          <w:szCs w:val="24"/>
        </w:rPr>
      </w:pPr>
    </w:p>
    <w:p w:rsidR="00B36AD4" w:rsidRPr="00472AD3" w:rsidRDefault="00B36AD4" w:rsidP="00B36AD4">
      <w:pPr>
        <w:rPr>
          <w:sz w:val="24"/>
          <w:szCs w:val="24"/>
        </w:rPr>
      </w:pPr>
    </w:p>
    <w:p w:rsidR="00B36AD4" w:rsidRDefault="00B36AD4" w:rsidP="00B36AD4">
      <w:pPr>
        <w:rPr>
          <w:rFonts w:eastAsiaTheme="minorEastAsia" w:cs="Arial"/>
          <w:color w:val="000000" w:themeColor="text1"/>
          <w:kern w:val="24"/>
          <w:sz w:val="24"/>
          <w:szCs w:val="24"/>
        </w:rPr>
      </w:pPr>
    </w:p>
    <w:p w:rsidR="00B36AD4" w:rsidRDefault="00B36AD4" w:rsidP="00B36AD4">
      <w:pPr>
        <w:pStyle w:val="Titre2"/>
      </w:pPr>
      <w:bookmarkStart w:id="38" w:name="_Toc53067371"/>
      <w:r>
        <w:t>Additional file 3</w:t>
      </w:r>
      <w:bookmarkEnd w:id="38"/>
    </w:p>
    <w:p w:rsidR="00B36AD4" w:rsidRPr="00C44553" w:rsidRDefault="00B36AD4" w:rsidP="00B36AD4">
      <w:pPr>
        <w:jc w:val="both"/>
        <w:rPr>
          <w:rFonts w:cs="Times New Roman"/>
          <w:sz w:val="24"/>
          <w:szCs w:val="24"/>
        </w:rPr>
      </w:pPr>
      <w:r w:rsidRPr="00C44553">
        <w:rPr>
          <w:rFonts w:cs="Times New Roman"/>
          <w:sz w:val="24"/>
          <w:szCs w:val="24"/>
        </w:rPr>
        <w:t xml:space="preserve">The 31 country health profiles can be accessed and downloaded through clicking following electronic link: </w:t>
      </w:r>
    </w:p>
    <w:p w:rsidR="00B36AD4" w:rsidRPr="00C44553" w:rsidRDefault="00B36AD4" w:rsidP="00B36AD4">
      <w:pPr>
        <w:shd w:val="clear" w:color="auto" w:fill="FFFFFF"/>
        <w:rPr>
          <w:rFonts w:ascii="Arial" w:hAnsi="Arial" w:cs="Arial"/>
          <w:color w:val="222222"/>
        </w:rPr>
      </w:pPr>
      <w:hyperlink r:id="rId18" w:tgtFrame="_blank" w:history="1">
        <w:r w:rsidRPr="00C44553">
          <w:rPr>
            <w:rStyle w:val="Lienhypertexte"/>
            <w:rFonts w:ascii="Arial" w:hAnsi="Arial" w:cs="Arial"/>
            <w:color w:val="1155CC"/>
          </w:rPr>
          <w:t>https://partage.santepubliquefrance.fr/public/folder/PYP5c1ltkUyhDSqwmW_88A/Country%20Health%20Profiles</w:t>
        </w:r>
      </w:hyperlink>
    </w:p>
    <w:p w:rsidR="00B36AD4" w:rsidRDefault="00B36AD4" w:rsidP="00B36AD4">
      <w:pPr>
        <w:jc w:val="both"/>
      </w:pPr>
      <w:r w:rsidRPr="00C44553">
        <w:t xml:space="preserve">This link is valid until April 1, 2021. If needed to access these country health profiles, you can contact the following address: </w:t>
      </w:r>
      <w:hyperlink r:id="rId19" w:history="1">
        <w:r w:rsidRPr="00C44553">
          <w:rPr>
            <w:rStyle w:val="Lienhypertexte"/>
          </w:rPr>
          <w:t>Romana.HANEEF@santepubliquefrance.fr</w:t>
        </w:r>
      </w:hyperlink>
    </w:p>
    <w:p w:rsidR="00B36AD4" w:rsidRPr="006533B1" w:rsidRDefault="00B36AD4" w:rsidP="00B36AD4">
      <w:pPr>
        <w:jc w:val="both"/>
      </w:pPr>
    </w:p>
    <w:p w:rsidR="00B36AD4" w:rsidRDefault="00B36AD4" w:rsidP="00B36AD4"/>
    <w:p w:rsidR="00B36AD4" w:rsidRDefault="00B36AD4" w:rsidP="00B36AD4"/>
    <w:p w:rsidR="00B36AD4" w:rsidRDefault="00B36AD4" w:rsidP="00B36AD4"/>
    <w:p w:rsidR="00B36AD4" w:rsidRDefault="00B36AD4" w:rsidP="00B36AD4"/>
    <w:p w:rsidR="00B36AD4" w:rsidRDefault="00B36AD4" w:rsidP="00B36AD4"/>
    <w:p w:rsidR="00B36AD4" w:rsidRDefault="00B36AD4" w:rsidP="00B36AD4"/>
    <w:p w:rsidR="00B36AD4" w:rsidRDefault="00B36AD4" w:rsidP="00B36AD4"/>
    <w:p w:rsidR="00B36AD4" w:rsidRDefault="00B36AD4" w:rsidP="00B36AD4"/>
    <w:sectPr w:rsidR="00B36AD4">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CC2" w:rsidRDefault="009C7CC2" w:rsidP="00B36AD4">
      <w:pPr>
        <w:spacing w:after="0" w:line="240" w:lineRule="auto"/>
      </w:pPr>
      <w:r>
        <w:separator/>
      </w:r>
    </w:p>
  </w:endnote>
  <w:endnote w:type="continuationSeparator" w:id="0">
    <w:p w:rsidR="009C7CC2" w:rsidRDefault="009C7CC2" w:rsidP="00B3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081532"/>
      <w:docPartObj>
        <w:docPartGallery w:val="Page Numbers (Bottom of Page)"/>
        <w:docPartUnique/>
      </w:docPartObj>
    </w:sdtPr>
    <w:sdtContent>
      <w:p w:rsidR="00DC0E67" w:rsidRDefault="00DC0E67">
        <w:pPr>
          <w:pStyle w:val="Pieddepage"/>
          <w:jc w:val="right"/>
        </w:pPr>
        <w:r>
          <w:fldChar w:fldCharType="begin"/>
        </w:r>
        <w:r>
          <w:instrText>PAGE   \* MERGEFORMAT</w:instrText>
        </w:r>
        <w:r>
          <w:fldChar w:fldCharType="separate"/>
        </w:r>
        <w:r w:rsidR="00272BDB" w:rsidRPr="00272BDB">
          <w:rPr>
            <w:noProof/>
            <w:lang w:val="fr-FR"/>
          </w:rPr>
          <w:t>21</w:t>
        </w:r>
        <w:r>
          <w:fldChar w:fldCharType="end"/>
        </w:r>
      </w:p>
    </w:sdtContent>
  </w:sdt>
  <w:p w:rsidR="00DC0E67" w:rsidRDefault="00DC0E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CC2" w:rsidRDefault="009C7CC2" w:rsidP="00B36AD4">
      <w:pPr>
        <w:spacing w:after="0" w:line="240" w:lineRule="auto"/>
      </w:pPr>
      <w:r>
        <w:separator/>
      </w:r>
    </w:p>
  </w:footnote>
  <w:footnote w:type="continuationSeparator" w:id="0">
    <w:p w:rsidR="009C7CC2" w:rsidRDefault="009C7CC2" w:rsidP="00B36AD4">
      <w:pPr>
        <w:spacing w:after="0" w:line="240" w:lineRule="auto"/>
      </w:pPr>
      <w:r>
        <w:continuationSeparator/>
      </w:r>
    </w:p>
  </w:footnote>
  <w:footnote w:id="1">
    <w:p w:rsidR="00B36AD4" w:rsidRDefault="00B36AD4" w:rsidP="00B36AD4">
      <w:pPr>
        <w:pStyle w:val="Notedebasdepage"/>
      </w:pPr>
      <w:r w:rsidRPr="00275E58">
        <w:rPr>
          <w:rStyle w:val="Appelnotedebasdep"/>
        </w:rPr>
        <w:footnoteRef/>
      </w:r>
      <w:r w:rsidRPr="00275E58">
        <w:t xml:space="preserve"> </w:t>
      </w:r>
      <w:hyperlink r:id="rId1" w:history="1">
        <w:r w:rsidRPr="00275E58">
          <w:rPr>
            <w:rStyle w:val="Lienhypertexte"/>
          </w:rPr>
          <w:t>http://www.healthdata.org/acting-data/new-way-measuring-development-helps-assess-health-system-performance</w:t>
        </w:r>
      </w:hyperlink>
    </w:p>
    <w:p w:rsidR="00B36AD4" w:rsidRDefault="00B36AD4" w:rsidP="00B36AD4">
      <w:pPr>
        <w:pStyle w:val="Notedebasdepage"/>
      </w:pPr>
      <w:r>
        <w:t xml:space="preserve"> </w:t>
      </w:r>
      <w:hyperlink r:id="rId2" w:history="1">
        <w:r w:rsidRPr="00275E58">
          <w:rPr>
            <w:rStyle w:val="Lienhypertexte"/>
          </w:rPr>
          <w:t>http://ghdx.healthdata.org/record/ihme-data/gbd-2015-socio-demographic-index-sdi-1980%E2%80%932015</w:t>
        </w:r>
      </w:hyperlink>
    </w:p>
  </w:footnote>
  <w:footnote w:id="2">
    <w:p w:rsidR="00B36AD4" w:rsidRPr="00D00F2C" w:rsidRDefault="00B36AD4" w:rsidP="00B36AD4">
      <w:pPr>
        <w:pStyle w:val="Notedebasdepage"/>
      </w:pPr>
      <w:r w:rsidRPr="00D00F2C">
        <w:rPr>
          <w:rStyle w:val="Appelnotedebasdep"/>
        </w:rPr>
        <w:footnoteRef/>
      </w:r>
      <w:r w:rsidRPr="00D00F2C">
        <w:t xml:space="preserve"> </w:t>
      </w:r>
      <w:proofErr w:type="gramStart"/>
      <w:r w:rsidRPr="00D00F2C">
        <w:t>see</w:t>
      </w:r>
      <w:proofErr w:type="gramEnd"/>
      <w:r w:rsidRPr="00D00F2C">
        <w:t xml:space="preserve"> http://www.healthdata.org/results/country-profiles/haq</w:t>
      </w:r>
      <w:r w:rsidRPr="00D00F2C">
        <w:rPr>
          <w:rStyle w:val="Lienhypertexte"/>
        </w:rPr>
        <w:t xml:space="preserve"> and </w:t>
      </w:r>
      <w:r w:rsidRPr="00D00F2C">
        <w:t>http://www.healthdata.org/node/6446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524D"/>
    <w:multiLevelType w:val="hybridMultilevel"/>
    <w:tmpl w:val="221AAD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44493"/>
    <w:multiLevelType w:val="hybridMultilevel"/>
    <w:tmpl w:val="E7DE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F05F9B"/>
    <w:multiLevelType w:val="hybridMultilevel"/>
    <w:tmpl w:val="03D8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A24B76"/>
    <w:multiLevelType w:val="hybridMultilevel"/>
    <w:tmpl w:val="6E763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4B37CB"/>
    <w:multiLevelType w:val="hybridMultilevel"/>
    <w:tmpl w:val="67CC57A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C70172C"/>
    <w:multiLevelType w:val="hybridMultilevel"/>
    <w:tmpl w:val="401240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4F449AD"/>
    <w:multiLevelType w:val="hybridMultilevel"/>
    <w:tmpl w:val="44864396"/>
    <w:lvl w:ilvl="0" w:tplc="04090001">
      <w:start w:val="1"/>
      <w:numFmt w:val="bullet"/>
      <w:lvlText w:val=""/>
      <w:lvlJc w:val="left"/>
      <w:pPr>
        <w:ind w:left="720" w:hanging="360"/>
      </w:pPr>
      <w:rPr>
        <w:rFonts w:ascii="Symbol" w:hAnsi="Symbol" w:hint="default"/>
      </w:rPr>
    </w:lvl>
    <w:lvl w:ilvl="1" w:tplc="702809E0">
      <w:numFmt w:val="bullet"/>
      <w:lvlText w:val=""/>
      <w:lvlJc w:val="left"/>
      <w:pPr>
        <w:ind w:left="1440" w:hanging="360"/>
      </w:pPr>
      <w:rPr>
        <w:rFonts w:ascii="Wingdings" w:eastAsiaTheme="minorEastAsia"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029CC"/>
    <w:multiLevelType w:val="hybridMultilevel"/>
    <w:tmpl w:val="8024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24450A"/>
    <w:multiLevelType w:val="multilevel"/>
    <w:tmpl w:val="73C6D6CE"/>
    <w:lvl w:ilvl="0">
      <w:start w:val="1"/>
      <w:numFmt w:val="upperRoman"/>
      <w:pStyle w:val="Titre1"/>
      <w:lvlText w:val="%1."/>
      <w:lvlJc w:val="left"/>
      <w:pPr>
        <w:ind w:left="993"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9" w15:restartNumberingAfterBreak="0">
    <w:nsid w:val="61C47131"/>
    <w:multiLevelType w:val="hybridMultilevel"/>
    <w:tmpl w:val="494C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C84744"/>
    <w:multiLevelType w:val="hybridMultilevel"/>
    <w:tmpl w:val="6CE88954"/>
    <w:lvl w:ilvl="0" w:tplc="D8302348">
      <w:start w:val="1"/>
      <w:numFmt w:val="bullet"/>
      <w:lvlText w:val="●"/>
      <w:lvlJc w:val="left"/>
      <w:pPr>
        <w:tabs>
          <w:tab w:val="num" w:pos="720"/>
        </w:tabs>
        <w:ind w:left="720" w:hanging="360"/>
      </w:pPr>
      <w:rPr>
        <w:rFonts w:ascii="Verdana" w:hAnsi="Verdana" w:hint="default"/>
      </w:rPr>
    </w:lvl>
    <w:lvl w:ilvl="1" w:tplc="E150419C">
      <w:start w:val="525"/>
      <w:numFmt w:val="bullet"/>
      <w:lvlText w:val="–"/>
      <w:lvlJc w:val="left"/>
      <w:pPr>
        <w:tabs>
          <w:tab w:val="num" w:pos="1440"/>
        </w:tabs>
        <w:ind w:left="1440" w:hanging="360"/>
      </w:pPr>
      <w:rPr>
        <w:rFonts w:ascii="Verdana" w:hAnsi="Verdana" w:hint="default"/>
      </w:rPr>
    </w:lvl>
    <w:lvl w:ilvl="2" w:tplc="6D26A328" w:tentative="1">
      <w:start w:val="1"/>
      <w:numFmt w:val="bullet"/>
      <w:lvlText w:val="●"/>
      <w:lvlJc w:val="left"/>
      <w:pPr>
        <w:tabs>
          <w:tab w:val="num" w:pos="2160"/>
        </w:tabs>
        <w:ind w:left="2160" w:hanging="360"/>
      </w:pPr>
      <w:rPr>
        <w:rFonts w:ascii="Verdana" w:hAnsi="Verdana" w:hint="default"/>
      </w:rPr>
    </w:lvl>
    <w:lvl w:ilvl="3" w:tplc="E8E2B4F2" w:tentative="1">
      <w:start w:val="1"/>
      <w:numFmt w:val="bullet"/>
      <w:lvlText w:val="●"/>
      <w:lvlJc w:val="left"/>
      <w:pPr>
        <w:tabs>
          <w:tab w:val="num" w:pos="2880"/>
        </w:tabs>
        <w:ind w:left="2880" w:hanging="360"/>
      </w:pPr>
      <w:rPr>
        <w:rFonts w:ascii="Verdana" w:hAnsi="Verdana" w:hint="default"/>
      </w:rPr>
    </w:lvl>
    <w:lvl w:ilvl="4" w:tplc="14741098" w:tentative="1">
      <w:start w:val="1"/>
      <w:numFmt w:val="bullet"/>
      <w:lvlText w:val="●"/>
      <w:lvlJc w:val="left"/>
      <w:pPr>
        <w:tabs>
          <w:tab w:val="num" w:pos="3600"/>
        </w:tabs>
        <w:ind w:left="3600" w:hanging="360"/>
      </w:pPr>
      <w:rPr>
        <w:rFonts w:ascii="Verdana" w:hAnsi="Verdana" w:hint="default"/>
      </w:rPr>
    </w:lvl>
    <w:lvl w:ilvl="5" w:tplc="0302A438" w:tentative="1">
      <w:start w:val="1"/>
      <w:numFmt w:val="bullet"/>
      <w:lvlText w:val="●"/>
      <w:lvlJc w:val="left"/>
      <w:pPr>
        <w:tabs>
          <w:tab w:val="num" w:pos="4320"/>
        </w:tabs>
        <w:ind w:left="4320" w:hanging="360"/>
      </w:pPr>
      <w:rPr>
        <w:rFonts w:ascii="Verdana" w:hAnsi="Verdana" w:hint="default"/>
      </w:rPr>
    </w:lvl>
    <w:lvl w:ilvl="6" w:tplc="8202E5D0" w:tentative="1">
      <w:start w:val="1"/>
      <w:numFmt w:val="bullet"/>
      <w:lvlText w:val="●"/>
      <w:lvlJc w:val="left"/>
      <w:pPr>
        <w:tabs>
          <w:tab w:val="num" w:pos="5040"/>
        </w:tabs>
        <w:ind w:left="5040" w:hanging="360"/>
      </w:pPr>
      <w:rPr>
        <w:rFonts w:ascii="Verdana" w:hAnsi="Verdana" w:hint="default"/>
      </w:rPr>
    </w:lvl>
    <w:lvl w:ilvl="7" w:tplc="DE96BCE2" w:tentative="1">
      <w:start w:val="1"/>
      <w:numFmt w:val="bullet"/>
      <w:lvlText w:val="●"/>
      <w:lvlJc w:val="left"/>
      <w:pPr>
        <w:tabs>
          <w:tab w:val="num" w:pos="5760"/>
        </w:tabs>
        <w:ind w:left="5760" w:hanging="360"/>
      </w:pPr>
      <w:rPr>
        <w:rFonts w:ascii="Verdana" w:hAnsi="Verdana" w:hint="default"/>
      </w:rPr>
    </w:lvl>
    <w:lvl w:ilvl="8" w:tplc="E3C0F50C" w:tentative="1">
      <w:start w:val="1"/>
      <w:numFmt w:val="bullet"/>
      <w:lvlText w:val="●"/>
      <w:lvlJc w:val="left"/>
      <w:pPr>
        <w:tabs>
          <w:tab w:val="num" w:pos="6480"/>
        </w:tabs>
        <w:ind w:left="6480" w:hanging="360"/>
      </w:pPr>
      <w:rPr>
        <w:rFonts w:ascii="Verdana" w:hAnsi="Verdana" w:hint="default"/>
      </w:rPr>
    </w:lvl>
  </w:abstractNum>
  <w:abstractNum w:abstractNumId="11" w15:restartNumberingAfterBreak="0">
    <w:nsid w:val="6B9C7CC5"/>
    <w:multiLevelType w:val="hybridMultilevel"/>
    <w:tmpl w:val="AC801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0D15D02"/>
    <w:multiLevelType w:val="hybridMultilevel"/>
    <w:tmpl w:val="B8B8F82C"/>
    <w:lvl w:ilvl="0" w:tplc="CA90999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76364"/>
    <w:multiLevelType w:val="hybridMultilevel"/>
    <w:tmpl w:val="DE3640E8"/>
    <w:lvl w:ilvl="0" w:tplc="A71C74A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76ECE"/>
    <w:multiLevelType w:val="hybridMultilevel"/>
    <w:tmpl w:val="AB4AA690"/>
    <w:lvl w:ilvl="0" w:tplc="B60C621C">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48472B"/>
    <w:multiLevelType w:val="hybridMultilevel"/>
    <w:tmpl w:val="0ECC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0"/>
  </w:num>
  <w:num w:numId="4">
    <w:abstractNumId w:val="14"/>
    <w:lvlOverride w:ilvl="0">
      <w:startOverride w:val="1"/>
    </w:lvlOverride>
  </w:num>
  <w:num w:numId="5">
    <w:abstractNumId w:val="8"/>
  </w:num>
  <w:num w:numId="6">
    <w:abstractNumId w:val="9"/>
  </w:num>
  <w:num w:numId="7">
    <w:abstractNumId w:val="15"/>
  </w:num>
  <w:num w:numId="8">
    <w:abstractNumId w:val="5"/>
  </w:num>
  <w:num w:numId="9">
    <w:abstractNumId w:val="6"/>
  </w:num>
  <w:num w:numId="10">
    <w:abstractNumId w:val="13"/>
  </w:num>
  <w:num w:numId="11">
    <w:abstractNumId w:val="2"/>
  </w:num>
  <w:num w:numId="12">
    <w:abstractNumId w:val="7"/>
  </w:num>
  <w:num w:numId="13">
    <w:abstractNumId w:val="12"/>
  </w:num>
  <w:num w:numId="14">
    <w:abstractNumId w:val="4"/>
  </w:num>
  <w:num w:numId="15">
    <w:abstractNumId w:val="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AD4"/>
    <w:rsid w:val="00272BDB"/>
    <w:rsid w:val="008500CB"/>
    <w:rsid w:val="008C7CA5"/>
    <w:rsid w:val="009C7CC2"/>
    <w:rsid w:val="00B36AD4"/>
    <w:rsid w:val="00DC0E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727C"/>
  <w15:chartTrackingRefBased/>
  <w15:docId w15:val="{6736A973-868D-4FDD-A7CC-BB704BB0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36AD4"/>
    <w:pPr>
      <w:numPr>
        <w:numId w:val="5"/>
      </w:numPr>
      <w:tabs>
        <w:tab w:val="left" w:pos="360"/>
      </w:tabs>
      <w:spacing w:after="240" w:line="240" w:lineRule="auto"/>
      <w:jc w:val="both"/>
      <w:outlineLvl w:val="0"/>
    </w:pPr>
    <w:rPr>
      <w:rFonts w:ascii="Trebuchet MS" w:hAnsi="Trebuchet MS"/>
      <w:b/>
      <w:color w:val="90B85D"/>
      <w:sz w:val="26"/>
      <w:szCs w:val="24"/>
      <w:u w:val="single"/>
      <w:lang w:val="en-GB"/>
    </w:rPr>
  </w:style>
  <w:style w:type="paragraph" w:styleId="Titre2">
    <w:name w:val="heading 2"/>
    <w:basedOn w:val="Normal"/>
    <w:next w:val="Normal"/>
    <w:link w:val="Titre2Car"/>
    <w:uiPriority w:val="9"/>
    <w:unhideWhenUsed/>
    <w:qFormat/>
    <w:rsid w:val="00B36AD4"/>
    <w:pPr>
      <w:keepNext/>
      <w:keepLines/>
      <w:numPr>
        <w:ilvl w:val="1"/>
        <w:numId w:val="5"/>
      </w:numPr>
      <w:tabs>
        <w:tab w:val="left" w:pos="540"/>
      </w:tabs>
      <w:spacing w:before="200" w:after="240" w:line="276" w:lineRule="auto"/>
      <w:ind w:left="0"/>
      <w:outlineLvl w:val="1"/>
    </w:pPr>
    <w:rPr>
      <w:rFonts w:ascii="Trebuchet MS" w:eastAsiaTheme="majorEastAsia" w:hAnsi="Trebuchet MS" w:cstheme="majorBidi"/>
      <w:b/>
      <w:bCs/>
      <w:color w:val="327C8F"/>
      <w:sz w:val="26"/>
      <w:szCs w:val="26"/>
      <w:lang w:val="en-US"/>
    </w:rPr>
  </w:style>
  <w:style w:type="paragraph" w:styleId="Titre3">
    <w:name w:val="heading 3"/>
    <w:basedOn w:val="Normal"/>
    <w:next w:val="Normal"/>
    <w:link w:val="Titre3Car"/>
    <w:uiPriority w:val="9"/>
    <w:unhideWhenUsed/>
    <w:qFormat/>
    <w:rsid w:val="00B36AD4"/>
    <w:pPr>
      <w:keepNext/>
      <w:keepLines/>
      <w:numPr>
        <w:ilvl w:val="2"/>
        <w:numId w:val="5"/>
      </w:numPr>
      <w:spacing w:before="200" w:after="240" w:line="276" w:lineRule="auto"/>
      <w:ind w:left="1170" w:hanging="540"/>
      <w:outlineLvl w:val="2"/>
    </w:pPr>
    <w:rPr>
      <w:rFonts w:ascii="Trebuchet MS" w:eastAsiaTheme="majorEastAsia" w:hAnsi="Trebuchet MS" w:cstheme="majorBidi"/>
      <w:b/>
      <w:bCs/>
      <w:color w:val="C00000"/>
      <w:lang w:val="en-US"/>
    </w:rPr>
  </w:style>
  <w:style w:type="paragraph" w:styleId="Titre4">
    <w:name w:val="heading 4"/>
    <w:basedOn w:val="Normal"/>
    <w:next w:val="Normal"/>
    <w:link w:val="Titre4Car"/>
    <w:uiPriority w:val="9"/>
    <w:semiHidden/>
    <w:unhideWhenUsed/>
    <w:qFormat/>
    <w:rsid w:val="00B36AD4"/>
    <w:pPr>
      <w:keepNext/>
      <w:keepLines/>
      <w:numPr>
        <w:ilvl w:val="3"/>
        <w:numId w:val="5"/>
      </w:numPr>
      <w:spacing w:before="200" w:after="0" w:line="276" w:lineRule="auto"/>
      <w:outlineLvl w:val="3"/>
    </w:pPr>
    <w:rPr>
      <w:rFonts w:ascii="Trebuchet MS" w:eastAsiaTheme="majorEastAsia" w:hAnsi="Trebuchet MS" w:cstheme="majorBidi"/>
      <w:b/>
      <w:bCs/>
      <w:i/>
      <w:iCs/>
      <w:color w:val="5B9BD5" w:themeColor="accent1"/>
      <w:lang w:val="en-US"/>
    </w:rPr>
  </w:style>
  <w:style w:type="paragraph" w:styleId="Titre5">
    <w:name w:val="heading 5"/>
    <w:basedOn w:val="Normal"/>
    <w:next w:val="Normal"/>
    <w:link w:val="Titre5Car"/>
    <w:uiPriority w:val="9"/>
    <w:semiHidden/>
    <w:unhideWhenUsed/>
    <w:qFormat/>
    <w:rsid w:val="00B36AD4"/>
    <w:pPr>
      <w:keepNext/>
      <w:keepLines/>
      <w:numPr>
        <w:ilvl w:val="4"/>
        <w:numId w:val="5"/>
      </w:numPr>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Titre6">
    <w:name w:val="heading 6"/>
    <w:basedOn w:val="Normal"/>
    <w:next w:val="Normal"/>
    <w:link w:val="Titre6Car"/>
    <w:uiPriority w:val="9"/>
    <w:semiHidden/>
    <w:unhideWhenUsed/>
    <w:qFormat/>
    <w:rsid w:val="00B36AD4"/>
    <w:pPr>
      <w:keepNext/>
      <w:keepLines/>
      <w:numPr>
        <w:ilvl w:val="5"/>
        <w:numId w:val="5"/>
      </w:numPr>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Titre7">
    <w:name w:val="heading 7"/>
    <w:basedOn w:val="Normal"/>
    <w:next w:val="Normal"/>
    <w:link w:val="Titre7Car"/>
    <w:uiPriority w:val="9"/>
    <w:semiHidden/>
    <w:unhideWhenUsed/>
    <w:qFormat/>
    <w:rsid w:val="00B36AD4"/>
    <w:pPr>
      <w:keepNext/>
      <w:keepLines/>
      <w:numPr>
        <w:ilvl w:val="6"/>
        <w:numId w:val="5"/>
      </w:numPr>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Titre8">
    <w:name w:val="heading 8"/>
    <w:basedOn w:val="Normal"/>
    <w:next w:val="Normal"/>
    <w:link w:val="Titre8Car"/>
    <w:uiPriority w:val="9"/>
    <w:semiHidden/>
    <w:unhideWhenUsed/>
    <w:qFormat/>
    <w:rsid w:val="00B36AD4"/>
    <w:pPr>
      <w:keepNext/>
      <w:keepLines/>
      <w:numPr>
        <w:ilvl w:val="7"/>
        <w:numId w:val="5"/>
      </w:numPr>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Titre9">
    <w:name w:val="heading 9"/>
    <w:basedOn w:val="Normal"/>
    <w:next w:val="Normal"/>
    <w:link w:val="Titre9Car"/>
    <w:uiPriority w:val="9"/>
    <w:semiHidden/>
    <w:unhideWhenUsed/>
    <w:qFormat/>
    <w:rsid w:val="00B36AD4"/>
    <w:pPr>
      <w:keepNext/>
      <w:keepLines/>
      <w:numPr>
        <w:ilvl w:val="8"/>
        <w:numId w:val="5"/>
      </w:numPr>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6AD4"/>
    <w:rPr>
      <w:rFonts w:ascii="Trebuchet MS" w:hAnsi="Trebuchet MS"/>
      <w:b/>
      <w:color w:val="90B85D"/>
      <w:sz w:val="26"/>
      <w:szCs w:val="24"/>
      <w:u w:val="single"/>
      <w:lang w:val="en-GB"/>
    </w:rPr>
  </w:style>
  <w:style w:type="character" w:customStyle="1" w:styleId="Titre2Car">
    <w:name w:val="Titre 2 Car"/>
    <w:basedOn w:val="Policepardfaut"/>
    <w:link w:val="Titre2"/>
    <w:uiPriority w:val="9"/>
    <w:rsid w:val="00B36AD4"/>
    <w:rPr>
      <w:rFonts w:ascii="Trebuchet MS" w:eastAsiaTheme="majorEastAsia" w:hAnsi="Trebuchet MS" w:cstheme="majorBidi"/>
      <w:b/>
      <w:bCs/>
      <w:color w:val="327C8F"/>
      <w:sz w:val="26"/>
      <w:szCs w:val="26"/>
      <w:lang w:val="en-US"/>
    </w:rPr>
  </w:style>
  <w:style w:type="character" w:customStyle="1" w:styleId="Titre3Car">
    <w:name w:val="Titre 3 Car"/>
    <w:basedOn w:val="Policepardfaut"/>
    <w:link w:val="Titre3"/>
    <w:uiPriority w:val="9"/>
    <w:rsid w:val="00B36AD4"/>
    <w:rPr>
      <w:rFonts w:ascii="Trebuchet MS" w:eastAsiaTheme="majorEastAsia" w:hAnsi="Trebuchet MS" w:cstheme="majorBidi"/>
      <w:b/>
      <w:bCs/>
      <w:color w:val="C00000"/>
      <w:lang w:val="en-US"/>
    </w:rPr>
  </w:style>
  <w:style w:type="character" w:customStyle="1" w:styleId="Titre4Car">
    <w:name w:val="Titre 4 Car"/>
    <w:basedOn w:val="Policepardfaut"/>
    <w:link w:val="Titre4"/>
    <w:uiPriority w:val="9"/>
    <w:semiHidden/>
    <w:rsid w:val="00B36AD4"/>
    <w:rPr>
      <w:rFonts w:ascii="Trebuchet MS" w:eastAsiaTheme="majorEastAsia" w:hAnsi="Trebuchet MS" w:cstheme="majorBidi"/>
      <w:b/>
      <w:bCs/>
      <w:i/>
      <w:iCs/>
      <w:color w:val="5B9BD5" w:themeColor="accent1"/>
      <w:lang w:val="en-US"/>
    </w:rPr>
  </w:style>
  <w:style w:type="character" w:customStyle="1" w:styleId="Titre5Car">
    <w:name w:val="Titre 5 Car"/>
    <w:basedOn w:val="Policepardfaut"/>
    <w:link w:val="Titre5"/>
    <w:uiPriority w:val="9"/>
    <w:semiHidden/>
    <w:rsid w:val="00B36AD4"/>
    <w:rPr>
      <w:rFonts w:asciiTheme="majorHAnsi" w:eastAsiaTheme="majorEastAsia" w:hAnsiTheme="majorHAnsi" w:cstheme="majorBidi"/>
      <w:color w:val="1F4D78" w:themeColor="accent1" w:themeShade="7F"/>
      <w:lang w:val="en-US"/>
    </w:rPr>
  </w:style>
  <w:style w:type="character" w:customStyle="1" w:styleId="Titre6Car">
    <w:name w:val="Titre 6 Car"/>
    <w:basedOn w:val="Policepardfaut"/>
    <w:link w:val="Titre6"/>
    <w:uiPriority w:val="9"/>
    <w:semiHidden/>
    <w:rsid w:val="00B36AD4"/>
    <w:rPr>
      <w:rFonts w:asciiTheme="majorHAnsi" w:eastAsiaTheme="majorEastAsia" w:hAnsiTheme="majorHAnsi" w:cstheme="majorBidi"/>
      <w:i/>
      <w:iCs/>
      <w:color w:val="1F4D78" w:themeColor="accent1" w:themeShade="7F"/>
      <w:lang w:val="en-US"/>
    </w:rPr>
  </w:style>
  <w:style w:type="character" w:customStyle="1" w:styleId="Titre7Car">
    <w:name w:val="Titre 7 Car"/>
    <w:basedOn w:val="Policepardfaut"/>
    <w:link w:val="Titre7"/>
    <w:uiPriority w:val="9"/>
    <w:semiHidden/>
    <w:rsid w:val="00B36AD4"/>
    <w:rPr>
      <w:rFonts w:asciiTheme="majorHAnsi" w:eastAsiaTheme="majorEastAsia" w:hAnsiTheme="majorHAnsi" w:cstheme="majorBidi"/>
      <w:i/>
      <w:iCs/>
      <w:color w:val="404040" w:themeColor="text1" w:themeTint="BF"/>
      <w:lang w:val="en-US"/>
    </w:rPr>
  </w:style>
  <w:style w:type="character" w:customStyle="1" w:styleId="Titre8Car">
    <w:name w:val="Titre 8 Car"/>
    <w:basedOn w:val="Policepardfaut"/>
    <w:link w:val="Titre8"/>
    <w:uiPriority w:val="9"/>
    <w:semiHidden/>
    <w:rsid w:val="00B36AD4"/>
    <w:rPr>
      <w:rFonts w:asciiTheme="majorHAnsi" w:eastAsiaTheme="majorEastAsia" w:hAnsiTheme="majorHAnsi" w:cstheme="majorBidi"/>
      <w:color w:val="404040" w:themeColor="text1" w:themeTint="BF"/>
      <w:sz w:val="20"/>
      <w:szCs w:val="20"/>
      <w:lang w:val="en-US"/>
    </w:rPr>
  </w:style>
  <w:style w:type="character" w:customStyle="1" w:styleId="Titre9Car">
    <w:name w:val="Titre 9 Car"/>
    <w:basedOn w:val="Policepardfaut"/>
    <w:link w:val="Titre9"/>
    <w:uiPriority w:val="9"/>
    <w:semiHidden/>
    <w:rsid w:val="00B36AD4"/>
    <w:rPr>
      <w:rFonts w:asciiTheme="majorHAnsi" w:eastAsiaTheme="majorEastAsia" w:hAnsiTheme="majorHAnsi" w:cstheme="majorBidi"/>
      <w:i/>
      <w:iCs/>
      <w:color w:val="404040" w:themeColor="text1" w:themeTint="BF"/>
      <w:sz w:val="20"/>
      <w:szCs w:val="20"/>
      <w:lang w:val="en-US"/>
    </w:rPr>
  </w:style>
  <w:style w:type="paragraph" w:styleId="NormalWeb">
    <w:name w:val="Normal (Web)"/>
    <w:basedOn w:val="Normal"/>
    <w:uiPriority w:val="99"/>
    <w:unhideWhenUsed/>
    <w:rsid w:val="00B36AD4"/>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Lienhypertexte">
    <w:name w:val="Hyperlink"/>
    <w:basedOn w:val="Policepardfaut"/>
    <w:uiPriority w:val="99"/>
    <w:unhideWhenUsed/>
    <w:rsid w:val="00B36AD4"/>
    <w:rPr>
      <w:color w:val="0563C1" w:themeColor="hyperlink"/>
      <w:u w:val="single"/>
    </w:rPr>
  </w:style>
  <w:style w:type="paragraph" w:styleId="En-tte">
    <w:name w:val="header"/>
    <w:basedOn w:val="Normal"/>
    <w:link w:val="En-tteCar"/>
    <w:uiPriority w:val="99"/>
    <w:unhideWhenUsed/>
    <w:rsid w:val="00B36AD4"/>
    <w:pPr>
      <w:tabs>
        <w:tab w:val="center" w:pos="4680"/>
        <w:tab w:val="right" w:pos="9360"/>
      </w:tabs>
      <w:spacing w:after="0" w:line="240" w:lineRule="auto"/>
    </w:pPr>
    <w:rPr>
      <w:rFonts w:ascii="Trebuchet MS" w:hAnsi="Trebuchet MS"/>
      <w:lang w:val="en-US"/>
    </w:rPr>
  </w:style>
  <w:style w:type="character" w:customStyle="1" w:styleId="En-tteCar">
    <w:name w:val="En-tête Car"/>
    <w:basedOn w:val="Policepardfaut"/>
    <w:link w:val="En-tte"/>
    <w:uiPriority w:val="99"/>
    <w:rsid w:val="00B36AD4"/>
    <w:rPr>
      <w:rFonts w:ascii="Trebuchet MS" w:hAnsi="Trebuchet MS"/>
      <w:lang w:val="en-US"/>
    </w:rPr>
  </w:style>
  <w:style w:type="paragraph" w:styleId="Pieddepage">
    <w:name w:val="footer"/>
    <w:basedOn w:val="Normal"/>
    <w:link w:val="PieddepageCar"/>
    <w:uiPriority w:val="99"/>
    <w:unhideWhenUsed/>
    <w:rsid w:val="00B36AD4"/>
    <w:pPr>
      <w:tabs>
        <w:tab w:val="center" w:pos="4680"/>
        <w:tab w:val="right" w:pos="9360"/>
      </w:tabs>
      <w:spacing w:after="0" w:line="240" w:lineRule="auto"/>
    </w:pPr>
    <w:rPr>
      <w:rFonts w:ascii="Trebuchet MS" w:hAnsi="Trebuchet MS"/>
      <w:lang w:val="en-US"/>
    </w:rPr>
  </w:style>
  <w:style w:type="character" w:customStyle="1" w:styleId="PieddepageCar">
    <w:name w:val="Pied de page Car"/>
    <w:basedOn w:val="Policepardfaut"/>
    <w:link w:val="Pieddepage"/>
    <w:uiPriority w:val="99"/>
    <w:rsid w:val="00B36AD4"/>
    <w:rPr>
      <w:rFonts w:ascii="Trebuchet MS" w:hAnsi="Trebuchet MS"/>
      <w:lang w:val="en-US"/>
    </w:rPr>
  </w:style>
  <w:style w:type="paragraph" w:styleId="Titre">
    <w:name w:val="Title"/>
    <w:basedOn w:val="Normal"/>
    <w:next w:val="Normal"/>
    <w:link w:val="TitreCar"/>
    <w:uiPriority w:val="10"/>
    <w:qFormat/>
    <w:rsid w:val="00B36AD4"/>
    <w:pPr>
      <w:pageBreakBefore/>
      <w:spacing w:after="0" w:line="240" w:lineRule="auto"/>
      <w:jc w:val="both"/>
    </w:pPr>
    <w:rPr>
      <w:rFonts w:ascii="Trebuchet MS" w:hAnsi="Trebuchet MS" w:cs="Arial"/>
      <w:b/>
      <w:color w:val="005CA9"/>
      <w:sz w:val="30"/>
      <w:szCs w:val="30"/>
      <w:lang w:val="en-GB"/>
    </w:rPr>
  </w:style>
  <w:style w:type="character" w:customStyle="1" w:styleId="TitreCar">
    <w:name w:val="Titre Car"/>
    <w:basedOn w:val="Policepardfaut"/>
    <w:link w:val="Titre"/>
    <w:uiPriority w:val="10"/>
    <w:rsid w:val="00B36AD4"/>
    <w:rPr>
      <w:rFonts w:ascii="Trebuchet MS" w:hAnsi="Trebuchet MS" w:cs="Arial"/>
      <w:b/>
      <w:color w:val="005CA9"/>
      <w:sz w:val="30"/>
      <w:szCs w:val="30"/>
      <w:lang w:val="en-GB"/>
    </w:rPr>
  </w:style>
  <w:style w:type="paragraph" w:styleId="Notedebasdepage">
    <w:name w:val="footnote text"/>
    <w:basedOn w:val="Normal"/>
    <w:link w:val="NotedebasdepageCar"/>
    <w:uiPriority w:val="99"/>
    <w:semiHidden/>
    <w:unhideWhenUsed/>
    <w:rsid w:val="00B36AD4"/>
    <w:pPr>
      <w:spacing w:after="0" w:line="240" w:lineRule="auto"/>
      <w:jc w:val="both"/>
    </w:pPr>
    <w:rPr>
      <w:rFonts w:ascii="Trebuchet MS" w:hAnsi="Trebuchet MS"/>
      <w:sz w:val="20"/>
      <w:szCs w:val="20"/>
      <w:lang w:val="nl-NL"/>
    </w:rPr>
  </w:style>
  <w:style w:type="character" w:customStyle="1" w:styleId="NotedebasdepageCar">
    <w:name w:val="Note de bas de page Car"/>
    <w:basedOn w:val="Policepardfaut"/>
    <w:link w:val="Notedebasdepage"/>
    <w:uiPriority w:val="99"/>
    <w:semiHidden/>
    <w:rsid w:val="00B36AD4"/>
    <w:rPr>
      <w:rFonts w:ascii="Trebuchet MS" w:hAnsi="Trebuchet MS"/>
      <w:sz w:val="20"/>
      <w:szCs w:val="20"/>
      <w:lang w:val="nl-NL"/>
    </w:rPr>
  </w:style>
  <w:style w:type="character" w:styleId="Appelnotedebasdep">
    <w:name w:val="footnote reference"/>
    <w:basedOn w:val="Policepardfaut"/>
    <w:uiPriority w:val="99"/>
    <w:semiHidden/>
    <w:unhideWhenUsed/>
    <w:rsid w:val="00B36AD4"/>
    <w:rPr>
      <w:vertAlign w:val="superscript"/>
    </w:rPr>
  </w:style>
  <w:style w:type="paragraph" w:customStyle="1" w:styleId="Default">
    <w:name w:val="Default"/>
    <w:rsid w:val="00B36AD4"/>
    <w:pPr>
      <w:autoSpaceDE w:val="0"/>
      <w:autoSpaceDN w:val="0"/>
      <w:adjustRightInd w:val="0"/>
      <w:spacing w:after="0" w:line="240" w:lineRule="auto"/>
    </w:pPr>
    <w:rPr>
      <w:rFonts w:ascii="Calibri" w:hAnsi="Calibri" w:cs="Calibri"/>
      <w:color w:val="000000"/>
      <w:sz w:val="24"/>
      <w:szCs w:val="24"/>
      <w:lang w:val="en-US"/>
    </w:rPr>
  </w:style>
  <w:style w:type="paragraph" w:styleId="Textedebulles">
    <w:name w:val="Balloon Text"/>
    <w:basedOn w:val="Normal"/>
    <w:link w:val="TextedebullesCar"/>
    <w:uiPriority w:val="99"/>
    <w:semiHidden/>
    <w:unhideWhenUsed/>
    <w:rsid w:val="00B36AD4"/>
    <w:pPr>
      <w:spacing w:after="0" w:line="240" w:lineRule="auto"/>
    </w:pPr>
    <w:rPr>
      <w:rFonts w:ascii="Tahoma" w:hAnsi="Tahoma" w:cs="Tahoma"/>
      <w:sz w:val="16"/>
      <w:szCs w:val="16"/>
      <w:lang w:val="en-US"/>
    </w:rPr>
  </w:style>
  <w:style w:type="character" w:customStyle="1" w:styleId="TextedebullesCar">
    <w:name w:val="Texte de bulles Car"/>
    <w:basedOn w:val="Policepardfaut"/>
    <w:link w:val="Textedebulles"/>
    <w:uiPriority w:val="99"/>
    <w:semiHidden/>
    <w:rsid w:val="00B36AD4"/>
    <w:rPr>
      <w:rFonts w:ascii="Tahoma" w:hAnsi="Tahoma" w:cs="Tahoma"/>
      <w:sz w:val="16"/>
      <w:szCs w:val="16"/>
      <w:lang w:val="en-US"/>
    </w:rPr>
  </w:style>
  <w:style w:type="paragraph" w:styleId="Paragraphedeliste">
    <w:name w:val="List Paragraph"/>
    <w:basedOn w:val="Normal"/>
    <w:link w:val="ParagraphedelisteCar"/>
    <w:uiPriority w:val="34"/>
    <w:qFormat/>
    <w:rsid w:val="00B36AD4"/>
    <w:pPr>
      <w:spacing w:after="0" w:line="240" w:lineRule="auto"/>
      <w:ind w:left="720"/>
      <w:contextualSpacing/>
      <w:jc w:val="both"/>
    </w:pPr>
    <w:rPr>
      <w:rFonts w:ascii="Times New Roman" w:eastAsiaTheme="minorEastAsia" w:hAnsi="Times New Roman" w:cs="Times New Roman"/>
      <w:sz w:val="24"/>
      <w:szCs w:val="24"/>
      <w:lang w:val="nl-NL" w:eastAsia="nl-NL"/>
    </w:rPr>
  </w:style>
  <w:style w:type="paragraph" w:styleId="En-ttedetabledesmatires">
    <w:name w:val="TOC Heading"/>
    <w:basedOn w:val="Titre1"/>
    <w:next w:val="Normal"/>
    <w:uiPriority w:val="39"/>
    <w:unhideWhenUsed/>
    <w:qFormat/>
    <w:rsid w:val="00B36AD4"/>
    <w:pPr>
      <w:keepNext/>
      <w:keepLines/>
      <w:numPr>
        <w:numId w:val="0"/>
      </w:numPr>
      <w:spacing w:before="480" w:after="0" w:line="276" w:lineRule="auto"/>
      <w:jc w:val="left"/>
      <w:outlineLvl w:val="9"/>
    </w:pPr>
    <w:rPr>
      <w:rFonts w:asciiTheme="majorHAnsi" w:eastAsiaTheme="majorEastAsia" w:hAnsiTheme="majorHAnsi" w:cstheme="majorBidi"/>
      <w:bCs/>
      <w:color w:val="2E74B5" w:themeColor="accent1" w:themeShade="BF"/>
      <w:sz w:val="28"/>
      <w:szCs w:val="28"/>
      <w:u w:val="none"/>
      <w:lang w:val="en-US" w:eastAsia="ja-JP"/>
    </w:rPr>
  </w:style>
  <w:style w:type="paragraph" w:styleId="TM1">
    <w:name w:val="toc 1"/>
    <w:basedOn w:val="Normal"/>
    <w:next w:val="Normal"/>
    <w:autoRedefine/>
    <w:uiPriority w:val="39"/>
    <w:unhideWhenUsed/>
    <w:rsid w:val="00B36AD4"/>
    <w:pPr>
      <w:spacing w:after="100" w:line="276" w:lineRule="auto"/>
    </w:pPr>
    <w:rPr>
      <w:rFonts w:ascii="Trebuchet MS" w:hAnsi="Trebuchet MS"/>
      <w:lang w:val="en-US"/>
    </w:rPr>
  </w:style>
  <w:style w:type="paragraph" w:styleId="TM2">
    <w:name w:val="toc 2"/>
    <w:basedOn w:val="Normal"/>
    <w:next w:val="Normal"/>
    <w:autoRedefine/>
    <w:uiPriority w:val="39"/>
    <w:unhideWhenUsed/>
    <w:rsid w:val="00B36AD4"/>
    <w:pPr>
      <w:spacing w:after="100" w:line="276" w:lineRule="auto"/>
      <w:ind w:left="220"/>
    </w:pPr>
    <w:rPr>
      <w:rFonts w:ascii="Trebuchet MS" w:hAnsi="Trebuchet MS"/>
      <w:lang w:val="en-US"/>
    </w:rPr>
  </w:style>
  <w:style w:type="paragraph" w:styleId="Notedefin">
    <w:name w:val="endnote text"/>
    <w:basedOn w:val="Normal"/>
    <w:link w:val="NotedefinCar"/>
    <w:uiPriority w:val="99"/>
    <w:semiHidden/>
    <w:unhideWhenUsed/>
    <w:rsid w:val="00B36AD4"/>
    <w:pPr>
      <w:spacing w:after="0" w:line="240" w:lineRule="auto"/>
    </w:pPr>
    <w:rPr>
      <w:rFonts w:ascii="Trebuchet MS" w:hAnsi="Trebuchet MS"/>
      <w:sz w:val="20"/>
      <w:szCs w:val="20"/>
      <w:lang w:val="en-US"/>
    </w:rPr>
  </w:style>
  <w:style w:type="character" w:customStyle="1" w:styleId="NotedefinCar">
    <w:name w:val="Note de fin Car"/>
    <w:basedOn w:val="Policepardfaut"/>
    <w:link w:val="Notedefin"/>
    <w:uiPriority w:val="99"/>
    <w:semiHidden/>
    <w:rsid w:val="00B36AD4"/>
    <w:rPr>
      <w:rFonts w:ascii="Trebuchet MS" w:hAnsi="Trebuchet MS"/>
      <w:sz w:val="20"/>
      <w:szCs w:val="20"/>
      <w:lang w:val="en-US"/>
    </w:rPr>
  </w:style>
  <w:style w:type="character" w:styleId="Appeldenotedefin">
    <w:name w:val="endnote reference"/>
    <w:basedOn w:val="Policepardfaut"/>
    <w:uiPriority w:val="99"/>
    <w:semiHidden/>
    <w:unhideWhenUsed/>
    <w:rsid w:val="00B36AD4"/>
    <w:rPr>
      <w:vertAlign w:val="superscript"/>
    </w:rPr>
  </w:style>
  <w:style w:type="paragraph" w:styleId="TM3">
    <w:name w:val="toc 3"/>
    <w:basedOn w:val="Normal"/>
    <w:next w:val="Normal"/>
    <w:autoRedefine/>
    <w:uiPriority w:val="39"/>
    <w:unhideWhenUsed/>
    <w:rsid w:val="00B36AD4"/>
    <w:pPr>
      <w:spacing w:after="100" w:line="276" w:lineRule="auto"/>
      <w:ind w:left="440"/>
    </w:pPr>
    <w:rPr>
      <w:rFonts w:ascii="Trebuchet MS" w:hAnsi="Trebuchet MS"/>
      <w:lang w:val="en-US"/>
    </w:rPr>
  </w:style>
  <w:style w:type="character" w:styleId="Marquedecommentaire">
    <w:name w:val="annotation reference"/>
    <w:basedOn w:val="Policepardfaut"/>
    <w:uiPriority w:val="99"/>
    <w:semiHidden/>
    <w:unhideWhenUsed/>
    <w:rsid w:val="00B36AD4"/>
    <w:rPr>
      <w:sz w:val="16"/>
      <w:szCs w:val="16"/>
    </w:rPr>
  </w:style>
  <w:style w:type="paragraph" w:styleId="Commentaire">
    <w:name w:val="annotation text"/>
    <w:basedOn w:val="Normal"/>
    <w:link w:val="CommentaireCar"/>
    <w:uiPriority w:val="99"/>
    <w:unhideWhenUsed/>
    <w:rsid w:val="00B36AD4"/>
    <w:pPr>
      <w:spacing w:after="200" w:line="240" w:lineRule="auto"/>
    </w:pPr>
    <w:rPr>
      <w:rFonts w:ascii="Trebuchet MS" w:hAnsi="Trebuchet MS"/>
      <w:sz w:val="20"/>
      <w:szCs w:val="20"/>
      <w:lang w:val="en-US"/>
    </w:rPr>
  </w:style>
  <w:style w:type="character" w:customStyle="1" w:styleId="CommentaireCar">
    <w:name w:val="Commentaire Car"/>
    <w:basedOn w:val="Policepardfaut"/>
    <w:link w:val="Commentaire"/>
    <w:uiPriority w:val="99"/>
    <w:rsid w:val="00B36AD4"/>
    <w:rPr>
      <w:rFonts w:ascii="Trebuchet MS" w:hAnsi="Trebuchet MS"/>
      <w:sz w:val="20"/>
      <w:szCs w:val="20"/>
      <w:lang w:val="en-US"/>
    </w:rPr>
  </w:style>
  <w:style w:type="paragraph" w:styleId="Objetducommentaire">
    <w:name w:val="annotation subject"/>
    <w:basedOn w:val="Commentaire"/>
    <w:next w:val="Commentaire"/>
    <w:link w:val="ObjetducommentaireCar"/>
    <w:uiPriority w:val="99"/>
    <w:semiHidden/>
    <w:unhideWhenUsed/>
    <w:rsid w:val="00B36AD4"/>
    <w:rPr>
      <w:b/>
      <w:bCs/>
    </w:rPr>
  </w:style>
  <w:style w:type="character" w:customStyle="1" w:styleId="ObjetducommentaireCar">
    <w:name w:val="Objet du commentaire Car"/>
    <w:basedOn w:val="CommentaireCar"/>
    <w:link w:val="Objetducommentaire"/>
    <w:uiPriority w:val="99"/>
    <w:semiHidden/>
    <w:rsid w:val="00B36AD4"/>
    <w:rPr>
      <w:rFonts w:ascii="Trebuchet MS" w:hAnsi="Trebuchet MS"/>
      <w:b/>
      <w:bCs/>
      <w:sz w:val="20"/>
      <w:szCs w:val="20"/>
      <w:lang w:val="en-US"/>
    </w:rPr>
  </w:style>
  <w:style w:type="table" w:styleId="Grilledutableau">
    <w:name w:val="Table Grid"/>
    <w:basedOn w:val="TableauNormal"/>
    <w:uiPriority w:val="59"/>
    <w:rsid w:val="00B36AD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1">
    <w:name w:val="Light Shading Accent 1"/>
    <w:basedOn w:val="TableauNormal"/>
    <w:uiPriority w:val="60"/>
    <w:rsid w:val="00B36AD4"/>
    <w:pPr>
      <w:spacing w:after="0" w:line="240" w:lineRule="auto"/>
    </w:pPr>
    <w:rPr>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rameclaire-Accent5">
    <w:name w:val="Light Shading Accent 5"/>
    <w:basedOn w:val="TableauNormal"/>
    <w:uiPriority w:val="60"/>
    <w:rsid w:val="00B36AD4"/>
    <w:pPr>
      <w:spacing w:after="0" w:line="240" w:lineRule="auto"/>
    </w:pPr>
    <w:rPr>
      <w:color w:val="2F5496" w:themeColor="accent5" w:themeShade="BF"/>
      <w:lang w:val="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ParagraphedelisteCar">
    <w:name w:val="Paragraphe de liste Car"/>
    <w:basedOn w:val="Policepardfaut"/>
    <w:link w:val="Paragraphedeliste"/>
    <w:uiPriority w:val="34"/>
    <w:rsid w:val="00B36AD4"/>
    <w:rPr>
      <w:rFonts w:ascii="Times New Roman" w:eastAsiaTheme="minorEastAsia" w:hAnsi="Times New Roman" w:cs="Times New Roman"/>
      <w:sz w:val="24"/>
      <w:szCs w:val="24"/>
      <w:lang w:val="nl-NL" w:eastAsia="nl-NL"/>
    </w:rPr>
  </w:style>
  <w:style w:type="paragraph" w:customStyle="1" w:styleId="Figure">
    <w:name w:val="Figure"/>
    <w:basedOn w:val="Normal"/>
    <w:rsid w:val="00B36AD4"/>
    <w:pPr>
      <w:spacing w:after="200" w:line="240" w:lineRule="auto"/>
    </w:pPr>
    <w:rPr>
      <w:sz w:val="24"/>
      <w:szCs w:val="24"/>
      <w:lang w:val="en-US"/>
    </w:rPr>
  </w:style>
  <w:style w:type="paragraph" w:styleId="Corpsdetexte">
    <w:name w:val="Body Text"/>
    <w:basedOn w:val="Normal"/>
    <w:link w:val="CorpsdetexteCar"/>
    <w:qFormat/>
    <w:rsid w:val="00B36AD4"/>
    <w:pPr>
      <w:spacing w:before="180" w:after="180" w:line="240" w:lineRule="auto"/>
    </w:pPr>
    <w:rPr>
      <w:sz w:val="24"/>
      <w:szCs w:val="24"/>
      <w:lang w:val="en-US"/>
    </w:rPr>
  </w:style>
  <w:style w:type="character" w:customStyle="1" w:styleId="CorpsdetexteCar">
    <w:name w:val="Corps de texte Car"/>
    <w:basedOn w:val="Policepardfaut"/>
    <w:link w:val="Corpsdetexte"/>
    <w:rsid w:val="00B36AD4"/>
    <w:rPr>
      <w:sz w:val="24"/>
      <w:szCs w:val="24"/>
      <w:lang w:val="en-US"/>
    </w:rPr>
  </w:style>
  <w:style w:type="paragraph" w:customStyle="1" w:styleId="EndNoteBibliography">
    <w:name w:val="EndNote Bibliography"/>
    <w:basedOn w:val="Normal"/>
    <w:link w:val="EndNoteBibliographyCar"/>
    <w:rsid w:val="00B36AD4"/>
    <w:pPr>
      <w:spacing w:line="240" w:lineRule="auto"/>
    </w:pPr>
    <w:rPr>
      <w:rFonts w:ascii="Trebuchet MS" w:hAnsi="Trebuchet MS"/>
      <w:noProof/>
      <w:lang w:val="en-US"/>
    </w:rPr>
  </w:style>
  <w:style w:type="character" w:customStyle="1" w:styleId="EndNoteBibliographyCar">
    <w:name w:val="EndNote Bibliography Car"/>
    <w:basedOn w:val="Policepardfaut"/>
    <w:link w:val="EndNoteBibliography"/>
    <w:rsid w:val="00B36AD4"/>
    <w:rPr>
      <w:rFonts w:ascii="Trebuchet MS" w:hAnsi="Trebuchet MS"/>
      <w:noProof/>
      <w:lang w:val="en-US"/>
    </w:rPr>
  </w:style>
  <w:style w:type="paragraph" w:customStyle="1" w:styleId="EndNoteBibliographyTitle">
    <w:name w:val="EndNote Bibliography Title"/>
    <w:basedOn w:val="Normal"/>
    <w:link w:val="EndNoteBibliographyTitleCar"/>
    <w:rsid w:val="00B36AD4"/>
    <w:pPr>
      <w:spacing w:after="0" w:line="276" w:lineRule="auto"/>
      <w:jc w:val="center"/>
    </w:pPr>
    <w:rPr>
      <w:rFonts w:ascii="Trebuchet MS" w:hAnsi="Trebuchet MS"/>
      <w:noProof/>
      <w:lang w:val="en-US"/>
    </w:rPr>
  </w:style>
  <w:style w:type="character" w:customStyle="1" w:styleId="EndNoteBibliographyTitleCar">
    <w:name w:val="EndNote Bibliography Title Car"/>
    <w:basedOn w:val="EndNoteBibliographyCar"/>
    <w:link w:val="EndNoteBibliographyTitle"/>
    <w:rsid w:val="00B36AD4"/>
    <w:rPr>
      <w:rFonts w:ascii="Trebuchet MS" w:hAnsi="Trebuchet MS"/>
      <w:noProof/>
      <w:lang w:val="en-US"/>
    </w:rPr>
  </w:style>
  <w:style w:type="character" w:customStyle="1" w:styleId="EC-ParaCharChar">
    <w:name w:val="EC-Para Char Char"/>
    <w:basedOn w:val="Policepardfaut"/>
    <w:link w:val="EC-Para"/>
    <w:locked/>
    <w:rsid w:val="00B36AD4"/>
    <w:rPr>
      <w:rFonts w:ascii="Arial Unicode MS" w:eastAsia="Arial Unicode MS" w:hAnsi="Arial Unicode MS" w:cs="Arial Unicode MS"/>
      <w:color w:val="000000" w:themeColor="text1"/>
      <w:kern w:val="16"/>
      <w:sz w:val="18"/>
      <w:szCs w:val="18"/>
      <w:lang w:eastAsia="ko-KR"/>
    </w:rPr>
  </w:style>
  <w:style w:type="paragraph" w:customStyle="1" w:styleId="EC-Para">
    <w:name w:val="EC-Para"/>
    <w:link w:val="EC-ParaCharChar"/>
    <w:qFormat/>
    <w:rsid w:val="00B36AD4"/>
    <w:pPr>
      <w:kinsoku w:val="0"/>
      <w:autoSpaceDE w:val="0"/>
      <w:autoSpaceDN w:val="0"/>
      <w:adjustRightInd w:val="0"/>
      <w:spacing w:after="120" w:line="200" w:lineRule="atLeast"/>
    </w:pPr>
    <w:rPr>
      <w:rFonts w:ascii="Arial Unicode MS" w:eastAsia="Arial Unicode MS" w:hAnsi="Arial Unicode MS" w:cs="Arial Unicode MS"/>
      <w:color w:val="000000" w:themeColor="text1"/>
      <w:kern w:val="16"/>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hdx.healthdata.org/gbd-2017/data-input-sources" TargetMode="External"/><Relationship Id="rId13" Type="http://schemas.openxmlformats.org/officeDocument/2006/relationships/image" Target="media/image2.png"/><Relationship Id="rId18" Type="http://schemas.openxmlformats.org/officeDocument/2006/relationships/hyperlink" Target="https://partage.santepubliquefrance.fr/public/folder/PYP5c1ltkUyhDSqwmW_88A/Country%20Health%20Profil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izhub.healthdata.org/gbd-compare/"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data.org/results/country-profiles"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spma.wiv-isp.be/SitePages/Home.aspx" TargetMode="External"/><Relationship Id="rId19" Type="http://schemas.openxmlformats.org/officeDocument/2006/relationships/hyperlink" Target="mailto:Romana.HANEEF@santepubliquefrance.fr" TargetMode="External"/><Relationship Id="rId4" Type="http://schemas.openxmlformats.org/officeDocument/2006/relationships/webSettings" Target="webSettings.xml"/><Relationship Id="rId9" Type="http://schemas.openxmlformats.org/officeDocument/2006/relationships/hyperlink" Target="https://espaces.santepubliquefrance.fr/espace_projets/Accueil/gbd"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ghdx.healthdata.org/record/ihme-data/gbd-2015-socio-demographic-index-sdi-1980%E2%80%932015" TargetMode="External"/><Relationship Id="rId1" Type="http://schemas.openxmlformats.org/officeDocument/2006/relationships/hyperlink" Target="http://www.healthdata.org/acting-data/new-way-measuring-development-helps-assess-health-system-performa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8719</Words>
  <Characters>47956</Characters>
  <Application>Microsoft Office Word</Application>
  <DocSecurity>0</DocSecurity>
  <Lines>399</Lines>
  <Paragraphs>113</Paragraphs>
  <ScaleCrop>false</ScaleCrop>
  <HeadingPairs>
    <vt:vector size="2" baseType="variant">
      <vt:variant>
        <vt:lpstr>Titre</vt:lpstr>
      </vt:variant>
      <vt:variant>
        <vt:i4>1</vt:i4>
      </vt:variant>
    </vt:vector>
  </HeadingPairs>
  <TitlesOfParts>
    <vt:vector size="1" baseType="lpstr">
      <vt:lpstr/>
    </vt:vector>
  </TitlesOfParts>
  <Company>ANSP</Company>
  <LinksUpToDate>false</LinksUpToDate>
  <CharactersWithSpaces>56562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HANEEF Romana</dc:creator>
  <cp:keywords/>
  <dc:description/>
  <cp:lastModifiedBy>HANEEF Romana</cp:lastModifiedBy>
  <cp:revision>4</cp:revision>
  <dcterms:created xsi:type="dcterms:W3CDTF">2021-02-19T10:44:00Z</dcterms:created>
  <dcterms:modified xsi:type="dcterms:W3CDTF">2021-02-19T10:51:00Z</dcterms:modified>
</cp:coreProperties>
</file>