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31" w:tblpY="2022"/>
        <w:tblOverlap w:val="never"/>
        <w:tblW w:w="4900" w:type="pct"/>
        <w:tblInd w:w="0" w:type="dxa"/>
        <w:tblBorders>
          <w:top w:val="single" w:color="4472C4" w:sz="8" w:space="0"/>
          <w:left w:val="none" w:color="auto" w:sz="6" w:space="0"/>
          <w:bottom w:val="single" w:color="4472C4" w:sz="12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7"/>
        <w:gridCol w:w="2246"/>
        <w:gridCol w:w="1890"/>
        <w:gridCol w:w="1189"/>
      </w:tblGrid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12" w:type="pct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noWrap/>
            <w:vAlign w:val="top"/>
          </w:tcPr>
          <w:p>
            <w:pPr>
              <w:widowControl/>
              <w:ind w:firstLine="201" w:firstLine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  <w:t>State</w:t>
            </w:r>
          </w:p>
        </w:tc>
        <w:tc>
          <w:tcPr>
            <w:tcW w:w="1344" w:type="pct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  <w:t>Experimental group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128" w:type="pct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noWrap w:val="0"/>
            <w:vAlign w:val="top"/>
          </w:tcPr>
          <w:p>
            <w:pPr>
              <w:widowControl/>
              <w:ind w:firstLine="201" w:firstLine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  <w:t>Control group</w:t>
            </w:r>
          </w:p>
        </w:tc>
        <w:tc>
          <w:tcPr>
            <w:tcW w:w="712" w:type="pct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  <w:t>Reference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12" w:type="pct"/>
            <w:tcBorders>
              <w:top w:val="single" w:color="000000" w:sz="6" w:space="0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No complications</w:t>
            </w:r>
          </w:p>
        </w:tc>
        <w:tc>
          <w:tcPr>
            <w:tcW w:w="1344" w:type="pct"/>
            <w:tcBorders>
              <w:top w:val="single" w:color="000000" w:sz="6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8" w:type="pct"/>
            <w:tcBorders>
              <w:top w:val="single" w:color="000000" w:sz="6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single" w:color="000000" w:sz="6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Diabetes without complications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hint="default" w:ascii="Times New Roman" w:hAnsi="Times New Roman"/>
                <w:color w:val="000000"/>
              </w:rPr>
            </w:pPr>
            <w:r>
              <w:rPr>
                <w:rFonts w:hint="default" w:ascii="Times New Roman" w:hAnsi="Times New Roman"/>
                <w:color w:val="000000"/>
              </w:rPr>
              <w:t>0.94168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hint="default" w:ascii="Times New Roman" w:hAnsi="Times New Roman"/>
                <w:color w:val="000000"/>
              </w:rPr>
            </w:pPr>
            <w:r>
              <w:rPr>
                <w:rFonts w:hint="default" w:ascii="Times New Roman" w:hAnsi="Times New Roman"/>
                <w:color w:val="000000"/>
              </w:rPr>
              <w:t>0.7647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ind w:firstLine="220" w:firstLineChars="100"/>
              <w:jc w:val="center"/>
              <w:rPr>
                <w:rFonts w:hint="default" w:ascii="Times New Roman" w:hAnsi="Times New Roman"/>
                <w:color w:val="000000"/>
              </w:rPr>
            </w:pPr>
            <w:r>
              <w:rPr>
                <w:rFonts w:hint="default" w:ascii="Times New Roman" w:hAnsi="Times New Roman"/>
                <w:color w:val="000000"/>
              </w:rPr>
              <w:t>Auto※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Diabetes to Myocardial Infarction</w:t>
            </w:r>
          </w:p>
          <w:p>
            <w:pPr>
              <w:widowControl/>
              <w:ind w:firstLine="400" w:firstLineChars="200"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hint="default" w:ascii="Times New Roman" w:hAnsi="Times New Roman"/>
                <w:color w:val="000000"/>
              </w:rPr>
            </w:pPr>
            <w:r>
              <w:rPr>
                <w:rFonts w:hint="default" w:ascii="Times New Roman" w:hAnsi="Times New Roman"/>
                <w:color w:val="000000"/>
              </w:rPr>
              <w:t>0.0320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hint="default" w:ascii="Times New Roman" w:hAnsi="Times New Roman"/>
                <w:color w:val="000000"/>
              </w:rPr>
            </w:pPr>
            <w:r>
              <w:rPr>
                <w:rFonts w:hint="default" w:ascii="Times New Roman" w:hAnsi="Times New Roman"/>
                <w:color w:val="000000"/>
              </w:rPr>
              <w:t>0.1951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jc w:val="right"/>
              <w:rPr>
                <w:rFonts w:hint="eastAsia" w:ascii="Times New Roman" w:hAnsi="Times New Roman"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[</w:t>
            </w:r>
            <w:r>
              <w:rPr>
                <w:rFonts w:hint="default" w:ascii="Times New Roman" w:hAnsi="Times New Roman"/>
                <w:color w:val="000000"/>
                <w:sz w:val="21"/>
                <w:szCs w:val="21"/>
              </w:rPr>
              <w:t>18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]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Diabetes to Stroke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hint="default" w:ascii="Times New Roman" w:hAnsi="Times New Roman" w:eastAsia="等线"/>
                <w:color w:val="000000"/>
                <w:lang w:val="en-US" w:eastAsia="zh-CN"/>
              </w:rPr>
            </w:pPr>
            <w:r>
              <w:rPr>
                <w:rFonts w:hint="default" w:ascii="Times New Roman" w:hAnsi="Times New Roman"/>
                <w:color w:val="000000"/>
              </w:rPr>
              <w:t xml:space="preserve">0.015 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[19]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hint="default" w:ascii="Times New Roman" w:hAnsi="Times New Roman" w:eastAsia="等线"/>
                <w:color w:val="000000"/>
                <w:lang w:val="en-US" w:eastAsia="zh-CN"/>
              </w:rPr>
            </w:pPr>
            <w:r>
              <w:rPr>
                <w:rFonts w:hint="default" w:ascii="Times New Roman" w:hAnsi="Times New Roman"/>
                <w:color w:val="000000"/>
              </w:rPr>
              <w:t>0.0201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[20]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jc w:val="right"/>
              <w:rPr>
                <w:rFonts w:hint="default"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Diabetes to DN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hint="default" w:ascii="Times New Roman" w:hAnsi="Times New Roman"/>
                <w:color w:val="000000"/>
              </w:rPr>
            </w:pPr>
            <w:r>
              <w:rPr>
                <w:rFonts w:hint="default" w:ascii="Times New Roman" w:hAnsi="Times New Roman"/>
                <w:color w:val="000000"/>
              </w:rPr>
              <w:t>0.0064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hint="default" w:ascii="Times New Roman" w:hAnsi="Times New Roman"/>
                <w:color w:val="000000"/>
              </w:rPr>
            </w:pPr>
            <w:r>
              <w:rPr>
                <w:rFonts w:hint="default" w:ascii="Times New Roman" w:hAnsi="Times New Roman"/>
                <w:color w:val="000000"/>
              </w:rPr>
              <w:t>0.0094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jc w:val="right"/>
              <w:rPr>
                <w:rFonts w:hint="eastAsia" w:ascii="Times New Roman" w:hAnsi="Times New Roman"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[</w:t>
            </w:r>
            <w:r>
              <w:rPr>
                <w:rFonts w:hint="default" w:ascii="Times New Roman" w:hAnsi="Times New Roman"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]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Diabetes to DF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hint="default" w:ascii="Times New Roman" w:hAnsi="Times New Roman"/>
                <w:color w:val="000000"/>
              </w:rPr>
            </w:pPr>
            <w:r>
              <w:rPr>
                <w:rFonts w:hint="default" w:ascii="Times New Roman" w:hAnsi="Times New Roman"/>
                <w:color w:val="000000"/>
              </w:rPr>
              <w:t>0.0015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hint="default" w:ascii="Times New Roman" w:hAnsi="Times New Roman"/>
                <w:color w:val="000000"/>
              </w:rPr>
            </w:pPr>
            <w:r>
              <w:rPr>
                <w:rFonts w:hint="default" w:ascii="Times New Roman" w:hAnsi="Times New Roman"/>
                <w:color w:val="000000"/>
              </w:rPr>
              <w:t>0.0039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jc w:val="right"/>
              <w:rPr>
                <w:rFonts w:hint="eastAsia" w:ascii="Times New Roman" w:hAnsi="Times New Roman"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[</w:t>
            </w:r>
            <w:r>
              <w:rPr>
                <w:rFonts w:hint="default" w:ascii="Times New Roman" w:hAnsi="Times New Roman"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]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Diabetes to die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220" w:firstLineChars="10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0.00342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ind w:firstLine="220" w:firstLineChars="10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0.00678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jc w:val="right"/>
              <w:rPr>
                <w:rFonts w:hint="eastAsia" w:ascii="Times New Roman" w:hAnsi="Times New Roman"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[</w:t>
            </w:r>
            <w:r>
              <w:rPr>
                <w:rFonts w:hint="default" w:ascii="Times New Roman" w:hAnsi="Times New Roman"/>
                <w:color w:val="000000"/>
                <w:sz w:val="21"/>
                <w:szCs w:val="21"/>
              </w:rPr>
              <w:t>21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]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Die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hint="default" w:ascii="Times New Roman" w:hAnsi="Times New Roman"/>
                <w:color w:val="000000"/>
              </w:rPr>
            </w:pP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rPr>
                <w:rFonts w:hint="default" w:ascii="Times New Roman" w:hAnsi="Times New Roman"/>
                <w:color w:val="000000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jc w:val="right"/>
              <w:rPr>
                <w:rFonts w:hint="default"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MI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to die</w:t>
            </w:r>
          </w:p>
        </w:tc>
        <w:tc>
          <w:tcPr>
            <w:tcW w:w="2475" w:type="pct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/>
                <w:color w:val="000000"/>
              </w:rPr>
            </w:pPr>
            <w:r>
              <w:rPr>
                <w:rFonts w:hint="default" w:ascii="Times New Roman" w:hAnsi="Times New Roman"/>
                <w:color w:val="000000"/>
              </w:rPr>
              <w:t>0.0472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jc w:val="right"/>
              <w:rPr>
                <w:rFonts w:hint="eastAsia" w:ascii="Times New Roman" w:hAnsi="Times New Roman"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[</w:t>
            </w:r>
            <w:r>
              <w:rPr>
                <w:rFonts w:hint="default" w:ascii="Times New Roman" w:hAnsi="Times New Roman"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]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Stroke to die</w:t>
            </w:r>
          </w:p>
        </w:tc>
        <w:tc>
          <w:tcPr>
            <w:tcW w:w="2475" w:type="pct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/>
                <w:color w:val="000000"/>
                <w:lang w:val="zh-CN"/>
              </w:rPr>
            </w:pPr>
            <w:r>
              <w:rPr>
                <w:rFonts w:hint="default" w:ascii="Times New Roman" w:hAnsi="Times New Roman"/>
                <w:color w:val="000000"/>
              </w:rPr>
              <w:t>0.0454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jc w:val="right"/>
              <w:rPr>
                <w:rFonts w:hint="eastAsia" w:ascii="Times New Roman" w:hAnsi="Times New Roman"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[</w:t>
            </w:r>
            <w:r>
              <w:rPr>
                <w:rFonts w:hint="default" w:ascii="Times New Roman" w:hAnsi="Times New Roman"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]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pct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DN to die</w:t>
            </w:r>
          </w:p>
        </w:tc>
        <w:tc>
          <w:tcPr>
            <w:tcW w:w="2475" w:type="pct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/>
                <w:color w:val="000000"/>
                <w:lang w:val="zh-CN"/>
              </w:rPr>
            </w:pPr>
            <w:r>
              <w:rPr>
                <w:rFonts w:hint="default" w:ascii="Times New Roman" w:hAnsi="Times New Roman"/>
                <w:color w:val="000000"/>
              </w:rPr>
              <w:t>0.0684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6"/>
              <w:jc w:val="right"/>
              <w:rPr>
                <w:rFonts w:hint="eastAsia" w:ascii="Times New Roman" w:hAnsi="Times New Roman"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[</w:t>
            </w:r>
            <w:r>
              <w:rPr>
                <w:rFonts w:hint="default" w:ascii="Times New Roman" w:hAnsi="Times New Roman"/>
                <w:color w:val="000000"/>
                <w:sz w:val="21"/>
                <w:szCs w:val="21"/>
              </w:rPr>
              <w:t>21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]</w:t>
            </w:r>
          </w:p>
        </w:tc>
      </w:tr>
      <w:tr>
        <w:tblPrEx>
          <w:tblBorders>
            <w:top w:val="single" w:color="4472C4" w:sz="8" w:space="0"/>
            <w:left w:val="none" w:color="auto" w:sz="6" w:space="0"/>
            <w:bottom w:val="single" w:color="4472C4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pct"/>
            <w:tcBorders>
              <w:top w:val="nil"/>
              <w:left w:val="nil"/>
              <w:bottom w:val="single" w:color="000000" w:sz="12" w:space="0"/>
              <w:right w:val="nil"/>
            </w:tcBorders>
            <w:noWrap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DF to die </w:t>
            </w:r>
          </w:p>
        </w:tc>
        <w:tc>
          <w:tcPr>
            <w:tcW w:w="2475" w:type="pct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  <w:noWrap w:val="0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/>
                <w:color w:val="000000"/>
                <w:lang w:val="zh-CN"/>
              </w:rPr>
            </w:pPr>
            <w:r>
              <w:rPr>
                <w:rFonts w:hint="default" w:ascii="Times New Roman" w:hAnsi="Times New Roman"/>
                <w:color w:val="000000"/>
              </w:rPr>
              <w:t>0.0655</w:t>
            </w:r>
          </w:p>
        </w:tc>
        <w:tc>
          <w:tcPr>
            <w:tcW w:w="712" w:type="pct"/>
            <w:tcBorders>
              <w:top w:val="nil"/>
              <w:left w:val="nil"/>
              <w:bottom w:val="single" w:color="000000" w:sz="12" w:space="0"/>
              <w:right w:val="nil"/>
            </w:tcBorders>
            <w:noWrap w:val="0"/>
            <w:vAlign w:val="top"/>
          </w:tcPr>
          <w:p>
            <w:pPr>
              <w:pStyle w:val="6"/>
              <w:jc w:val="right"/>
              <w:rPr>
                <w:rFonts w:hint="eastAsia" w:ascii="Times New Roman" w:hAnsi="Times New Roman" w:eastAsia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[</w:t>
            </w:r>
            <w:r>
              <w:rPr>
                <w:rFonts w:hint="default" w:ascii="Times New Roman" w:hAnsi="Times New Roman"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Times New Roman" w:hAnsi="Times New Roman"/>
                <w:color w:val="000000"/>
                <w:sz w:val="21"/>
                <w:szCs w:val="21"/>
                <w:lang w:val="en-US" w:eastAsia="zh-CN"/>
              </w:rPr>
              <w:t>]</w:t>
            </w:r>
          </w:p>
        </w:tc>
      </w:tr>
    </w:tbl>
    <w:p>
      <w:pPr>
        <w:widowControl/>
        <w:jc w:val="left"/>
        <w:rPr>
          <w:b/>
          <w:sz w:val="21"/>
        </w:rPr>
      </w:pPr>
      <w:r>
        <w:rPr>
          <w:rFonts w:ascii="Times New Roman" w:hAnsi="Times New Roman" w:eastAsia="宋体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Table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宋体" w:cs="Times New Roman"/>
          <w:lang w:bidi="ar"/>
        </w:rPr>
        <w:t xml:space="preserve"> </w:t>
      </w:r>
      <w:r>
        <w:rPr>
          <w:rFonts w:ascii="Times New Roman" w:hAnsi="Times New Roman" w:eastAsia="宋体" w:cs="Times New Roman"/>
          <w:sz w:val="20"/>
          <w:szCs w:val="20"/>
        </w:rPr>
        <w:t>Transition probability of each state in diabetic patients in Markov model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宋体" w:cs="Times New Roman"/>
          <w:sz w:val="13"/>
          <w:szCs w:val="13"/>
        </w:rPr>
      </w:pPr>
      <w:r>
        <w:rPr>
          <w:rFonts w:ascii="Times New Roman" w:hAnsi="Times New Roman" w:eastAsia="宋体" w:cs="Times New Roman"/>
          <w:i/>
          <w:iCs/>
          <w:sz w:val="13"/>
          <w:szCs w:val="13"/>
        </w:rPr>
        <w:t>MI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sz w:val="13"/>
          <w:szCs w:val="13"/>
        </w:rPr>
        <w:t>myocardial infarction</w:t>
      </w:r>
      <w:r>
        <w:rPr>
          <w:rFonts w:hint="eastAsia" w:ascii="Times New Roman" w:hAnsi="Times New Roman" w:eastAsia="宋体" w:cs="Times New Roman"/>
          <w:sz w:val="13"/>
          <w:szCs w:val="13"/>
          <w:lang w:val="en-US" w:eastAsia="zh-CN"/>
        </w:rPr>
        <w:t xml:space="preserve"> ,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DF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sz w:val="13"/>
          <w:szCs w:val="13"/>
        </w:rPr>
        <w:t>Diabetic Nephropathy</w:t>
      </w:r>
      <w:r>
        <w:rPr>
          <w:rFonts w:hint="eastAsia" w:ascii="Times New Roman" w:hAnsi="Times New Roman" w:eastAsia="宋体" w:cs="Times New Roman"/>
          <w:sz w:val="13"/>
          <w:szCs w:val="13"/>
          <w:lang w:val="en-US" w:eastAsia="zh-CN"/>
        </w:rPr>
        <w:t xml:space="preserve"> ,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DN</w:t>
      </w:r>
      <w:r>
        <w:rPr>
          <w:rFonts w:hint="eastAsia" w:ascii="Times New Roman" w:hAnsi="Times New Roman" w:eastAsia="宋体" w:cs="Times New Roman"/>
          <w:sz w:val="13"/>
          <w:szCs w:val="13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sz w:val="13"/>
          <w:szCs w:val="13"/>
        </w:rPr>
        <w:t>Diabetic Foot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宋体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/>
          <w:b/>
          <w:bCs/>
        </w:rPr>
      </w:pPr>
      <w:r>
        <w:rPr>
          <w:rFonts w:ascii="Times New Roman" w:hAnsi="Times New Roman" w:eastAsia="宋体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Table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ascii="Times New Roman" w:hAnsi="Times New Roman"/>
          <w:kern w:val="0"/>
          <w:sz w:val="20"/>
          <w:szCs w:val="20"/>
        </w:rPr>
        <w:t>Direct medical expenses per person per year for diabetes and complications</w:t>
      </w:r>
    </w:p>
    <w:tbl>
      <w:tblPr>
        <w:tblStyle w:val="3"/>
        <w:tblW w:w="871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2519"/>
        <w:gridCol w:w="2131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74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333333"/>
                <w:spacing w:val="9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pacing w:val="9"/>
                <w:sz w:val="20"/>
                <w:szCs w:val="20"/>
                <w:shd w:val="clear" w:color="auto" w:fill="FFFFFF"/>
              </w:rPr>
              <w:t>State</w:t>
            </w:r>
          </w:p>
        </w:tc>
        <w:tc>
          <w:tcPr>
            <w:tcW w:w="251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Annual direct medical expenses per person </w:t>
            </w:r>
            <w:r>
              <w:rPr>
                <w:rFonts w:ascii="Times New Roman" w:hAnsi="Times New Roman" w:cs="Times New Roman"/>
              </w:rPr>
              <w:t>(2003)/¥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[22]</w:t>
            </w:r>
          </w:p>
          <w:p>
            <w:pPr>
              <w:rPr>
                <w:rFonts w:ascii="Times New Roman" w:hAnsi="Times New Roman" w:cs="Times New Roman"/>
                <w:color w:val="333333"/>
                <w:spacing w:val="9"/>
                <w:sz w:val="24"/>
                <w:shd w:val="clear" w:color="auto" w:fill="FFFFFF"/>
              </w:rPr>
            </w:pPr>
          </w:p>
        </w:tc>
        <w:tc>
          <w:tcPr>
            <w:tcW w:w="213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333333"/>
                <w:spacing w:val="9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Based on 2003, 2015 Consumer Price Index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[23]</w:t>
            </w:r>
          </w:p>
        </w:tc>
        <w:tc>
          <w:tcPr>
            <w:tcW w:w="232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color w:val="333333"/>
                <w:spacing w:val="9"/>
                <w:sz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Annual direct medical expenses per person</w:t>
            </w:r>
            <w:r>
              <w:rPr>
                <w:rFonts w:ascii="Times New Roman" w:hAnsi="Times New Roman" w:cs="Times New Roman"/>
              </w:rPr>
              <w:t xml:space="preserve"> (2015)/¥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40" w:lineRule="atLeas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</w:t>
            </w:r>
          </w:p>
          <w:p>
            <w:pPr>
              <w:rPr>
                <w:rFonts w:ascii="Times New Roman" w:hAnsi="Times New Roman" w:cs="Times New Roman"/>
                <w:color w:val="333333"/>
                <w:spacing w:val="9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19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firstLine="880" w:firstLineChars="4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19849</w:t>
            </w:r>
          </w:p>
        </w:tc>
        <w:tc>
          <w:tcPr>
            <w:tcW w:w="2131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firstLine="880" w:firstLineChars="4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101.4</w:t>
            </w:r>
          </w:p>
        </w:tc>
        <w:tc>
          <w:tcPr>
            <w:tcW w:w="2325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firstLine="660" w:firstLineChars="3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20126.89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color w:val="333333"/>
                <w:spacing w:val="9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Stroke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18405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101.4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18662.67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color w:val="333333"/>
                <w:spacing w:val="9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DN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48806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101.4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49489.28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color w:val="333333"/>
                <w:spacing w:val="9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DF</w:t>
            </w: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10998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101.4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11151.97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color w:val="333333"/>
                <w:spacing w:val="9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complications</w:t>
            </w:r>
          </w:p>
        </w:tc>
        <w:tc>
          <w:tcPr>
            <w:tcW w:w="2519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ind w:firstLine="880" w:firstLineChars="4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3726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ind w:firstLine="880" w:firstLineChars="4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101.4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ind w:firstLine="660" w:firstLineChars="3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3778.16</w:t>
            </w:r>
          </w:p>
        </w:tc>
      </w:tr>
    </w:tbl>
    <w:p>
      <w:pPr>
        <w:pStyle w:val="2"/>
        <w:spacing w:before="77" w:line="316" w:lineRule="auto"/>
        <w:ind w:left="0" w:leftChars="0" w:firstLine="0" w:firstLineChars="0"/>
        <w:rPr>
          <w:rFonts w:ascii="Times New Roman" w:hAnsi="Times New Roman" w:eastAsia="宋体" w:cs="Times New Roman"/>
          <w:i/>
          <w:iCs/>
          <w:sz w:val="13"/>
          <w:szCs w:val="13"/>
        </w:rPr>
      </w:pPr>
      <w:r>
        <w:rPr>
          <w:rFonts w:ascii="Times New Roman" w:hAnsi="Times New Roman" w:eastAsia="宋体" w:cs="Times New Roman"/>
          <w:i/>
          <w:iCs/>
          <w:sz w:val="13"/>
          <w:szCs w:val="13"/>
        </w:rPr>
        <w:t>MI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myocardial infarction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,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DF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Diabetic Nephropathy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,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DN</w:t>
      </w:r>
      <w:r>
        <w:rPr>
          <w:rFonts w:hint="eastAsia" w:ascii="Times New Roman" w:hAnsi="Times New Roman" w:eastAsia="宋体" w:cs="Times New Roman"/>
          <w:i/>
          <w:iCs/>
          <w:sz w:val="13"/>
          <w:szCs w:val="13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i/>
          <w:iCs/>
          <w:sz w:val="13"/>
          <w:szCs w:val="13"/>
        </w:rPr>
        <w:t>Diabetic Foot</w:t>
      </w:r>
    </w:p>
    <w:p>
      <w:pPr>
        <w:pStyle w:val="2"/>
        <w:spacing w:before="77" w:line="316" w:lineRule="auto"/>
        <w:ind w:left="0" w:leftChars="0" w:firstLine="0" w:firstLineChars="0"/>
        <w:rPr>
          <w:rFonts w:ascii="Times New Roman" w:hAnsi="Times New Roman" w:eastAsia="宋体" w:cs="Times New Roman"/>
          <w:i/>
          <w:iCs/>
          <w:sz w:val="13"/>
          <w:szCs w:val="13"/>
        </w:rPr>
      </w:pPr>
    </w:p>
    <w:p>
      <w:pPr>
        <w:rPr>
          <w:b/>
          <w:sz w:val="21"/>
        </w:rPr>
      </w:pPr>
      <w:r>
        <w:rPr>
          <w:rFonts w:ascii="Times New Roman" w:hAnsi="Times New Roman" w:eastAsia="宋体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Table</w:t>
      </w:r>
      <w:r>
        <w:rPr>
          <w:rFonts w:hint="eastAsia" w:ascii="Times New Roman" w:hAnsi="Times New Roman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eastAsia="宋体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Comparison of economic burden between experimental group and control group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9"/>
        <w:gridCol w:w="2604"/>
        <w:gridCol w:w="273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179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default" w:ascii="Arial" w:hAnsi="Arial" w:cs="Arial"/>
                <w:color w:val="000000"/>
                <w:spacing w:val="9"/>
                <w:kern w:val="2"/>
                <w:sz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604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firstLine="436" w:firstLineChars="20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pacing w:val="9"/>
                <w:kern w:val="2"/>
                <w:sz w:val="20"/>
                <w:szCs w:val="20"/>
                <w:shd w:val="clear" w:color="auto" w:fill="FFFFFF"/>
                <w:lang w:val="en-US" w:eastAsia="zh-CN"/>
              </w:rPr>
              <w:t>Control group</w:t>
            </w:r>
          </w:p>
        </w:tc>
        <w:tc>
          <w:tcPr>
            <w:tcW w:w="2736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firstLine="436" w:firstLineChars="20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pacing w:val="9"/>
                <w:kern w:val="2"/>
                <w:sz w:val="20"/>
                <w:szCs w:val="20"/>
                <w:shd w:val="clear" w:color="auto" w:fill="FFFFFF"/>
                <w:lang w:val="en-US" w:eastAsia="zh-CN"/>
              </w:rPr>
              <w:t>Experimental group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179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firstLine="436" w:firstLineChars="20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pacing w:val="9"/>
                <w:kern w:val="2"/>
                <w:sz w:val="20"/>
                <w:szCs w:val="20"/>
                <w:shd w:val="clear" w:color="auto" w:fill="FFFFFF"/>
                <w:lang w:val="en-US" w:eastAsia="zh-CN"/>
              </w:rPr>
              <w:t>Cost</w:t>
            </w:r>
            <w:r>
              <w:rPr>
                <w:rFonts w:hint="eastAsia"/>
                <w:kern w:val="2"/>
                <w:lang w:val="en-US" w:eastAsia="zh-CN"/>
              </w:rPr>
              <w:t>（¥）</w:t>
            </w:r>
          </w:p>
        </w:tc>
        <w:tc>
          <w:tcPr>
            <w:tcW w:w="260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firstLine="436" w:firstLineChars="20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pacing w:val="9"/>
                <w:kern w:val="2"/>
                <w:sz w:val="20"/>
                <w:szCs w:val="20"/>
                <w:shd w:val="clear" w:color="auto" w:fill="FFFFFF"/>
                <w:lang w:val="en-US" w:eastAsia="zh-CN"/>
              </w:rPr>
              <w:t>160199.38</w:t>
            </w:r>
          </w:p>
        </w:tc>
        <w:tc>
          <w:tcPr>
            <w:tcW w:w="2736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firstLine="436" w:firstLineChars="20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pacing w:val="9"/>
                <w:kern w:val="2"/>
                <w:sz w:val="20"/>
                <w:szCs w:val="20"/>
                <w:shd w:val="clear" w:color="auto" w:fill="FFFFFF"/>
                <w:lang w:val="en-US" w:eastAsia="zh-CN"/>
              </w:rPr>
              <w:t>109849.37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179" w:type="dxa"/>
            <w:tcBorders>
              <w:bottom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firstLine="436" w:firstLineChars="20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spacing w:val="9"/>
                <w:kern w:val="2"/>
                <w:sz w:val="20"/>
                <w:szCs w:val="20"/>
                <w:shd w:val="clear" w:color="auto" w:fill="FFFFFF"/>
                <w:lang w:val="en-US" w:eastAsia="zh-CN"/>
              </w:rPr>
              <w:t>Incremental cost</w:t>
            </w:r>
            <w:r>
              <w:rPr>
                <w:rFonts w:hint="eastAsia"/>
                <w:kern w:val="2"/>
                <w:lang w:val="en-US" w:eastAsia="zh-CN"/>
              </w:rPr>
              <w:t>（¥）</w:t>
            </w:r>
          </w:p>
        </w:tc>
        <w:tc>
          <w:tcPr>
            <w:tcW w:w="5340" w:type="dxa"/>
            <w:gridSpan w:val="2"/>
            <w:tcBorders>
              <w:bottom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firstLine="440" w:firstLineChars="200"/>
              <w:rPr>
                <w:rFonts w:hint="default"/>
                <w:kern w:val="2"/>
                <w:lang w:val="en-US" w:eastAsia="zh-CN"/>
              </w:rPr>
            </w:pPr>
            <w:r>
              <w:rPr>
                <w:rFonts w:hint="eastAsia"/>
                <w:kern w:val="2"/>
                <w:lang w:val="en-US" w:eastAsia="zh-CN"/>
              </w:rPr>
              <w:t xml:space="preserve">           </w:t>
            </w:r>
            <w:r>
              <w:rPr>
                <w:rFonts w:hint="eastAsia" w:ascii="Arial" w:hAnsi="Arial" w:cs="Arial"/>
                <w:color w:val="000000"/>
                <w:spacing w:val="9"/>
                <w:kern w:val="2"/>
                <w:sz w:val="24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333333"/>
                <w:spacing w:val="9"/>
                <w:kern w:val="2"/>
                <w:sz w:val="20"/>
                <w:szCs w:val="20"/>
                <w:shd w:val="clear" w:color="auto" w:fill="FFFFFF"/>
                <w:lang w:val="en-US" w:eastAsia="zh-CN"/>
              </w:rPr>
              <w:t xml:space="preserve"> -50350.01</w:t>
            </w:r>
          </w:p>
        </w:tc>
      </w:tr>
    </w:tbl>
    <w:p>
      <w:pPr>
        <w:pStyle w:val="2"/>
        <w:spacing w:before="77" w:line="316" w:lineRule="auto"/>
        <w:ind w:left="0" w:leftChars="0" w:firstLine="0" w:firstLineChars="0"/>
        <w:rPr>
          <w:rFonts w:ascii="Times New Roman" w:hAnsi="Times New Roman" w:eastAsia="宋体" w:cs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pStyle w:val="2"/>
        <w:spacing w:before="77" w:line="316" w:lineRule="auto"/>
        <w:ind w:left="0" w:leftChars="0" w:firstLine="0" w:firstLineChars="0"/>
        <w:rPr>
          <w:rFonts w:ascii="Times New Roman" w:hAnsi="Times New Roman" w:eastAsia="宋体" w:cs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pStyle w:val="2"/>
        <w:spacing w:before="77" w:line="316" w:lineRule="auto"/>
        <w:ind w:left="0" w:leftChars="0" w:firstLine="0" w:firstLineChars="0"/>
      </w:pPr>
      <w:r>
        <w:rPr>
          <w:rFonts w:ascii="Times New Roman" w:hAnsi="Times New Roman" w:eastAsia="宋体" w:cs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Table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eastAsia="宋体" w:cs="Times New Roman"/>
          <w:b/>
          <w:bCs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b/>
          <w:sz w:val="2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en-US" w:eastAsia="en-US" w:bidi="en-US"/>
        </w:rPr>
        <w:t>Cumulative cost of each period of the intervention group and probability distribution of each Markov state in different periods.</w:t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993"/>
        <w:gridCol w:w="1100"/>
        <w:gridCol w:w="842"/>
        <w:gridCol w:w="950"/>
        <w:gridCol w:w="1150"/>
        <w:gridCol w:w="966"/>
        <w:gridCol w:w="917"/>
        <w:gridCol w:w="89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08" w:type="dxa"/>
            <w:vMerge w:val="restart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Stage</w:t>
            </w:r>
          </w:p>
        </w:tc>
        <w:tc>
          <w:tcPr>
            <w:tcW w:w="993" w:type="dxa"/>
            <w:vMerge w:val="restart"/>
          </w:tcPr>
          <w:p>
            <w:pPr>
              <w:ind w:left="220" w:leftChars="100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Cycle cost (¥)</w:t>
            </w:r>
          </w:p>
        </w:tc>
        <w:tc>
          <w:tcPr>
            <w:tcW w:w="1100" w:type="dxa"/>
            <w:vMerge w:val="restart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Accumulated cost（¥）</w:t>
            </w:r>
          </w:p>
        </w:tc>
        <w:tc>
          <w:tcPr>
            <w:tcW w:w="5721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        Probability of occurrence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708" w:type="dxa"/>
            <w:vMerge w:val="continue"/>
            <w:tcBorders>
              <w:bottom w:val="single" w:color="auto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</w:p>
        </w:tc>
        <w:tc>
          <w:tcPr>
            <w:tcW w:w="993" w:type="dxa"/>
            <w:vMerge w:val="continue"/>
            <w:tcBorders>
              <w:bottom w:val="single" w:color="auto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</w:p>
        </w:tc>
        <w:tc>
          <w:tcPr>
            <w:tcW w:w="1100" w:type="dxa"/>
            <w:vMerge w:val="continue"/>
            <w:tcBorders>
              <w:bottom w:val="single" w:color="auto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</w:p>
        </w:tc>
        <w:tc>
          <w:tcPr>
            <w:tcW w:w="842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Die</w:t>
            </w:r>
          </w:p>
        </w:tc>
        <w:tc>
          <w:tcPr>
            <w:tcW w:w="950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Stroke</w:t>
            </w:r>
          </w:p>
        </w:tc>
        <w:tc>
          <w:tcPr>
            <w:tcW w:w="1150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MI</w:t>
            </w:r>
          </w:p>
        </w:tc>
        <w:tc>
          <w:tcPr>
            <w:tcW w:w="966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DF</w:t>
            </w:r>
          </w:p>
        </w:tc>
        <w:tc>
          <w:tcPr>
            <w:tcW w:w="917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DN</w:t>
            </w:r>
          </w:p>
        </w:tc>
        <w:tc>
          <w:tcPr>
            <w:tcW w:w="896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Diabetes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708" w:type="dxa"/>
            <w:tcBorders>
              <w:top w:val="single" w:color="auto" w:sz="6" w:space="0"/>
            </w:tcBorders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</w:t>
            </w:r>
          </w:p>
        </w:tc>
        <w:tc>
          <w:tcPr>
            <w:tcW w:w="993" w:type="dxa"/>
            <w:tcBorders>
              <w:top w:val="single" w:color="auto" w:sz="6" w:space="0"/>
            </w:tcBorders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2412.62 </w:t>
            </w:r>
          </w:p>
        </w:tc>
        <w:tc>
          <w:tcPr>
            <w:tcW w:w="1100" w:type="dxa"/>
            <w:tcBorders>
              <w:top w:val="single" w:color="auto" w:sz="6" w:space="0"/>
            </w:tcBorders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2412.62 </w:t>
            </w:r>
          </w:p>
        </w:tc>
        <w:tc>
          <w:tcPr>
            <w:tcW w:w="842" w:type="dxa"/>
            <w:tcBorders>
              <w:top w:val="single" w:color="auto" w:sz="6" w:space="0"/>
            </w:tcBorders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0.00342</w:t>
            </w:r>
          </w:p>
        </w:tc>
        <w:tc>
          <w:tcPr>
            <w:tcW w:w="950" w:type="dxa"/>
            <w:tcBorders>
              <w:top w:val="single" w:color="auto" w:sz="6" w:space="0"/>
            </w:tcBorders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0.015</w:t>
            </w:r>
          </w:p>
        </w:tc>
        <w:tc>
          <w:tcPr>
            <w:tcW w:w="1150" w:type="dxa"/>
            <w:tcBorders>
              <w:top w:val="single" w:color="auto" w:sz="6" w:space="0"/>
            </w:tcBorders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0.032</w:t>
            </w:r>
          </w:p>
        </w:tc>
        <w:tc>
          <w:tcPr>
            <w:tcW w:w="966" w:type="dxa"/>
            <w:tcBorders>
              <w:top w:val="single" w:color="auto" w:sz="6" w:space="0"/>
            </w:tcBorders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0.0015</w:t>
            </w:r>
          </w:p>
        </w:tc>
        <w:tc>
          <w:tcPr>
            <w:tcW w:w="917" w:type="dxa"/>
            <w:tcBorders>
              <w:top w:val="single" w:color="auto" w:sz="6" w:space="0"/>
            </w:tcBorders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0.0064</w:t>
            </w:r>
          </w:p>
        </w:tc>
        <w:tc>
          <w:tcPr>
            <w:tcW w:w="896" w:type="dxa"/>
            <w:tcBorders>
              <w:top w:val="single" w:color="auto" w:sz="6" w:space="0"/>
            </w:tcBorders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0.94168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5462.81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7875.43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0.009367956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0.0284442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0.06062336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0.00281427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0.011988992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0.886761222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5924.00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13799.43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0.01755785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0.040454252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0.086138297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0.003960077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0.016844217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0.835045308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3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6237.88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20037.31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0.027727585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0.051143308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0.108794019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0.00495326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0.021036362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0.786345466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4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6429.44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26466.76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0.039637196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0.060616584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0.128821996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0.00580834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0.024630086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0.740485798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5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6520.12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32986.88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0.053067193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0.068971878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0.146437143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0.006538622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0.027684497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0.697300666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6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6528.27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39515.15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0.067817017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0.076300065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0.161838931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0.007156293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0.030253602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0.656634091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7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6469.56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45984.71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0.08370361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0.082685553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0.175212425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0.007672507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0.032386714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0.618339191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8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6357.35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52342.06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0.100560081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0.088206717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0.186729252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0.008097467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0.034128833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0.58227765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9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6202.97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58545.03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0.118234472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0.092936297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0.196548517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0.008440499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0.035520998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0.548319217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10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6016.02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64561.04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0.136588611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0.096941777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0.204817642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0.008710125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0.036600605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0.51634124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11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5804.58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70365.63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0.155497042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0.100285739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0.211673169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0.008914124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0.037401707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0.486228219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12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5575.45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75941.08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0.17484604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0.10302619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0.217241498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0.009059591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0.037955291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0.457871389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13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5334.30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81275.38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0.194532693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0.105216872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0.221639584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0.009152995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0.038289526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0.43116833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14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5085.83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86361.21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0.214464048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0.106907551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0.224975582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0.009200226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0.03843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0.406022593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15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4833.92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91195.12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0.234556322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0.108144287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0.227349457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0.009206645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0.038399933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0.382343355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16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4581.75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95776.87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0.254734172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0.108969686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0.22885355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0.009177125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0.038220375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0.360045091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17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4331.89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100108.76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0.274930013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0.109423139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0.229573106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0.009116091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0.03791039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0.339047261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18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4086.40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104195.16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0.295083391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0.109541037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0.229586768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0.009027558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0.037487221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0.319274025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19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3846.90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108042.05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0.315140397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0.109356985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0.228967041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0.008915164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0.036966449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0.300653964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20</w:t>
            </w:r>
          </w:p>
        </w:tc>
        <w:tc>
          <w:tcPr>
            <w:tcW w:w="993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1807.32 </w:t>
            </w:r>
          </w:p>
        </w:tc>
        <w:tc>
          <w:tcPr>
            <w:tcW w:w="110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 xml:space="preserve">109849.37 </w:t>
            </w:r>
          </w:p>
        </w:tc>
        <w:tc>
          <w:tcPr>
            <w:tcW w:w="842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0.335053134</w:t>
            </w:r>
          </w:p>
        </w:tc>
        <w:tc>
          <w:tcPr>
            <w:tcW w:w="9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0.108901987</w:t>
            </w:r>
          </w:p>
        </w:tc>
        <w:tc>
          <w:tcPr>
            <w:tcW w:w="1150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0.227780723</w:t>
            </w:r>
          </w:p>
        </w:tc>
        <w:tc>
          <w:tcPr>
            <w:tcW w:w="966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0.008782202</w:t>
            </w:r>
          </w:p>
        </w:tc>
        <w:tc>
          <w:tcPr>
            <w:tcW w:w="917" w:type="dxa"/>
          </w:tcPr>
          <w:p>
            <w:pPr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0.036362129</w:t>
            </w:r>
          </w:p>
        </w:tc>
        <w:tc>
          <w:tcPr>
            <w:tcW w:w="896" w:type="dxa"/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en-US"/>
              </w:rPr>
              <w:t>0.283119825</w:t>
            </w:r>
          </w:p>
        </w:tc>
      </w:tr>
    </w:tbl>
    <w:p>
      <w:pPr>
        <w:rPr>
          <w:rFonts w:ascii="Times New Roman" w:hAnsi="Times New Roman" w:eastAsia="Times New Roman" w:cs="Times New Roman"/>
          <w:sz w:val="20"/>
          <w:szCs w:val="20"/>
          <w:lang w:val="en-US" w:eastAsia="en-US"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val="en-US" w:eastAsia="en-US" w:bidi="en-US"/>
        </w:rPr>
        <w:t>The cost per cycle, cumulative cost and probability distribution of each cycle status for the intervention group that took C-reactive protein screening, Markov cycle for 20 years.</w:t>
      </w:r>
    </w:p>
    <w:p>
      <w:pPr>
        <w:spacing w:before="38"/>
        <w:ind w:right="0"/>
        <w:jc w:val="left"/>
        <w:rPr>
          <w:i/>
          <w:sz w:val="13"/>
        </w:rPr>
      </w:pPr>
      <w:r>
        <w:rPr>
          <w:i/>
          <w:sz w:val="13"/>
        </w:rPr>
        <w:t>MI myocardial infarction , DF Diabetic Nephropathy , DN Diabetic Foot</w:t>
      </w:r>
    </w:p>
    <w:p>
      <w:pPr>
        <w:pStyle w:val="2"/>
        <w:spacing w:before="109" w:line="314" w:lineRule="auto"/>
        <w:rPr>
          <w:rFonts w:ascii="Times New Roman" w:hAnsi="Times New Roman" w:eastAsia="宋体" w:cs="Times New Roman"/>
          <w:color w:val="FF0000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  <w:lang w:val="en-US" w:eastAsia="en-US" w:bidi="en-US"/>
        </w:rPr>
      </w:pPr>
      <w:r>
        <w:rPr>
          <w:rFonts w:ascii="Times New Roman" w:hAnsi="Times New Roman" w:eastAsia="Times New Roman" w:cs="Times New Roman"/>
          <w:sz w:val="20"/>
          <w:szCs w:val="20"/>
          <w:lang w:val="en-US" w:eastAsia="en-US" w:bidi="en-US"/>
        </w:rPr>
        <w:t xml:space="preserve">Table </w:t>
      </w:r>
      <w:r>
        <w:rPr>
          <w:rFonts w:hint="eastAsia" w:ascii="Times New Roman" w:hAnsi="Times New Roman" w:eastAsia="Times New Roman" w:cs="Times New Roman"/>
          <w:sz w:val="20"/>
          <w:szCs w:val="20"/>
          <w:lang w:val="en-US" w:eastAsia="zh-CN" w:bidi="en-US"/>
        </w:rPr>
        <w:t>S5</w:t>
      </w:r>
      <w:r>
        <w:rPr>
          <w:rFonts w:hint="eastAsia" w:cs="Times New Roman"/>
          <w:sz w:val="20"/>
          <w:szCs w:val="20"/>
          <w:lang w:val="en-US" w:eastAsia="zh-CN" w:bidi="en-US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en-US" w:eastAsia="en-US" w:bidi="en-US"/>
        </w:rPr>
        <w:t>Cumulative cost for each cycle of the control group and the probability distribution of each Markov state at different cycles.</w:t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695"/>
        <w:gridCol w:w="1017"/>
        <w:gridCol w:w="1017"/>
        <w:gridCol w:w="1017"/>
        <w:gridCol w:w="1017"/>
        <w:gridCol w:w="1017"/>
        <w:gridCol w:w="1017"/>
        <w:gridCol w:w="101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08" w:type="dxa"/>
            <w:vMerge w:val="restart"/>
          </w:tcPr>
          <w:p>
            <w:pPr>
              <w:pStyle w:val="7"/>
              <w:spacing w:before="17"/>
              <w:ind w:left="0" w:leftChars="0" w:firstLine="0" w:firstLineChars="0"/>
              <w:rPr>
                <w:w w:val="99"/>
                <w:sz w:val="20"/>
              </w:rPr>
            </w:pPr>
            <w:r>
              <w:rPr>
                <w:rFonts w:hint="eastAsia"/>
                <w:w w:val="99"/>
                <w:sz w:val="20"/>
              </w:rPr>
              <w:t>Stage</w:t>
            </w:r>
          </w:p>
        </w:tc>
        <w:tc>
          <w:tcPr>
            <w:tcW w:w="695" w:type="dxa"/>
            <w:vMerge w:val="restart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Cycle cost (¥)</w:t>
            </w:r>
          </w:p>
        </w:tc>
        <w:tc>
          <w:tcPr>
            <w:tcW w:w="1017" w:type="dxa"/>
            <w:vMerge w:val="restart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Accumulated cost（¥）</w:t>
            </w:r>
          </w:p>
        </w:tc>
        <w:tc>
          <w:tcPr>
            <w:tcW w:w="6102" w:type="dxa"/>
            <w:gridSpan w:val="6"/>
            <w:tcBorders>
              <w:bottom w:val="single" w:color="auto" w:sz="4" w:space="0"/>
            </w:tcBorders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            Probability of occurrence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8" w:type="dxa"/>
            <w:vMerge w:val="continue"/>
            <w:tcBorders>
              <w:bottom w:val="single" w:color="auto" w:sz="6" w:space="0"/>
            </w:tcBorders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</w:p>
        </w:tc>
        <w:tc>
          <w:tcPr>
            <w:tcW w:w="695" w:type="dxa"/>
            <w:vMerge w:val="continue"/>
            <w:tcBorders>
              <w:bottom w:val="single" w:color="auto" w:sz="6" w:space="0"/>
            </w:tcBorders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</w:p>
        </w:tc>
        <w:tc>
          <w:tcPr>
            <w:tcW w:w="1017" w:type="dxa"/>
            <w:vMerge w:val="continue"/>
            <w:tcBorders>
              <w:bottom w:val="single" w:color="auto" w:sz="6" w:space="0"/>
            </w:tcBorders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</w:p>
        </w:tc>
        <w:tc>
          <w:tcPr>
            <w:tcW w:w="1017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Die</w:t>
            </w:r>
          </w:p>
        </w:tc>
        <w:tc>
          <w:tcPr>
            <w:tcW w:w="1017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Stroke </w:t>
            </w:r>
          </w:p>
        </w:tc>
        <w:tc>
          <w:tcPr>
            <w:tcW w:w="1017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MI</w:t>
            </w:r>
          </w:p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</w:p>
        </w:tc>
        <w:tc>
          <w:tcPr>
            <w:tcW w:w="1017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DF</w:t>
            </w:r>
          </w:p>
        </w:tc>
        <w:tc>
          <w:tcPr>
            <w:tcW w:w="1017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DN</w:t>
            </w:r>
          </w:p>
        </w:tc>
        <w:tc>
          <w:tcPr>
            <w:tcW w:w="1017" w:type="dxa"/>
            <w:tcBorders>
              <w:top w:val="single" w:color="auto" w:sz="4" w:space="0"/>
              <w:bottom w:val="single" w:color="auto" w:sz="6" w:space="0"/>
            </w:tcBorders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Diabetes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auto" w:sz="6" w:space="0"/>
            </w:tcBorders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95" w:type="dxa"/>
            <w:tcBorders>
              <w:top w:val="single" w:color="auto" w:sz="6" w:space="0"/>
            </w:tcBorders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3849.90 </w:t>
            </w:r>
          </w:p>
        </w:tc>
        <w:tc>
          <w:tcPr>
            <w:tcW w:w="1017" w:type="dxa"/>
            <w:tcBorders>
              <w:top w:val="single" w:color="auto" w:sz="6" w:space="0"/>
            </w:tcBorders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3849.90 </w:t>
            </w:r>
          </w:p>
        </w:tc>
        <w:tc>
          <w:tcPr>
            <w:tcW w:w="1017" w:type="dxa"/>
            <w:tcBorders>
              <w:top w:val="single" w:color="auto" w:sz="6" w:space="0"/>
            </w:tcBorders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0.00678</w:t>
            </w:r>
          </w:p>
        </w:tc>
        <w:tc>
          <w:tcPr>
            <w:tcW w:w="1017" w:type="dxa"/>
            <w:tcBorders>
              <w:top w:val="single" w:color="auto" w:sz="6" w:space="0"/>
            </w:tcBorders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0.0201</w:t>
            </w:r>
          </w:p>
        </w:tc>
        <w:tc>
          <w:tcPr>
            <w:tcW w:w="1017" w:type="dxa"/>
            <w:tcBorders>
              <w:top w:val="single" w:color="auto" w:sz="6" w:space="0"/>
            </w:tcBorders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0.1951</w:t>
            </w:r>
          </w:p>
        </w:tc>
        <w:tc>
          <w:tcPr>
            <w:tcW w:w="1017" w:type="dxa"/>
            <w:tcBorders>
              <w:top w:val="single" w:color="auto" w:sz="6" w:space="0"/>
            </w:tcBorders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0.0039</w:t>
            </w:r>
          </w:p>
        </w:tc>
        <w:tc>
          <w:tcPr>
            <w:tcW w:w="1017" w:type="dxa"/>
            <w:tcBorders>
              <w:top w:val="single" w:color="auto" w:sz="6" w:space="0"/>
            </w:tcBorders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0.0094</w:t>
            </w:r>
          </w:p>
        </w:tc>
        <w:tc>
          <w:tcPr>
            <w:tcW w:w="1017" w:type="dxa"/>
            <w:tcBorders>
              <w:top w:val="single" w:color="auto" w:sz="6" w:space="0"/>
            </w:tcBorders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0.76472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9962.90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13812.80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0.023020652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0.034522152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0.335088152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0.006626958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0.015945408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0.584796678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11198.96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25011.76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0.045955911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0.04464712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0.433365823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0.008473599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0.020351831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0.447205716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11726.19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36737.94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0.073497263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0.051528611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0.500160792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0.009662681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0.023163499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0.341987155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11772.60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48510.55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0.104072964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0.055970402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0.543274896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0.010363525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0.024793795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0.261524417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11500.89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60011.44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0.136505184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0.05858524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0.568655735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0.010704659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0.025556229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0.199992952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11026.47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71037.90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0.169916112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0.059839875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0.580833809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0.010783477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0.025688117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0.152938611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10430.64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81468.54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0.203656219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0.060089499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0.583256776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0.01067362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0.025368673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0.116955214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9770.13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91238.67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0.237249458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0.059604074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0.578545019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0.010430623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0.024732834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0.089437991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9083.97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100322.64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0.270351417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0.058588466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0.568687046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0.010096225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0.023881826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0.068395021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10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8398.56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108721.19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0.302717359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0.05719783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0.555188886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0.009701663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0.022891222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0.05230304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11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7731.27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116452.46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0.334177845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0.055549383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0.539188294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0.009270186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0.021817111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0.039997181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12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7093.09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123545.55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0.364620132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0.053731396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0.521542056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0.008818978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0.020700794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0.030586644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13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6490.50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130036.05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0.393973994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0.051810066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0.502892725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0.008360623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0.019572374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0.023390219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14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5926.87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135962.92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0.422200922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0.049834774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0.48371962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0.007904224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0.018453492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0.017886968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15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5403.40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141366.32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0.449285909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0.047842101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0.464377802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0.007456256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0.017359411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0.013678522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16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4919.85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146286.17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0.475231197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0.045858892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0.445127849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0.007021218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0.016300605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0.010460239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17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4475.04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150761.21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0.500051543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0.043904603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0.426158607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0.006602123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0.01528397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0.007999154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18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4067.18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154828.39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0.523770623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0.041993089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0.407604556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0.006200881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0.014313738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0.006117113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19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3694.16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158522.55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0.546418323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0.040133969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0.38955907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0.00581858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0.01339218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0.004677879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20</w:t>
            </w:r>
          </w:p>
        </w:tc>
        <w:tc>
          <w:tcPr>
            <w:tcW w:w="695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1676.83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 xml:space="preserve">160199.38 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0.568028693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0.038333671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0.372084536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0.005455706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0.012520126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spacing w:before="17"/>
              <w:ind w:left="108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0.003577268</w:t>
            </w:r>
          </w:p>
        </w:tc>
      </w:tr>
    </w:tbl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The cost per cycle, cumulative cost and probability distribution of each cycling status for the control group without C-reactive protein screening, Markov model cycling for 20 years.</w:t>
      </w:r>
    </w:p>
    <w:p>
      <w:pPr>
        <w:spacing w:before="38"/>
        <w:ind w:right="0"/>
        <w:jc w:val="left"/>
        <w:rPr>
          <w:i/>
          <w:sz w:val="13"/>
        </w:rPr>
      </w:pPr>
      <w:r>
        <w:rPr>
          <w:i/>
          <w:sz w:val="13"/>
        </w:rPr>
        <w:t>MI myocardial infarction , DF Diabetic Nephropathy , DN Diabetic Foot</w:t>
      </w:r>
    </w:p>
    <w:p>
      <w:pPr>
        <w:rPr>
          <w:rFonts w:ascii="Times New Roman" w:hAnsi="Times New Roman" w:eastAsia="Times New Roman" w:cs="Times New Roman"/>
          <w:sz w:val="20"/>
          <w:szCs w:val="20"/>
          <w:lang w:val="en-US" w:eastAsia="en-US" w:bidi="en-US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wNzhhYWRhZmI4M2YwYjg5MDhiZmZiNjg4ZmJkZTIifQ=="/>
  </w:docVars>
  <w:rsids>
    <w:rsidRoot w:val="00000000"/>
    <w:rsid w:val="24EC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82"/>
      <w:ind w:left="220"/>
    </w:pPr>
    <w:rPr>
      <w:rFonts w:ascii="Times New Roman" w:hAnsi="Times New Roman" w:eastAsia="Times New Roman" w:cs="Times New Roman"/>
      <w:sz w:val="20"/>
      <w:szCs w:val="20"/>
      <w:lang w:val="en-US" w:eastAsia="en-US" w:bidi="en-US"/>
    </w:rPr>
  </w:style>
  <w:style w:type="table" w:styleId="4">
    <w:name w:val="Table Grid"/>
    <w:basedOn w:val="3"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等线" w:eastAsia="等线" w:cs="等线"/>
      <w:kern w:val="2"/>
      <w:sz w:val="21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Decimal Aligned"/>
    <w:basedOn w:val="1"/>
    <w:qFormat/>
    <w:uiPriority w:val="0"/>
    <w:pPr>
      <w:keepNext w:val="0"/>
      <w:keepLines w:val="0"/>
      <w:widowControl/>
      <w:suppressLineNumbers w:val="0"/>
      <w:tabs>
        <w:tab w:val="decimal" w:pos="360"/>
      </w:tabs>
      <w:spacing w:before="0" w:beforeAutospacing="0" w:after="200" w:afterAutospacing="0" w:line="276" w:lineRule="auto"/>
      <w:ind w:left="0" w:right="0"/>
      <w:jc w:val="left"/>
    </w:pPr>
    <w:rPr>
      <w:rFonts w:hint="eastAsia" w:ascii="等线" w:hAnsi="等线" w:eastAsia="等线" w:cs="Times New Roman"/>
      <w:kern w:val="0"/>
      <w:sz w:val="22"/>
      <w:szCs w:val="22"/>
      <w:lang w:val="en-US" w:eastAsia="zh-CN" w:bidi="ar"/>
    </w:rPr>
  </w:style>
  <w:style w:type="paragraph" w:customStyle="1" w:styleId="7">
    <w:name w:val="Table Paragraph"/>
    <w:basedOn w:val="1"/>
    <w:qFormat/>
    <w:uiPriority w:val="1"/>
    <w:pPr>
      <w:spacing w:before="36"/>
      <w:ind w:left="148"/>
    </w:pPr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2023-02-27T13:36:25Z</dcterms:created>
  <dc:creator>shizi</dc:creator>
  <cp:lastModifiedBy>千囚栀愿</cp:lastModifiedBy>
  <dcterms:modified xsi:type="dcterms:W3CDTF">2023-02-27T13:39:34Z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7F441A2CBEB9416BA85D75692DE8B570</vt:lpwstr>
  </property>
</Properties>
</file>