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670C" w:rsidRDefault="0017670C" w:rsidP="0017670C">
      <w:pPr>
        <w:widowControl w:val="0"/>
        <w:spacing w:before="240" w:after="240"/>
        <w:rPr>
          <w:b/>
        </w:rPr>
      </w:pPr>
      <w:r>
        <w:rPr>
          <w:b/>
        </w:rPr>
        <w:t>Supplementary materials</w:t>
      </w:r>
    </w:p>
    <w:p w:rsidR="0017670C" w:rsidRPr="00B54E78" w:rsidRDefault="0017670C" w:rsidP="0017670C">
      <w:pPr>
        <w:widowControl w:val="0"/>
        <w:spacing w:before="240" w:after="240"/>
      </w:pPr>
      <w:r w:rsidRPr="00B54E78">
        <w:t xml:space="preserve">Supplementary Table </w:t>
      </w:r>
      <w:r w:rsidR="000E25C7">
        <w:t>S</w:t>
      </w:r>
      <w:bookmarkStart w:id="0" w:name="_GoBack"/>
      <w:bookmarkEnd w:id="0"/>
      <w:r w:rsidRPr="00B54E78">
        <w:t>1: JPIAMR-PAAN Members</w:t>
      </w:r>
    </w:p>
    <w:tbl>
      <w:tblPr>
        <w:tblStyle w:val="PlainTable3"/>
        <w:tblW w:w="0" w:type="auto"/>
        <w:tblLook w:val="04A0" w:firstRow="1" w:lastRow="0" w:firstColumn="1" w:lastColumn="0" w:noHBand="0" w:noVBand="1"/>
      </w:tblPr>
      <w:tblGrid>
        <w:gridCol w:w="2520"/>
        <w:gridCol w:w="1980"/>
        <w:gridCol w:w="4850"/>
      </w:tblGrid>
      <w:tr w:rsidR="0017670C" w:rsidRPr="00E10388" w:rsidTr="00C9118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520" w:type="dxa"/>
          </w:tcPr>
          <w:p w:rsidR="0017670C" w:rsidRPr="00E10388" w:rsidRDefault="0017670C" w:rsidP="00C91181">
            <w:r w:rsidRPr="00E10388">
              <w:t xml:space="preserve">Name </w:t>
            </w:r>
          </w:p>
        </w:tc>
        <w:tc>
          <w:tcPr>
            <w:tcW w:w="1980" w:type="dxa"/>
          </w:tcPr>
          <w:p w:rsidR="0017670C" w:rsidRPr="00E10388" w:rsidRDefault="0017670C" w:rsidP="00C91181">
            <w:pPr>
              <w:cnfStyle w:val="100000000000" w:firstRow="1" w:lastRow="0" w:firstColumn="0" w:lastColumn="0" w:oddVBand="0" w:evenVBand="0" w:oddHBand="0" w:evenHBand="0" w:firstRowFirstColumn="0" w:firstRowLastColumn="0" w:lastRowFirstColumn="0" w:lastRowLastColumn="0"/>
            </w:pPr>
            <w:r w:rsidRPr="00E10388">
              <w:t>Country</w:t>
            </w:r>
          </w:p>
        </w:tc>
        <w:tc>
          <w:tcPr>
            <w:tcW w:w="4850" w:type="dxa"/>
          </w:tcPr>
          <w:p w:rsidR="0017670C" w:rsidRPr="00E10388" w:rsidRDefault="0017670C" w:rsidP="00C91181">
            <w:pPr>
              <w:cnfStyle w:val="100000000000" w:firstRow="1" w:lastRow="0" w:firstColumn="0" w:lastColumn="0" w:oddVBand="0" w:evenVBand="0" w:oddHBand="0" w:evenHBand="0" w:firstRowFirstColumn="0" w:firstRowLastColumn="0" w:lastRowFirstColumn="0" w:lastRowLastColumn="0"/>
            </w:pPr>
            <w:r w:rsidRPr="00E10388">
              <w:t xml:space="preserve">Primary Affiliation </w:t>
            </w:r>
          </w:p>
        </w:tc>
      </w:tr>
      <w:tr w:rsidR="0017670C" w:rsidRPr="00E10388" w:rsidTr="00C911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Anna Acampora</w:t>
            </w:r>
          </w:p>
        </w:tc>
        <w:tc>
          <w:tcPr>
            <w:tcW w:w="198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 xml:space="preserve">Italy </w:t>
            </w:r>
          </w:p>
        </w:tc>
        <w:tc>
          <w:tcPr>
            <w:tcW w:w="485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Department of Epidemiology, Rome, Lazio Region</w:t>
            </w:r>
          </w:p>
        </w:tc>
      </w:tr>
      <w:tr w:rsidR="0017670C" w:rsidRPr="00E10388" w:rsidTr="00C91181">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Sarah Alderson</w:t>
            </w:r>
          </w:p>
        </w:tc>
        <w:tc>
          <w:tcPr>
            <w:tcW w:w="198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UK</w:t>
            </w:r>
          </w:p>
        </w:tc>
        <w:tc>
          <w:tcPr>
            <w:tcW w:w="485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Leeds Institute of Health Sciences</w:t>
            </w:r>
          </w:p>
        </w:tc>
      </w:tr>
      <w:tr w:rsidR="0017670C" w:rsidRPr="00E10388" w:rsidTr="00C911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Pablo Alonso Coello</w:t>
            </w:r>
          </w:p>
        </w:tc>
        <w:tc>
          <w:tcPr>
            <w:tcW w:w="198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Spain</w:t>
            </w:r>
          </w:p>
        </w:tc>
        <w:tc>
          <w:tcPr>
            <w:tcW w:w="485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 xml:space="preserve">Institute of Research of Hospital de la Santa </w:t>
            </w:r>
            <w:proofErr w:type="spellStart"/>
            <w:r w:rsidRPr="00E10388">
              <w:rPr>
                <w:color w:val="000000"/>
              </w:rPr>
              <w:t>Creu</w:t>
            </w:r>
            <w:proofErr w:type="spellEnd"/>
            <w:r w:rsidRPr="00E10388">
              <w:rPr>
                <w:color w:val="000000"/>
              </w:rPr>
              <w:t xml:space="preserve"> </w:t>
            </w:r>
            <w:proofErr w:type="spellStart"/>
            <w:r w:rsidRPr="00E10388">
              <w:rPr>
                <w:color w:val="000000"/>
              </w:rPr>
              <w:t>i</w:t>
            </w:r>
            <w:proofErr w:type="spellEnd"/>
            <w:r w:rsidRPr="00E10388">
              <w:rPr>
                <w:color w:val="000000"/>
              </w:rPr>
              <w:t xml:space="preserve"> </w:t>
            </w:r>
            <w:proofErr w:type="spellStart"/>
            <w:r w:rsidRPr="00E10388">
              <w:rPr>
                <w:color w:val="000000"/>
              </w:rPr>
              <w:t>Sant</w:t>
            </w:r>
            <w:proofErr w:type="spellEnd"/>
            <w:r w:rsidRPr="00E10388">
              <w:rPr>
                <w:color w:val="000000"/>
              </w:rPr>
              <w:t xml:space="preserve"> Pau</w:t>
            </w:r>
          </w:p>
        </w:tc>
      </w:tr>
      <w:tr w:rsidR="0017670C" w:rsidRPr="00E10388" w:rsidTr="00C91181">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Attila Altiner</w:t>
            </w:r>
          </w:p>
        </w:tc>
        <w:tc>
          <w:tcPr>
            <w:tcW w:w="198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Germany</w:t>
            </w:r>
          </w:p>
        </w:tc>
        <w:tc>
          <w:tcPr>
            <w:tcW w:w="485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 xml:space="preserve">Heidelberg </w:t>
            </w:r>
            <w:proofErr w:type="spellStart"/>
            <w:r w:rsidRPr="00E10388">
              <w:rPr>
                <w:color w:val="000000"/>
              </w:rPr>
              <w:t>Univerity</w:t>
            </w:r>
            <w:proofErr w:type="spellEnd"/>
          </w:p>
        </w:tc>
      </w:tr>
      <w:tr w:rsidR="0017670C" w:rsidRPr="00E10388" w:rsidTr="00C911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Lars Bjerrum</w:t>
            </w:r>
          </w:p>
        </w:tc>
        <w:tc>
          <w:tcPr>
            <w:tcW w:w="198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sz w:val="24"/>
                <w:szCs w:val="24"/>
              </w:rPr>
            </w:pPr>
            <w:r w:rsidRPr="00E10388">
              <w:rPr>
                <w:color w:val="000000"/>
              </w:rPr>
              <w:t>Denmark</w:t>
            </w:r>
          </w:p>
        </w:tc>
        <w:tc>
          <w:tcPr>
            <w:tcW w:w="485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sz w:val="24"/>
                <w:szCs w:val="24"/>
              </w:rPr>
            </w:pPr>
            <w:r w:rsidRPr="00E10388">
              <w:rPr>
                <w:color w:val="000000"/>
              </w:rPr>
              <w:t>University of Copenhagen</w:t>
            </w:r>
          </w:p>
        </w:tc>
      </w:tr>
      <w:tr w:rsidR="0017670C" w:rsidRPr="00E10388" w:rsidTr="00C91181">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Jamie Brehaut</w:t>
            </w:r>
          </w:p>
        </w:tc>
        <w:tc>
          <w:tcPr>
            <w:tcW w:w="198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Canada</w:t>
            </w:r>
          </w:p>
        </w:tc>
        <w:tc>
          <w:tcPr>
            <w:tcW w:w="485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Ottawa Hospital Research Institute / University of Ottawa</w:t>
            </w:r>
          </w:p>
        </w:tc>
      </w:tr>
      <w:tr w:rsidR="0017670C" w:rsidRPr="00E10388" w:rsidTr="00C911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Benjamin Brown</w:t>
            </w:r>
          </w:p>
        </w:tc>
        <w:tc>
          <w:tcPr>
            <w:tcW w:w="198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UK</w:t>
            </w:r>
          </w:p>
        </w:tc>
        <w:tc>
          <w:tcPr>
            <w:tcW w:w="485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University of Manchester</w:t>
            </w:r>
          </w:p>
        </w:tc>
      </w:tr>
      <w:tr w:rsidR="0017670C" w:rsidRPr="00E10388" w:rsidTr="00C91181">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Heiner Bucher</w:t>
            </w:r>
          </w:p>
        </w:tc>
        <w:tc>
          <w:tcPr>
            <w:tcW w:w="198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Switzerland</w:t>
            </w:r>
          </w:p>
        </w:tc>
        <w:tc>
          <w:tcPr>
            <w:tcW w:w="485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Basel Institute for Clinical Epidemiology and Biostatistics</w:t>
            </w:r>
          </w:p>
        </w:tc>
      </w:tr>
      <w:tr w:rsidR="0017670C" w:rsidRPr="00E10388" w:rsidTr="00C911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Chris Butler</w:t>
            </w:r>
          </w:p>
        </w:tc>
        <w:tc>
          <w:tcPr>
            <w:tcW w:w="198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 xml:space="preserve">UK </w:t>
            </w:r>
          </w:p>
        </w:tc>
        <w:tc>
          <w:tcPr>
            <w:tcW w:w="485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University of Oxford</w:t>
            </w:r>
          </w:p>
        </w:tc>
      </w:tr>
      <w:tr w:rsidR="0017670C" w:rsidRPr="00E10388" w:rsidTr="00C91181">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Laura  Cavazzuti</w:t>
            </w:r>
          </w:p>
        </w:tc>
        <w:tc>
          <w:tcPr>
            <w:tcW w:w="198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Italy</w:t>
            </w:r>
          </w:p>
        </w:tc>
        <w:tc>
          <w:tcPr>
            <w:tcW w:w="485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proofErr w:type="spellStart"/>
            <w:r w:rsidRPr="00E10388">
              <w:rPr>
                <w:color w:val="000000"/>
              </w:rPr>
              <w:t>Azienda</w:t>
            </w:r>
            <w:proofErr w:type="spellEnd"/>
            <w:r w:rsidRPr="00E10388">
              <w:rPr>
                <w:color w:val="000000"/>
              </w:rPr>
              <w:t xml:space="preserve"> Sanitaria Locale-IRCCS of Reggio Emilia</w:t>
            </w:r>
          </w:p>
        </w:tc>
      </w:tr>
      <w:tr w:rsidR="0017670C" w:rsidRPr="00E10388" w:rsidTr="00C911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Janet Clarkson</w:t>
            </w:r>
          </w:p>
        </w:tc>
        <w:tc>
          <w:tcPr>
            <w:tcW w:w="198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UK</w:t>
            </w:r>
          </w:p>
        </w:tc>
        <w:tc>
          <w:tcPr>
            <w:tcW w:w="485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University of Dundee / NHS Education for Scotland / University of Manchester</w:t>
            </w:r>
          </w:p>
        </w:tc>
      </w:tr>
      <w:tr w:rsidR="0017670C" w:rsidRPr="00E10388" w:rsidTr="00C91181">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Marina Davoli</w:t>
            </w:r>
          </w:p>
        </w:tc>
        <w:tc>
          <w:tcPr>
            <w:tcW w:w="198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Italy</w:t>
            </w:r>
          </w:p>
        </w:tc>
        <w:tc>
          <w:tcPr>
            <w:tcW w:w="485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Department of Epidemiology, Rome, Lazio Region</w:t>
            </w:r>
          </w:p>
        </w:tc>
      </w:tr>
      <w:tr w:rsidR="0017670C" w:rsidRPr="00E10388" w:rsidTr="00C911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An De Sutter</w:t>
            </w:r>
          </w:p>
        </w:tc>
        <w:tc>
          <w:tcPr>
            <w:tcW w:w="198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Belgium</w:t>
            </w:r>
          </w:p>
        </w:tc>
        <w:tc>
          <w:tcPr>
            <w:tcW w:w="485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Ghent University</w:t>
            </w:r>
          </w:p>
        </w:tc>
      </w:tr>
      <w:tr w:rsidR="0017670C" w:rsidRPr="00E10388" w:rsidTr="00C91181">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Mirko Di Martino</w:t>
            </w:r>
          </w:p>
        </w:tc>
        <w:tc>
          <w:tcPr>
            <w:tcW w:w="198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 xml:space="preserve">Italy </w:t>
            </w:r>
          </w:p>
        </w:tc>
        <w:tc>
          <w:tcPr>
            <w:tcW w:w="485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Department of Epidemiology, Rome, Lazio Region</w:t>
            </w:r>
          </w:p>
        </w:tc>
      </w:tr>
      <w:tr w:rsidR="0017670C" w:rsidRPr="00E10388" w:rsidTr="00C911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Eilidh Duncan</w:t>
            </w:r>
          </w:p>
        </w:tc>
        <w:tc>
          <w:tcPr>
            <w:tcW w:w="198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UK</w:t>
            </w:r>
          </w:p>
        </w:tc>
        <w:tc>
          <w:tcPr>
            <w:tcW w:w="485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proofErr w:type="spellStart"/>
            <w:r w:rsidRPr="00E10388">
              <w:rPr>
                <w:color w:val="000000"/>
              </w:rPr>
              <w:t>Unversity</w:t>
            </w:r>
            <w:proofErr w:type="spellEnd"/>
            <w:r w:rsidRPr="00E10388">
              <w:rPr>
                <w:color w:val="000000"/>
              </w:rPr>
              <w:t xml:space="preserve"> of Aberdeen</w:t>
            </w:r>
          </w:p>
        </w:tc>
      </w:tr>
      <w:tr w:rsidR="0017670C" w:rsidRPr="00E10388" w:rsidTr="00C91181">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Nick Francis</w:t>
            </w:r>
          </w:p>
        </w:tc>
        <w:tc>
          <w:tcPr>
            <w:tcW w:w="198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UK</w:t>
            </w:r>
          </w:p>
        </w:tc>
        <w:tc>
          <w:tcPr>
            <w:tcW w:w="485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University of Southampton</w:t>
            </w:r>
          </w:p>
        </w:tc>
      </w:tr>
      <w:tr w:rsidR="0017670C" w:rsidRPr="00E10388" w:rsidTr="00C911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Roberto Grilli</w:t>
            </w:r>
          </w:p>
        </w:tc>
        <w:tc>
          <w:tcPr>
            <w:tcW w:w="198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Italy</w:t>
            </w:r>
          </w:p>
        </w:tc>
        <w:tc>
          <w:tcPr>
            <w:tcW w:w="485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proofErr w:type="spellStart"/>
            <w:r w:rsidRPr="00E10388">
              <w:rPr>
                <w:color w:val="000000"/>
              </w:rPr>
              <w:t>Azienda</w:t>
            </w:r>
            <w:proofErr w:type="spellEnd"/>
            <w:r w:rsidRPr="00E10388">
              <w:rPr>
                <w:color w:val="000000"/>
              </w:rPr>
              <w:t xml:space="preserve"> Sanitaria Locale-IRCCS of Reggio Emilia</w:t>
            </w:r>
          </w:p>
        </w:tc>
      </w:tr>
      <w:tr w:rsidR="0017670C" w:rsidRPr="00E10388" w:rsidTr="00C91181">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Jeremy Grimshaw</w:t>
            </w:r>
          </w:p>
        </w:tc>
        <w:tc>
          <w:tcPr>
            <w:tcW w:w="198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Canada</w:t>
            </w:r>
          </w:p>
        </w:tc>
        <w:tc>
          <w:tcPr>
            <w:tcW w:w="485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Ottawa Hospital Research Institute / University of Ottawa</w:t>
            </w:r>
          </w:p>
        </w:tc>
      </w:tr>
      <w:tr w:rsidR="0017670C" w:rsidRPr="00E10388" w:rsidTr="00C911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Ronny Gunnarsson</w:t>
            </w:r>
          </w:p>
        </w:tc>
        <w:tc>
          <w:tcPr>
            <w:tcW w:w="198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Sweden</w:t>
            </w:r>
          </w:p>
        </w:tc>
        <w:tc>
          <w:tcPr>
            <w:tcW w:w="485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 xml:space="preserve">Research and Development Centre </w:t>
            </w:r>
            <w:proofErr w:type="spellStart"/>
            <w:r w:rsidRPr="00E10388">
              <w:rPr>
                <w:color w:val="000000"/>
              </w:rPr>
              <w:t>Södra</w:t>
            </w:r>
            <w:proofErr w:type="spellEnd"/>
            <w:r w:rsidRPr="00E10388">
              <w:rPr>
                <w:color w:val="000000"/>
              </w:rPr>
              <w:t xml:space="preserve"> </w:t>
            </w:r>
            <w:proofErr w:type="spellStart"/>
            <w:r w:rsidRPr="00E10388">
              <w:rPr>
                <w:color w:val="000000"/>
              </w:rPr>
              <w:t>Älvsborg</w:t>
            </w:r>
            <w:proofErr w:type="spellEnd"/>
            <w:r w:rsidRPr="00E10388">
              <w:rPr>
                <w:color w:val="000000"/>
              </w:rPr>
              <w:t xml:space="preserve"> and University of Gothenburg</w:t>
            </w:r>
          </w:p>
        </w:tc>
      </w:tr>
      <w:tr w:rsidR="0017670C" w:rsidRPr="00E10388" w:rsidTr="00C91181">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Michael Hallsworth</w:t>
            </w:r>
          </w:p>
        </w:tc>
        <w:tc>
          <w:tcPr>
            <w:tcW w:w="198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USA</w:t>
            </w:r>
          </w:p>
        </w:tc>
        <w:tc>
          <w:tcPr>
            <w:tcW w:w="485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Behavioral Insights Team</w:t>
            </w:r>
          </w:p>
        </w:tc>
      </w:tr>
      <w:tr w:rsidR="0017670C" w:rsidRPr="00E10388" w:rsidTr="00C911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Lars Hemkens</w:t>
            </w:r>
          </w:p>
        </w:tc>
        <w:tc>
          <w:tcPr>
            <w:tcW w:w="198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Switzerland</w:t>
            </w:r>
          </w:p>
        </w:tc>
        <w:tc>
          <w:tcPr>
            <w:tcW w:w="485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University of Basel</w:t>
            </w:r>
          </w:p>
        </w:tc>
      </w:tr>
      <w:tr w:rsidR="0017670C" w:rsidRPr="00E10388" w:rsidTr="00C91181">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Sigurd Hoye</w:t>
            </w:r>
          </w:p>
        </w:tc>
        <w:tc>
          <w:tcPr>
            <w:tcW w:w="198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Norway</w:t>
            </w:r>
          </w:p>
        </w:tc>
        <w:tc>
          <w:tcPr>
            <w:tcW w:w="485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 xml:space="preserve">University of Oslo </w:t>
            </w:r>
          </w:p>
        </w:tc>
      </w:tr>
      <w:tr w:rsidR="0017670C" w:rsidRPr="00E10388" w:rsidTr="00C911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Noah Ivers</w:t>
            </w:r>
          </w:p>
        </w:tc>
        <w:tc>
          <w:tcPr>
            <w:tcW w:w="198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Canada</w:t>
            </w:r>
          </w:p>
        </w:tc>
        <w:tc>
          <w:tcPr>
            <w:tcW w:w="485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Women's College Hospital</w:t>
            </w:r>
          </w:p>
        </w:tc>
      </w:tr>
      <w:tr w:rsidR="0017670C" w:rsidRPr="00E10388" w:rsidTr="00C91181">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Tasneem Khan</w:t>
            </w:r>
          </w:p>
        </w:tc>
        <w:tc>
          <w:tcPr>
            <w:tcW w:w="198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UK</w:t>
            </w:r>
          </w:p>
        </w:tc>
        <w:tc>
          <w:tcPr>
            <w:tcW w:w="485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Leeds Institute of Health Sciences</w:t>
            </w:r>
          </w:p>
        </w:tc>
      </w:tr>
      <w:tr w:rsidR="0017670C" w:rsidRPr="00E10388" w:rsidTr="00C911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Donna Lecky</w:t>
            </w:r>
          </w:p>
        </w:tc>
        <w:tc>
          <w:tcPr>
            <w:tcW w:w="198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UK</w:t>
            </w:r>
          </w:p>
        </w:tc>
        <w:tc>
          <w:tcPr>
            <w:tcW w:w="485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Public Health England</w:t>
            </w:r>
          </w:p>
        </w:tc>
      </w:tr>
      <w:tr w:rsidR="0017670C" w:rsidRPr="00E10388" w:rsidTr="00C91181">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Morten Lindbaek</w:t>
            </w:r>
          </w:p>
        </w:tc>
        <w:tc>
          <w:tcPr>
            <w:tcW w:w="198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Norway</w:t>
            </w:r>
          </w:p>
        </w:tc>
        <w:tc>
          <w:tcPr>
            <w:tcW w:w="485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 xml:space="preserve">University of Oslo </w:t>
            </w:r>
          </w:p>
        </w:tc>
      </w:tr>
      <w:tr w:rsidR="0017670C" w:rsidRPr="00E10388" w:rsidTr="00C911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Jeff Linder</w:t>
            </w:r>
          </w:p>
        </w:tc>
        <w:tc>
          <w:tcPr>
            <w:tcW w:w="198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USA</w:t>
            </w:r>
          </w:p>
        </w:tc>
        <w:tc>
          <w:tcPr>
            <w:tcW w:w="485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 xml:space="preserve">Northwestern University </w:t>
            </w:r>
          </w:p>
        </w:tc>
      </w:tr>
      <w:tr w:rsidR="0017670C" w:rsidRPr="00E10388" w:rsidTr="00C91181">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lastRenderedPageBreak/>
              <w:t>Paul Little</w:t>
            </w:r>
          </w:p>
        </w:tc>
        <w:tc>
          <w:tcPr>
            <w:tcW w:w="198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UK</w:t>
            </w:r>
          </w:p>
        </w:tc>
        <w:tc>
          <w:tcPr>
            <w:tcW w:w="485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University of Southampton</w:t>
            </w:r>
          </w:p>
        </w:tc>
      </w:tr>
      <w:tr w:rsidR="0017670C" w:rsidRPr="00E10388" w:rsidTr="00C911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Carl Llor</w:t>
            </w:r>
          </w:p>
        </w:tc>
        <w:tc>
          <w:tcPr>
            <w:tcW w:w="198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Spain</w:t>
            </w:r>
          </w:p>
        </w:tc>
        <w:tc>
          <w:tcPr>
            <w:tcW w:w="485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 xml:space="preserve">IDIAP Jordi </w:t>
            </w:r>
            <w:proofErr w:type="spellStart"/>
            <w:r w:rsidRPr="00E10388">
              <w:rPr>
                <w:color w:val="000000"/>
              </w:rPr>
              <w:t>Gol</w:t>
            </w:r>
            <w:proofErr w:type="spellEnd"/>
            <w:r w:rsidRPr="00E10388">
              <w:rPr>
                <w:color w:val="000000"/>
              </w:rPr>
              <w:t xml:space="preserve"> and </w:t>
            </w:r>
            <w:proofErr w:type="spellStart"/>
            <w:r w:rsidRPr="00E10388">
              <w:rPr>
                <w:color w:val="000000"/>
              </w:rPr>
              <w:t>Gurina</w:t>
            </w:r>
            <w:proofErr w:type="spellEnd"/>
            <w:r w:rsidRPr="00E10388">
              <w:rPr>
                <w:color w:val="000000"/>
              </w:rPr>
              <w:t xml:space="preserve"> Foundation</w:t>
            </w:r>
          </w:p>
        </w:tc>
      </w:tr>
      <w:tr w:rsidR="0017670C" w:rsidRPr="00E10388" w:rsidTr="00C91181">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Fabiano Lorencatto</w:t>
            </w:r>
          </w:p>
        </w:tc>
        <w:tc>
          <w:tcPr>
            <w:tcW w:w="198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UK</w:t>
            </w:r>
          </w:p>
        </w:tc>
        <w:tc>
          <w:tcPr>
            <w:tcW w:w="485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 xml:space="preserve">Centre for </w:t>
            </w:r>
            <w:proofErr w:type="spellStart"/>
            <w:r w:rsidRPr="00E10388">
              <w:rPr>
                <w:color w:val="000000"/>
              </w:rPr>
              <w:t>Behaviour</w:t>
            </w:r>
            <w:proofErr w:type="spellEnd"/>
            <w:r w:rsidRPr="00E10388">
              <w:rPr>
                <w:color w:val="000000"/>
              </w:rPr>
              <w:t xml:space="preserve"> Change University College London</w:t>
            </w:r>
          </w:p>
        </w:tc>
      </w:tr>
      <w:tr w:rsidR="0017670C" w:rsidRPr="00E10388" w:rsidTr="00C911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Denise O'Connor</w:t>
            </w:r>
          </w:p>
        </w:tc>
        <w:tc>
          <w:tcPr>
            <w:tcW w:w="198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Australia</w:t>
            </w:r>
          </w:p>
        </w:tc>
        <w:tc>
          <w:tcPr>
            <w:tcW w:w="485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proofErr w:type="spellStart"/>
            <w:r w:rsidRPr="00E10388">
              <w:rPr>
                <w:color w:val="000000"/>
              </w:rPr>
              <w:t>Monash</w:t>
            </w:r>
            <w:proofErr w:type="spellEnd"/>
            <w:r w:rsidRPr="00E10388">
              <w:rPr>
                <w:color w:val="000000"/>
              </w:rPr>
              <w:t xml:space="preserve"> University</w:t>
            </w:r>
          </w:p>
        </w:tc>
      </w:tr>
      <w:tr w:rsidR="0017670C" w:rsidRPr="00E10388" w:rsidTr="00C91181">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Celine Pulcini</w:t>
            </w:r>
          </w:p>
        </w:tc>
        <w:tc>
          <w:tcPr>
            <w:tcW w:w="198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France</w:t>
            </w:r>
          </w:p>
        </w:tc>
        <w:tc>
          <w:tcPr>
            <w:tcW w:w="485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Lorraine University and Nancy University Hospital</w:t>
            </w:r>
          </w:p>
        </w:tc>
      </w:tr>
      <w:tr w:rsidR="0017670C" w:rsidRPr="00E10388" w:rsidTr="00C911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Craig Ramsay</w:t>
            </w:r>
          </w:p>
        </w:tc>
        <w:tc>
          <w:tcPr>
            <w:tcW w:w="198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UK</w:t>
            </w:r>
          </w:p>
        </w:tc>
        <w:tc>
          <w:tcPr>
            <w:tcW w:w="485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proofErr w:type="spellStart"/>
            <w:r w:rsidRPr="00E10388">
              <w:rPr>
                <w:color w:val="000000"/>
              </w:rPr>
              <w:t>Unversity</w:t>
            </w:r>
            <w:proofErr w:type="spellEnd"/>
            <w:r w:rsidRPr="00E10388">
              <w:rPr>
                <w:color w:val="000000"/>
              </w:rPr>
              <w:t xml:space="preserve"> of Aberdeen</w:t>
            </w:r>
          </w:p>
        </w:tc>
      </w:tr>
      <w:tr w:rsidR="0017670C" w:rsidRPr="00E10388" w:rsidTr="00C91181">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Rosella Saulle</w:t>
            </w:r>
          </w:p>
        </w:tc>
        <w:tc>
          <w:tcPr>
            <w:tcW w:w="198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 xml:space="preserve">Italy </w:t>
            </w:r>
          </w:p>
        </w:tc>
        <w:tc>
          <w:tcPr>
            <w:tcW w:w="485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Department of Epidemiology, Rome, Lazio Region</w:t>
            </w:r>
          </w:p>
        </w:tc>
      </w:tr>
      <w:tr w:rsidR="0017670C" w:rsidRPr="00E10388" w:rsidTr="00C911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Kevin Schwartz</w:t>
            </w:r>
          </w:p>
        </w:tc>
        <w:tc>
          <w:tcPr>
            <w:tcW w:w="198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Canada</w:t>
            </w:r>
          </w:p>
        </w:tc>
        <w:tc>
          <w:tcPr>
            <w:tcW w:w="485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Public Health Ontario</w:t>
            </w:r>
          </w:p>
        </w:tc>
      </w:tr>
      <w:tr w:rsidR="0017670C" w:rsidRPr="00E10388" w:rsidTr="00C91181">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 xml:space="preserve">Maia Simon </w:t>
            </w:r>
          </w:p>
        </w:tc>
        <w:tc>
          <w:tcPr>
            <w:tcW w:w="198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France</w:t>
            </w:r>
          </w:p>
        </w:tc>
        <w:tc>
          <w:tcPr>
            <w:tcW w:w="485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University of Lorraine</w:t>
            </w:r>
          </w:p>
        </w:tc>
      </w:tr>
      <w:tr w:rsidR="0017670C" w:rsidRPr="00E10388" w:rsidTr="00C911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Pär-Daniel  Sundvall</w:t>
            </w:r>
          </w:p>
        </w:tc>
        <w:tc>
          <w:tcPr>
            <w:tcW w:w="198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Sweden</w:t>
            </w:r>
          </w:p>
        </w:tc>
        <w:tc>
          <w:tcPr>
            <w:tcW w:w="485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 xml:space="preserve">Research and Development Centre </w:t>
            </w:r>
            <w:proofErr w:type="spellStart"/>
            <w:r w:rsidRPr="00E10388">
              <w:rPr>
                <w:color w:val="000000"/>
              </w:rPr>
              <w:t>Södra</w:t>
            </w:r>
            <w:proofErr w:type="spellEnd"/>
            <w:r w:rsidRPr="00E10388">
              <w:rPr>
                <w:color w:val="000000"/>
              </w:rPr>
              <w:t xml:space="preserve"> </w:t>
            </w:r>
            <w:proofErr w:type="spellStart"/>
            <w:r w:rsidRPr="00E10388">
              <w:rPr>
                <w:color w:val="000000"/>
              </w:rPr>
              <w:t>Älvsborg</w:t>
            </w:r>
            <w:proofErr w:type="spellEnd"/>
            <w:r w:rsidRPr="00E10388">
              <w:rPr>
                <w:color w:val="000000"/>
              </w:rPr>
              <w:t xml:space="preserve"> and University of Gothenburg</w:t>
            </w:r>
          </w:p>
        </w:tc>
      </w:tr>
      <w:tr w:rsidR="0017670C" w:rsidRPr="00E10388" w:rsidTr="00C91181">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Monica Taljaard</w:t>
            </w:r>
          </w:p>
        </w:tc>
        <w:tc>
          <w:tcPr>
            <w:tcW w:w="198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Canada</w:t>
            </w:r>
          </w:p>
        </w:tc>
        <w:tc>
          <w:tcPr>
            <w:tcW w:w="485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Ottawa Hospital Research Institute</w:t>
            </w:r>
          </w:p>
        </w:tc>
      </w:tr>
      <w:tr w:rsidR="0017670C" w:rsidRPr="00E10388" w:rsidTr="00C911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Pia Touboul</w:t>
            </w:r>
          </w:p>
        </w:tc>
        <w:tc>
          <w:tcPr>
            <w:tcW w:w="198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France</w:t>
            </w:r>
          </w:p>
        </w:tc>
        <w:tc>
          <w:tcPr>
            <w:tcW w:w="485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Nice university Hospital, Department of Public Health</w:t>
            </w:r>
          </w:p>
        </w:tc>
      </w:tr>
      <w:tr w:rsidR="0017670C" w:rsidRPr="00E10388" w:rsidTr="00C91181">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Akke Vellinga</w:t>
            </w:r>
          </w:p>
        </w:tc>
        <w:tc>
          <w:tcPr>
            <w:tcW w:w="198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Ireland</w:t>
            </w:r>
          </w:p>
        </w:tc>
        <w:tc>
          <w:tcPr>
            <w:tcW w:w="485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proofErr w:type="spellStart"/>
            <w:r w:rsidRPr="00E10388">
              <w:rPr>
                <w:color w:val="000000"/>
              </w:rPr>
              <w:t>Univsity</w:t>
            </w:r>
            <w:proofErr w:type="spellEnd"/>
            <w:r w:rsidRPr="00E10388">
              <w:rPr>
                <w:color w:val="000000"/>
              </w:rPr>
              <w:t xml:space="preserve"> College Dublin</w:t>
            </w:r>
          </w:p>
        </w:tc>
      </w:tr>
      <w:tr w:rsidR="0017670C" w:rsidRPr="00E10388" w:rsidTr="00C911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Jan Verbakel</w:t>
            </w:r>
          </w:p>
        </w:tc>
        <w:tc>
          <w:tcPr>
            <w:tcW w:w="198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r w:rsidRPr="00E10388">
              <w:rPr>
                <w:color w:val="000000"/>
              </w:rPr>
              <w:t>Belgium</w:t>
            </w:r>
          </w:p>
        </w:tc>
        <w:tc>
          <w:tcPr>
            <w:tcW w:w="4850" w:type="dxa"/>
          </w:tcPr>
          <w:p w:rsidR="0017670C" w:rsidRPr="00E10388" w:rsidRDefault="0017670C" w:rsidP="00C91181">
            <w:pPr>
              <w:cnfStyle w:val="000000100000" w:firstRow="0" w:lastRow="0" w:firstColumn="0" w:lastColumn="0" w:oddVBand="0" w:evenVBand="0" w:oddHBand="1" w:evenHBand="0" w:firstRowFirstColumn="0" w:firstRowLastColumn="0" w:lastRowFirstColumn="0" w:lastRowLastColumn="0"/>
              <w:rPr>
                <w:color w:val="000000"/>
              </w:rPr>
            </w:pPr>
            <w:proofErr w:type="spellStart"/>
            <w:r w:rsidRPr="00E10388">
              <w:rPr>
                <w:color w:val="000000"/>
              </w:rPr>
              <w:t>Katholieke</w:t>
            </w:r>
            <w:proofErr w:type="spellEnd"/>
            <w:r w:rsidRPr="00E10388">
              <w:rPr>
                <w:color w:val="000000"/>
              </w:rPr>
              <w:t xml:space="preserve"> </w:t>
            </w:r>
            <w:proofErr w:type="spellStart"/>
            <w:r w:rsidRPr="00E10388">
              <w:rPr>
                <w:color w:val="000000"/>
              </w:rPr>
              <w:t>Universiteit</w:t>
            </w:r>
            <w:proofErr w:type="spellEnd"/>
            <w:r w:rsidRPr="00E10388">
              <w:rPr>
                <w:color w:val="000000"/>
              </w:rPr>
              <w:t xml:space="preserve"> Leuven</w:t>
            </w:r>
          </w:p>
        </w:tc>
      </w:tr>
      <w:tr w:rsidR="0017670C" w:rsidRPr="00E10388" w:rsidTr="00C91181">
        <w:tc>
          <w:tcPr>
            <w:cnfStyle w:val="001000000000" w:firstRow="0" w:lastRow="0" w:firstColumn="1" w:lastColumn="0" w:oddVBand="0" w:evenVBand="0" w:oddHBand="0" w:evenHBand="0" w:firstRowFirstColumn="0" w:firstRowLastColumn="0" w:lastRowFirstColumn="0" w:lastRowLastColumn="0"/>
            <w:tcW w:w="2520" w:type="dxa"/>
          </w:tcPr>
          <w:p w:rsidR="0017670C" w:rsidRPr="00E10388" w:rsidRDefault="0017670C" w:rsidP="00C91181">
            <w:pPr>
              <w:rPr>
                <w:rFonts w:eastAsia="Times New Roman"/>
                <w:b w:val="0"/>
                <w:color w:val="000000"/>
              </w:rPr>
            </w:pPr>
            <w:r w:rsidRPr="00E10388">
              <w:rPr>
                <w:rFonts w:eastAsia="Times New Roman"/>
                <w:b w:val="0"/>
                <w:color w:val="000000"/>
              </w:rPr>
              <w:t>Theo Verheij</w:t>
            </w:r>
          </w:p>
        </w:tc>
        <w:tc>
          <w:tcPr>
            <w:tcW w:w="198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Netherlands</w:t>
            </w:r>
          </w:p>
        </w:tc>
        <w:tc>
          <w:tcPr>
            <w:tcW w:w="4850" w:type="dxa"/>
          </w:tcPr>
          <w:p w:rsidR="0017670C" w:rsidRPr="00E10388" w:rsidRDefault="0017670C" w:rsidP="00C91181">
            <w:pPr>
              <w:cnfStyle w:val="000000000000" w:firstRow="0" w:lastRow="0" w:firstColumn="0" w:lastColumn="0" w:oddVBand="0" w:evenVBand="0" w:oddHBand="0" w:evenHBand="0" w:firstRowFirstColumn="0" w:firstRowLastColumn="0" w:lastRowFirstColumn="0" w:lastRowLastColumn="0"/>
              <w:rPr>
                <w:color w:val="000000"/>
              </w:rPr>
            </w:pPr>
            <w:r w:rsidRPr="00E10388">
              <w:rPr>
                <w:color w:val="000000"/>
              </w:rPr>
              <w:t>University Medical Center Utrecht</w:t>
            </w:r>
          </w:p>
        </w:tc>
      </w:tr>
    </w:tbl>
    <w:p w:rsidR="0017670C" w:rsidRDefault="0017670C" w:rsidP="0017670C"/>
    <w:p w:rsidR="0017670C" w:rsidRDefault="0017670C" w:rsidP="0017670C">
      <w:pPr>
        <w:widowControl w:val="0"/>
        <w:spacing w:before="240" w:after="240"/>
      </w:pPr>
    </w:p>
    <w:p w:rsidR="0017670C" w:rsidRDefault="0017670C" w:rsidP="0017670C">
      <w:pPr>
        <w:widowControl w:val="0"/>
        <w:spacing w:before="240" w:after="240"/>
      </w:pPr>
    </w:p>
    <w:p w:rsidR="0017670C" w:rsidRDefault="0017670C" w:rsidP="0017670C">
      <w:r>
        <w:br w:type="page"/>
      </w:r>
    </w:p>
    <w:p w:rsidR="0017670C" w:rsidRDefault="0017670C" w:rsidP="0017670C">
      <w:pPr>
        <w:widowControl w:val="0"/>
        <w:spacing w:before="240" w:after="240"/>
      </w:pPr>
      <w:r>
        <w:lastRenderedPageBreak/>
        <w:t>Supplementary Materials: Toolkit for designing and evaluating an A&amp;F intervention in primary care for antibiotic prescribing.</w:t>
      </w:r>
    </w:p>
    <w:tbl>
      <w:tblPr>
        <w:tblW w:w="8895" w:type="dxa"/>
        <w:tblLayout w:type="fixed"/>
        <w:tblLook w:val="0600" w:firstRow="0" w:lastRow="0" w:firstColumn="0" w:lastColumn="0" w:noHBand="1" w:noVBand="1"/>
      </w:tblPr>
      <w:tblGrid>
        <w:gridCol w:w="1665"/>
        <w:gridCol w:w="7230"/>
      </w:tblGrid>
      <w:tr w:rsidR="0017670C" w:rsidTr="00C91181">
        <w:trPr>
          <w:trHeight w:val="765"/>
        </w:trPr>
        <w:tc>
          <w:tcPr>
            <w:tcW w:w="8895" w:type="dxa"/>
            <w:gridSpan w:val="2"/>
            <w:tcBorders>
              <w:top w:val="single" w:sz="8" w:space="0" w:color="212121"/>
              <w:left w:val="single" w:sz="8" w:space="0" w:color="212121"/>
              <w:bottom w:val="single" w:sz="8" w:space="0" w:color="212121"/>
              <w:right w:val="single" w:sz="8" w:space="0" w:color="212121"/>
            </w:tcBorders>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color w:val="212121"/>
              </w:rPr>
            </w:pPr>
            <w:r>
              <w:t>Researchers can work through this checklist to consider the 13 recommendations for primary care antibiotic A&amp;F interventions from JPIAMR-PAAN. For each statement, consider if it has been, or can be, incorporated into your A&amp;F intervention. Briefly consider how it has been incorporated, or if not, whether and when it can be addressed. It may be helpful to consider the reasons or limitations why cannot be incorporated to proactively support the intervention credibility.</w:t>
            </w:r>
          </w:p>
        </w:tc>
      </w:tr>
      <w:tr w:rsidR="0017670C" w:rsidTr="00C91181">
        <w:trPr>
          <w:trHeight w:val="765"/>
        </w:trPr>
        <w:tc>
          <w:tcPr>
            <w:tcW w:w="8895" w:type="dxa"/>
            <w:gridSpan w:val="2"/>
            <w:tcBorders>
              <w:top w:val="single" w:sz="8" w:space="0" w:color="212121"/>
              <w:left w:val="single" w:sz="8" w:space="0" w:color="212121"/>
              <w:bottom w:val="single" w:sz="8" w:space="0" w:color="212121"/>
              <w:right w:val="single" w:sz="8" w:space="0" w:color="212121"/>
            </w:tcBorders>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color w:val="212121"/>
              </w:rPr>
            </w:pPr>
            <w:r>
              <w:rPr>
                <w:rFonts w:ascii="Times New Roman" w:eastAsia="Times New Roman" w:hAnsi="Times New Roman" w:cs="Times New Roman"/>
                <w:b/>
                <w:color w:val="212121"/>
              </w:rPr>
              <w:t>GENERAL CONSIDERATIONS</w:t>
            </w:r>
          </w:p>
        </w:tc>
      </w:tr>
      <w:tr w:rsidR="0017670C" w:rsidTr="00C91181">
        <w:trPr>
          <w:trHeight w:val="106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1. Antibiotic audit and feedback interventions in primary care should be framed as quality improvement projects within a supportive environment</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163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2. Prior to initiating an antibiotic audit and feedback intervention in primary care consider potential barriers to success such as local data availability, data validity, expected engagement of feedback recipients, perceived patient expectations for antibiotics, and other situational factors</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lastRenderedPageBreak/>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163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3. Strategies to optimize reach and engagement of an antibiotic audit and feedback intervention in primary care include; utilizing an opt-out approach to delivery of feedback reports, offering of continuing medical education credits, financial incentives, and facilitated peer group discussions</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73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color w:val="212121"/>
              </w:rPr>
            </w:pPr>
            <w:r>
              <w:rPr>
                <w:rFonts w:ascii="Times New Roman" w:eastAsia="Times New Roman" w:hAnsi="Times New Roman" w:cs="Times New Roman"/>
                <w:b/>
                <w:color w:val="212121"/>
              </w:rPr>
              <w:t>SELECTING PRESCRIBERS</w:t>
            </w:r>
          </w:p>
        </w:tc>
      </w:tr>
      <w:tr w:rsidR="0017670C" w:rsidTr="00C91181">
        <w:trPr>
          <w:trHeight w:val="106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4. All primary care prescribers, regardless of practice type or prescribing volume, should be included in antibiotic prescribing audit and feedback interventions</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lastRenderedPageBreak/>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73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rPr>
            </w:pPr>
            <w:r>
              <w:rPr>
                <w:rFonts w:ascii="Times New Roman" w:eastAsia="Times New Roman" w:hAnsi="Times New Roman" w:cs="Times New Roman"/>
                <w:b/>
              </w:rPr>
              <w:t>DATA AND INDICATOR SELECTION</w:t>
            </w:r>
          </w:p>
        </w:tc>
      </w:tr>
      <w:tr w:rsidR="0017670C" w:rsidTr="00C91181">
        <w:trPr>
          <w:trHeight w:val="1290"/>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5. Feedback indicators for antibiotic prescribing in primary care should target reductions in antibiotic initiations, prolonged antibiotic duration, and/or unnecessary broad-spectrum antibiotics</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106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6. Antibiotic feedback reports in primary care should enable and support </w:t>
            </w:r>
            <w:proofErr w:type="spellStart"/>
            <w:r>
              <w:rPr>
                <w:rFonts w:ascii="Times New Roman" w:eastAsia="Times New Roman" w:hAnsi="Times New Roman" w:cs="Times New Roman"/>
                <w:b/>
                <w:sz w:val="24"/>
                <w:szCs w:val="24"/>
              </w:rPr>
              <w:t>behaviour</w:t>
            </w:r>
            <w:proofErr w:type="spellEnd"/>
            <w:r>
              <w:rPr>
                <w:rFonts w:ascii="Times New Roman" w:eastAsia="Times New Roman" w:hAnsi="Times New Roman" w:cs="Times New Roman"/>
                <w:b/>
                <w:sz w:val="24"/>
                <w:szCs w:val="24"/>
              </w:rPr>
              <w:t xml:space="preserve"> change by providing guidance and educational resources</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1290"/>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7. The optimal data source for antibiotic audit and feedback in primary care is credible, valid, routinely collected, and comprehensive for the region; ideally containing prescription, diagnostic, and clinical data</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1290"/>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8. Benchmarks or achievable targets for peer comparisons for antibiotic prescribing in primary care should be indicator specific and based on national and/or local performance data of high performing peers</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73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rPr>
            </w:pPr>
            <w:r>
              <w:rPr>
                <w:rFonts w:ascii="Times New Roman" w:eastAsia="Times New Roman" w:hAnsi="Times New Roman" w:cs="Times New Roman"/>
                <w:b/>
              </w:rPr>
              <w:t>FEEDBACK DELIVERY</w:t>
            </w:r>
          </w:p>
        </w:tc>
      </w:tr>
      <w:tr w:rsidR="0017670C" w:rsidTr="00C91181">
        <w:trPr>
          <w:trHeight w:val="106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9. Antibiotic audit and feedback in primary care should be displayed such that recipients can understand their performance and desired actions within seconds</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lastRenderedPageBreak/>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1290"/>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10. Antibiotic audit and feedback reports in primary care should be repeated. The optimal frequency is not known but can depend on local factors such as data availability and seasonality of prescribing</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100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11. Antibiotic feedback in primary care should be ideally delivered by multiple strategies including verbal, paper, and/or electronic means</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lastRenderedPageBreak/>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100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12. Antibiotic feedback should be delivered to primary care prescribers by a respected authority figure or colleague</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1290"/>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13. Individual-level antibiotic feedback should be delivered confidentially to primary care prescribers, and the opportunity for peer discussion should be provided and encouraged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bl>
    <w:p w:rsidR="0017670C" w:rsidRDefault="0017670C" w:rsidP="0017670C">
      <w:pPr>
        <w:widowControl w:val="0"/>
        <w:spacing w:before="240" w:after="240"/>
        <w:rPr>
          <w:b/>
        </w:rPr>
      </w:pPr>
    </w:p>
    <w:p w:rsidR="0017670C" w:rsidRDefault="0017670C" w:rsidP="0017670C">
      <w:pPr>
        <w:widowControl w:val="0"/>
        <w:spacing w:before="240" w:after="240"/>
        <w:rPr>
          <w:b/>
        </w:rPr>
      </w:pPr>
    </w:p>
    <w:p w:rsidR="0017670C" w:rsidRPr="008E6774" w:rsidRDefault="0017670C" w:rsidP="0017670C">
      <w:pPr>
        <w:widowControl w:val="0"/>
        <w:spacing w:before="240" w:after="240"/>
      </w:pPr>
      <w:r>
        <w:lastRenderedPageBreak/>
        <w:t>Below we have used previously published studies as an example of applying this toolkit in evaluating primary care antibiotic A&amp;F interventions. The first was a study in Sweden by Hemkens et al. 2017.</w:t>
      </w:r>
      <w:r>
        <w:rPr>
          <w:vertAlign w:val="superscript"/>
        </w:rPr>
        <w:t xml:space="preserve">15 </w:t>
      </w:r>
      <w:proofErr w:type="gramStart"/>
      <w:r>
        <w:t>This</w:t>
      </w:r>
      <w:proofErr w:type="gramEnd"/>
      <w:r>
        <w:t xml:space="preserve"> study did not demonstrate an overall significant change in antibiotics. Eight, out of 13, recommendations were followed, 2 partially, and 3 not at all.</w:t>
      </w:r>
    </w:p>
    <w:tbl>
      <w:tblPr>
        <w:tblW w:w="8895" w:type="dxa"/>
        <w:tblLayout w:type="fixed"/>
        <w:tblLook w:val="0600" w:firstRow="0" w:lastRow="0" w:firstColumn="0" w:lastColumn="0" w:noHBand="1" w:noVBand="1"/>
      </w:tblPr>
      <w:tblGrid>
        <w:gridCol w:w="1665"/>
        <w:gridCol w:w="7230"/>
      </w:tblGrid>
      <w:tr w:rsidR="0017670C" w:rsidTr="00C91181">
        <w:trPr>
          <w:trHeight w:val="765"/>
        </w:trPr>
        <w:tc>
          <w:tcPr>
            <w:tcW w:w="8895" w:type="dxa"/>
            <w:gridSpan w:val="2"/>
            <w:tcBorders>
              <w:top w:val="single" w:sz="8" w:space="0" w:color="212121"/>
              <w:left w:val="single" w:sz="8" w:space="0" w:color="212121"/>
              <w:bottom w:val="single" w:sz="8" w:space="0" w:color="212121"/>
              <w:right w:val="single" w:sz="8" w:space="0" w:color="212121"/>
            </w:tcBorders>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color w:val="212121"/>
              </w:rPr>
            </w:pPr>
            <w:r>
              <w:rPr>
                <w:rFonts w:ascii="Times New Roman" w:eastAsia="Times New Roman" w:hAnsi="Times New Roman" w:cs="Times New Roman"/>
                <w:b/>
                <w:color w:val="212121"/>
              </w:rPr>
              <w:t>GENERAL CONSIDERATIONS</w:t>
            </w:r>
          </w:p>
        </w:tc>
      </w:tr>
      <w:tr w:rsidR="0017670C" w:rsidTr="00C91181">
        <w:trPr>
          <w:trHeight w:val="106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1. Antibiotic audit and feedback interventions in primary care should be framed as quality improvement projects within a supportive environment</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5A6BB4">
              <w:rPr>
                <w:rFonts w:ascii="Times New Roman" w:eastAsia="Times New Roman" w:hAnsi="Times New Roman" w:cs="Times New Roman"/>
                <w:b/>
                <w:color w:val="FF0000"/>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p w:rsidR="0017670C" w:rsidRPr="00DD5F09" w:rsidRDefault="0017670C" w:rsidP="00C91181">
            <w:pPr>
              <w:widowControl w:val="0"/>
              <w:spacing w:before="240"/>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Along with the mailed feedback report (intervention), further information on the study were provided; including basic details on the rationale, privacy, and data protection issues. The intervention was described as a quality improvement program.</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163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2. Prior to initiating an antibiotic audit and feedback intervention in primary care consider potential barriers to success such as local data availability, data validity, expected engagement of feedback recipients, perceived patient expectations for antibiotics, and other situational factors</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5A6BB4">
              <w:rPr>
                <w:rFonts w:ascii="Times New Roman" w:eastAsia="Times New Roman" w:hAnsi="Times New Roman" w:cs="Times New Roman"/>
                <w:b/>
                <w:color w:val="FF0000"/>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p w:rsidR="0017670C" w:rsidRPr="005A6BB4" w:rsidRDefault="0017670C" w:rsidP="00C91181">
            <w:pPr>
              <w:widowControl w:val="0"/>
              <w:spacing w:before="240"/>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Routine administrative (drug prescription and health care service) claims data were available and used for recruitment, intervention, and main outcome measurement. Participant engagement was promoted through multiple ways to access and interact with the feedback (e.g. individual access code to study website, evidence-based guidelines). </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lastRenderedPageBreak/>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163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3. Strategies to optimize reach and engagement of an antibiotic audit and feedback intervention in primary care include; utilizing an opt-out approach to delivery of feedback reports, offering of continuing medical education credits, financial incentives, and facilitated peer group discussions</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7A52E8">
              <w:rPr>
                <w:rFonts w:ascii="Times New Roman" w:eastAsia="Times New Roman" w:hAnsi="Times New Roman" w:cs="Times New Roman"/>
                <w:b/>
                <w:color w:val="FF0000"/>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p w:rsidR="0017670C" w:rsidRPr="007A52E8" w:rsidRDefault="0017670C" w:rsidP="00C91181">
            <w:pPr>
              <w:widowControl w:val="0"/>
              <w:spacing w:before="240"/>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An opt-out approach was utilized as no informed consent was obtained to mail out the feedback reports; rather a response postcard for opting-out was provided. </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73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color w:val="212121"/>
              </w:rPr>
            </w:pPr>
            <w:r>
              <w:rPr>
                <w:rFonts w:ascii="Times New Roman" w:eastAsia="Times New Roman" w:hAnsi="Times New Roman" w:cs="Times New Roman"/>
                <w:b/>
                <w:color w:val="212121"/>
              </w:rPr>
              <w:t>SELECTING PRESCRIBERS</w:t>
            </w:r>
          </w:p>
        </w:tc>
      </w:tr>
      <w:tr w:rsidR="0017670C" w:rsidTr="00C91181">
        <w:trPr>
          <w:trHeight w:val="106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4. All primary care prescribers, regardless of practice type or prescribing volume, should be included in antibiotic prescribing audit and feedback interventions</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7A52E8">
              <w:rPr>
                <w:rFonts w:ascii="Times New Roman" w:eastAsia="Times New Roman" w:hAnsi="Times New Roman" w:cs="Times New Roman"/>
                <w:b/>
                <w:color w:val="FF0000"/>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p w:rsidR="0017670C" w:rsidRPr="007A52E8" w:rsidRDefault="0017670C" w:rsidP="00C91181">
            <w:pPr>
              <w:widowControl w:val="0"/>
              <w:spacing w:before="240"/>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Selection criteria for physicians did not include practice type; however physicians with fewer than 100 patients per year were excluded.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lastRenderedPageBreak/>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73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rPr>
            </w:pPr>
            <w:r>
              <w:rPr>
                <w:rFonts w:ascii="Times New Roman" w:eastAsia="Times New Roman" w:hAnsi="Times New Roman" w:cs="Times New Roman"/>
                <w:b/>
              </w:rPr>
              <w:t>DATA AND INDICATOR SELECTION</w:t>
            </w:r>
          </w:p>
        </w:tc>
      </w:tr>
      <w:tr w:rsidR="0017670C" w:rsidTr="00C91181">
        <w:trPr>
          <w:trHeight w:val="1290"/>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5. Feedback indicators for antibiotic prescribing in primary care should target reductions in antibiotic initiations, prolonged antibiotic duration, and/or unnecessary broad-spectrum antibiotics</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7A52E8">
              <w:rPr>
                <w:rFonts w:ascii="Times New Roman" w:eastAsia="Times New Roman" w:hAnsi="Times New Roman" w:cs="Times New Roman"/>
                <w:b/>
                <w:color w:val="FF0000"/>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p w:rsidR="0017670C" w:rsidRPr="007A52E8" w:rsidRDefault="0017670C" w:rsidP="00C91181">
            <w:pPr>
              <w:widowControl w:val="0"/>
              <w:spacing w:before="240"/>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However, the primary outcome was the prescribed DDD of any type of antibiotics to any patient per 100 consultations. DDDs may be harder for the average physician to interpret and associate with </w:t>
            </w:r>
            <w:proofErr w:type="spellStart"/>
            <w:r>
              <w:rPr>
                <w:rFonts w:ascii="Times New Roman" w:eastAsia="Times New Roman" w:hAnsi="Times New Roman" w:cs="Times New Roman"/>
                <w:color w:val="FF0000"/>
                <w:sz w:val="20"/>
                <w:szCs w:val="20"/>
              </w:rPr>
              <w:t>behaviour</w:t>
            </w:r>
            <w:proofErr w:type="spellEnd"/>
            <w:r>
              <w:rPr>
                <w:rFonts w:ascii="Times New Roman" w:eastAsia="Times New Roman" w:hAnsi="Times New Roman" w:cs="Times New Roman"/>
                <w:color w:val="FF0000"/>
                <w:sz w:val="20"/>
                <w:szCs w:val="20"/>
              </w:rPr>
              <w:t xml:space="preserve"> change. Secondary prescribing metrics were provided by specific antibiotic type. </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106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6. Antibiotic feedback reports in primary care should enable and support </w:t>
            </w:r>
            <w:proofErr w:type="spellStart"/>
            <w:r>
              <w:rPr>
                <w:rFonts w:ascii="Times New Roman" w:eastAsia="Times New Roman" w:hAnsi="Times New Roman" w:cs="Times New Roman"/>
                <w:b/>
                <w:sz w:val="24"/>
                <w:szCs w:val="24"/>
              </w:rPr>
              <w:t>behaviour</w:t>
            </w:r>
            <w:proofErr w:type="spellEnd"/>
            <w:r>
              <w:rPr>
                <w:rFonts w:ascii="Times New Roman" w:eastAsia="Times New Roman" w:hAnsi="Times New Roman" w:cs="Times New Roman"/>
                <w:b/>
                <w:sz w:val="24"/>
                <w:szCs w:val="24"/>
              </w:rPr>
              <w:t xml:space="preserve"> change by providing guidance and educational resources</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7A52E8">
              <w:rPr>
                <w:rFonts w:ascii="Times New Roman" w:eastAsia="Times New Roman" w:hAnsi="Times New Roman" w:cs="Times New Roman"/>
                <w:b/>
                <w:color w:val="FF0000"/>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p w:rsidR="0017670C" w:rsidRPr="007A52E8" w:rsidRDefault="0017670C" w:rsidP="00C91181">
            <w:pPr>
              <w:widowControl w:val="0"/>
              <w:spacing w:before="240"/>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Access to website provided, where additional details (on prescriptions per age group or sex or antibiotic type) and answers to frequently asked questions (on antibiotic use) were offered to participants. In addition, guidelines for optimized antibiotic use were mailed to participants along with the first feedback report. </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lastRenderedPageBreak/>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1290"/>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7. The optimal data source for antibiotic audit and feedback in primary care is credible, valid, routinely collected, and comprehensive for the region; ideally containing prescription, diagnostic, and clinical data</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F041E9">
              <w:rPr>
                <w:rFonts w:ascii="Times New Roman" w:eastAsia="Times New Roman" w:hAnsi="Times New Roman" w:cs="Times New Roman"/>
                <w:b/>
                <w:color w:val="FF0000"/>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p w:rsidR="0017670C" w:rsidRPr="00F041E9" w:rsidRDefault="0017670C" w:rsidP="00C91181">
            <w:pPr>
              <w:widowControl w:val="0"/>
              <w:spacing w:before="240"/>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Routinely collected prescription claims data were used for the intervention, which covers 64% of the Swiss population. </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1290"/>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8. Benchmarks or achievable targets for peer comparisons for antibiotic prescribing in primary care should be indicator specific and based on national and/or local performance data of high performing peers</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8132B4">
              <w:rPr>
                <w:rFonts w:ascii="Times New Roman" w:eastAsia="Times New Roman" w:hAnsi="Times New Roman" w:cs="Times New Roman"/>
                <w:b/>
                <w:color w:val="FF0000"/>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p w:rsidR="0017670C" w:rsidRPr="00F041E9" w:rsidRDefault="0017670C" w:rsidP="00C91181">
            <w:pPr>
              <w:widowControl w:val="0"/>
              <w:spacing w:before="240"/>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The intervention feedback report compared individual physicians with the adjusted average in peer physicians, rather than high performing peers.</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8132B4">
              <w:rPr>
                <w:rFonts w:ascii="Times New Roman" w:eastAsia="Times New Roman" w:hAnsi="Times New Roman" w:cs="Times New Roman"/>
                <w:b/>
                <w:sz w:val="36"/>
                <w:szCs w:val="36"/>
              </w:rPr>
              <w:lastRenderedPageBreak/>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p w:rsidR="0017670C" w:rsidRDefault="0017670C" w:rsidP="00C91181">
            <w:pPr>
              <w:widowControl w:val="0"/>
              <w:spacing w:before="240"/>
              <w:rPr>
                <w:rFonts w:ascii="Times New Roman" w:eastAsia="Times New Roman" w:hAnsi="Times New Roman" w:cs="Times New Roman"/>
                <w:sz w:val="20"/>
                <w:szCs w:val="20"/>
              </w:rPr>
            </w:pPr>
          </w:p>
        </w:tc>
      </w:tr>
      <w:tr w:rsidR="0017670C" w:rsidTr="00C91181">
        <w:trPr>
          <w:trHeight w:val="73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rPr>
            </w:pPr>
            <w:r>
              <w:rPr>
                <w:rFonts w:ascii="Times New Roman" w:eastAsia="Times New Roman" w:hAnsi="Times New Roman" w:cs="Times New Roman"/>
                <w:b/>
              </w:rPr>
              <w:t>DELIVERY</w:t>
            </w:r>
          </w:p>
        </w:tc>
      </w:tr>
      <w:tr w:rsidR="0017670C" w:rsidTr="00C91181">
        <w:trPr>
          <w:trHeight w:val="106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9. Antibiotic audit and feedback in primary care should be displayed such that recipients can understand their performance and desired actions within seconds</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8E6774">
              <w:rPr>
                <w:rFonts w:ascii="Times New Roman" w:eastAsia="Times New Roman" w:hAnsi="Times New Roman" w:cs="Times New Roman"/>
                <w:b/>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p w:rsidR="0017670C" w:rsidRPr="00F041E9" w:rsidRDefault="0017670C" w:rsidP="00C91181">
            <w:pPr>
              <w:widowControl w:val="0"/>
              <w:spacing w:before="240"/>
              <w:rPr>
                <w:rFonts w:ascii="Times New Roman" w:eastAsia="Times New Roman" w:hAnsi="Times New Roman" w:cs="Times New Roman"/>
                <w:color w:val="FF0000"/>
                <w:sz w:val="20"/>
                <w:szCs w:val="20"/>
              </w:rPr>
            </w:pP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8E6774">
              <w:rPr>
                <w:rFonts w:ascii="Times New Roman" w:eastAsia="Times New Roman" w:hAnsi="Times New Roman" w:cs="Times New Roman"/>
                <w:b/>
                <w:color w:val="FF0000"/>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color w:val="FF0000"/>
                <w:sz w:val="20"/>
                <w:szCs w:val="20"/>
              </w:rPr>
              <w:t>The feedback report was single-paged, with graphical displays that catches the eye and minimal text was utilized. However, a large amount of data provided in the dashboard h did not direct the recipients’ attention to the social comparison component.</w:t>
            </w:r>
          </w:p>
        </w:tc>
      </w:tr>
      <w:tr w:rsidR="0017670C" w:rsidTr="00C91181">
        <w:trPr>
          <w:trHeight w:val="1290"/>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10. Antibiotic audit and feedback reports in primary care should be repeated. The optimal frequency is not known but can depend on local factors such as data availability and seasonality of prescribing</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F041E9">
              <w:rPr>
                <w:rFonts w:ascii="Times New Roman" w:eastAsia="Times New Roman" w:hAnsi="Times New Roman" w:cs="Times New Roman"/>
                <w:b/>
                <w:color w:val="FF0000"/>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p w:rsidR="0017670C" w:rsidRPr="00F041E9" w:rsidRDefault="0017670C" w:rsidP="00C91181">
            <w:pPr>
              <w:widowControl w:val="0"/>
              <w:spacing w:before="240"/>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Given the limitation of administrative claims data being the time lag between prescription and reimbursement dates, quarterly feedback seemed appropriate for the region. </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lastRenderedPageBreak/>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100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11. Antibiotic feedback in primary care should be ideally delivered by multiple strategies including verbal, paper, and/or electronic means</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color w:val="FF0000"/>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p w:rsidR="0017670C" w:rsidRPr="00D914DC" w:rsidRDefault="0017670C" w:rsidP="00C91181">
            <w:pPr>
              <w:widowControl w:val="0"/>
              <w:spacing w:before="240"/>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The intervention feedback report was only delivered by mail. Although an access code to the website was provided, the code was not delivered electronically. Following the first mailing, those who accessed the website should be asked to provide their email address so future reports may be emailed. </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100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12. Antibiotic feedback should be delivered to primary care prescribers by a respected authority figure or colleague</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D914DC">
              <w:rPr>
                <w:rFonts w:ascii="Times New Roman" w:eastAsia="Times New Roman" w:hAnsi="Times New Roman" w:cs="Times New Roman"/>
                <w:b/>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p w:rsidR="0017670C" w:rsidRPr="00D914DC" w:rsidRDefault="0017670C" w:rsidP="00C91181">
            <w:pPr>
              <w:widowControl w:val="0"/>
              <w:spacing w:before="240"/>
              <w:rPr>
                <w:rFonts w:ascii="Times New Roman" w:eastAsia="Times New Roman" w:hAnsi="Times New Roman" w:cs="Times New Roman"/>
                <w:color w:val="FF0000"/>
                <w:sz w:val="20"/>
                <w:szCs w:val="20"/>
              </w:rPr>
            </w:pP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8E6774">
              <w:rPr>
                <w:rFonts w:ascii="Times New Roman" w:eastAsia="Times New Roman" w:hAnsi="Times New Roman" w:cs="Times New Roman"/>
                <w:b/>
                <w:color w:val="FF0000"/>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color w:val="FF0000"/>
                <w:sz w:val="20"/>
                <w:szCs w:val="20"/>
              </w:rPr>
              <w:t>Physicians who received a feedback report were aware of the study and the validity of the data presented; however it was not delivered/signed by an authority figure.</w:t>
            </w:r>
          </w:p>
        </w:tc>
      </w:tr>
      <w:tr w:rsidR="0017670C" w:rsidTr="00C91181">
        <w:trPr>
          <w:trHeight w:val="1290"/>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13. Individual-level antibiotic feedback should be delivered confidentially to primary care prescribers, and the opportunity for peer discussion should be provided and encouraged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p w:rsidR="0017670C" w:rsidRDefault="0017670C" w:rsidP="00C91181">
            <w:pPr>
              <w:widowControl w:val="0"/>
              <w:spacing w:before="240"/>
              <w:rPr>
                <w:rFonts w:ascii="Times New Roman" w:eastAsia="Times New Roman" w:hAnsi="Times New Roman" w:cs="Times New Roman"/>
                <w:sz w:val="20"/>
                <w:szCs w:val="20"/>
              </w:rPr>
            </w:pP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D914DC">
              <w:rPr>
                <w:rFonts w:ascii="Times New Roman" w:eastAsia="Times New Roman" w:hAnsi="Times New Roman" w:cs="Times New Roman"/>
                <w:b/>
                <w:color w:val="FF0000"/>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p w:rsidR="0017670C" w:rsidRPr="00D914DC" w:rsidRDefault="0017670C" w:rsidP="00C91181">
            <w:pPr>
              <w:widowControl w:val="0"/>
              <w:spacing w:before="240"/>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Peer discussion was not provided or explicitly encouraged as part of this intervention. However given the size and scope of the study, coordination of peer discussion would likely be resource-intensive and not feasible. </w:t>
            </w:r>
          </w:p>
        </w:tc>
      </w:tr>
    </w:tbl>
    <w:p w:rsidR="0017670C" w:rsidRDefault="0017670C" w:rsidP="0017670C">
      <w:pPr>
        <w:widowControl w:val="0"/>
        <w:spacing w:before="240" w:after="240"/>
      </w:pPr>
    </w:p>
    <w:p w:rsidR="0017670C" w:rsidRDefault="0017670C" w:rsidP="0017670C">
      <w:pPr>
        <w:widowControl w:val="0"/>
        <w:spacing w:before="240" w:after="240"/>
      </w:pPr>
    </w:p>
    <w:p w:rsidR="0017670C" w:rsidRDefault="0017670C" w:rsidP="0017670C">
      <w:pPr>
        <w:widowControl w:val="0"/>
        <w:spacing w:before="240" w:after="240"/>
      </w:pPr>
    </w:p>
    <w:p w:rsidR="0017670C" w:rsidRDefault="0017670C" w:rsidP="0017670C">
      <w:pPr>
        <w:widowControl w:val="0"/>
        <w:spacing w:before="240" w:after="240"/>
      </w:pPr>
    </w:p>
    <w:p w:rsidR="0017670C" w:rsidRDefault="0017670C" w:rsidP="0017670C">
      <w:pPr>
        <w:widowControl w:val="0"/>
        <w:spacing w:before="240" w:after="240"/>
      </w:pPr>
    </w:p>
    <w:p w:rsidR="0017670C" w:rsidRDefault="0017670C" w:rsidP="0017670C">
      <w:pPr>
        <w:widowControl w:val="0"/>
        <w:spacing w:before="240" w:after="240"/>
      </w:pPr>
    </w:p>
    <w:p w:rsidR="0017670C" w:rsidRDefault="0017670C" w:rsidP="0017670C">
      <w:pPr>
        <w:widowControl w:val="0"/>
        <w:spacing w:before="240" w:after="240"/>
      </w:pPr>
    </w:p>
    <w:p w:rsidR="0017670C" w:rsidRDefault="0017670C" w:rsidP="0017670C">
      <w:pPr>
        <w:widowControl w:val="0"/>
        <w:spacing w:before="240" w:after="240"/>
      </w:pPr>
    </w:p>
    <w:p w:rsidR="0017670C" w:rsidRDefault="0017670C" w:rsidP="0017670C">
      <w:pPr>
        <w:widowControl w:val="0"/>
        <w:spacing w:before="240" w:after="240"/>
      </w:pPr>
    </w:p>
    <w:p w:rsidR="0017670C" w:rsidRDefault="0017670C" w:rsidP="0017670C">
      <w:pPr>
        <w:widowControl w:val="0"/>
        <w:spacing w:before="240" w:after="240"/>
      </w:pPr>
    </w:p>
    <w:p w:rsidR="0017670C" w:rsidRDefault="0017670C" w:rsidP="0017670C">
      <w:pPr>
        <w:widowControl w:val="0"/>
        <w:spacing w:before="240" w:after="240"/>
      </w:pPr>
    </w:p>
    <w:p w:rsidR="0017670C" w:rsidRDefault="0017670C" w:rsidP="0017670C">
      <w:pPr>
        <w:rPr>
          <w:b/>
        </w:rPr>
      </w:pPr>
      <w:r>
        <w:rPr>
          <w:b/>
        </w:rPr>
        <w:br w:type="page"/>
      </w:r>
    </w:p>
    <w:p w:rsidR="0017670C" w:rsidRDefault="0017670C" w:rsidP="0017670C">
      <w:pPr>
        <w:widowControl w:val="0"/>
        <w:spacing w:before="240" w:after="240"/>
      </w:pPr>
      <w:r>
        <w:lastRenderedPageBreak/>
        <w:t xml:space="preserve">Below we have used previously published studies as an example of applying this toolkit in evaluating primary care antibiotic A&amp;F interventions. The second was a study in the United Kingdom by </w:t>
      </w:r>
      <w:proofErr w:type="spellStart"/>
      <w:r>
        <w:t>Hallsworth</w:t>
      </w:r>
      <w:proofErr w:type="spellEnd"/>
      <w:r>
        <w:t xml:space="preserve"> et al. 2016.</w:t>
      </w:r>
      <w:r>
        <w:rPr>
          <w:vertAlign w:val="superscript"/>
        </w:rPr>
        <w:t>13</w:t>
      </w:r>
      <w:r>
        <w:t xml:space="preserve"> </w:t>
      </w:r>
      <w:proofErr w:type="gramStart"/>
      <w:r>
        <w:t>This</w:t>
      </w:r>
      <w:proofErr w:type="gramEnd"/>
      <w:r>
        <w:t xml:space="preserve"> study did demonstrate an overall significant change in antibiotics. Nine, out of 13, recommendations were followed, 3 partially, and 1 not at all.</w:t>
      </w:r>
    </w:p>
    <w:tbl>
      <w:tblPr>
        <w:tblW w:w="8895" w:type="dxa"/>
        <w:tblLayout w:type="fixed"/>
        <w:tblLook w:val="0600" w:firstRow="0" w:lastRow="0" w:firstColumn="0" w:lastColumn="0" w:noHBand="1" w:noVBand="1"/>
      </w:tblPr>
      <w:tblGrid>
        <w:gridCol w:w="1665"/>
        <w:gridCol w:w="7230"/>
      </w:tblGrid>
      <w:tr w:rsidR="0017670C" w:rsidTr="00C91181">
        <w:trPr>
          <w:trHeight w:val="765"/>
        </w:trPr>
        <w:tc>
          <w:tcPr>
            <w:tcW w:w="8895" w:type="dxa"/>
            <w:gridSpan w:val="2"/>
            <w:tcBorders>
              <w:top w:val="single" w:sz="8" w:space="0" w:color="212121"/>
              <w:left w:val="single" w:sz="8" w:space="0" w:color="212121"/>
              <w:bottom w:val="single" w:sz="8" w:space="0" w:color="212121"/>
              <w:right w:val="single" w:sz="8" w:space="0" w:color="212121"/>
            </w:tcBorders>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color w:val="212121"/>
              </w:rPr>
            </w:pPr>
            <w:r>
              <w:rPr>
                <w:rFonts w:ascii="Times New Roman" w:eastAsia="Times New Roman" w:hAnsi="Times New Roman" w:cs="Times New Roman"/>
                <w:b/>
                <w:color w:val="212121"/>
              </w:rPr>
              <w:t>GENERAL CONSIDERATIONS</w:t>
            </w:r>
          </w:p>
        </w:tc>
      </w:tr>
      <w:tr w:rsidR="0017670C" w:rsidTr="00C91181">
        <w:trPr>
          <w:trHeight w:val="106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1. Antibiotic audit and feedback interventions in primary care should be framed as quality improvement projects within a supportive environment</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ED1091">
              <w:rPr>
                <w:rFonts w:ascii="Times New Roman" w:eastAsia="Times New Roman" w:hAnsi="Times New Roman" w:cs="Times New Roman"/>
                <w:b/>
                <w:color w:val="FF0000"/>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p w:rsidR="0017670C" w:rsidRPr="00ED1091" w:rsidRDefault="0017670C" w:rsidP="00C91181">
            <w:pPr>
              <w:widowControl w:val="0"/>
              <w:spacing w:before="240"/>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The main letter in the intervention did not suggest any punitive actions should participants fail to make changes. Rather the letter provided specific and feasible actions that participants could do to reduce unnecessary prescribing.  </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163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2. Prior to initiating an antibiotic audit and feedback intervention in primary care consider potential barriers to success such as local data availability, data validity, expected engagement of feedback recipients, perceived patient expectations for antibiotics, and other situational factors</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ED1091">
              <w:rPr>
                <w:rFonts w:ascii="Times New Roman" w:eastAsia="Times New Roman" w:hAnsi="Times New Roman" w:cs="Times New Roman"/>
                <w:b/>
                <w:color w:val="FF0000"/>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p w:rsidR="0017670C" w:rsidRPr="00ED1091" w:rsidRDefault="0017670C" w:rsidP="00C91181">
            <w:pPr>
              <w:widowControl w:val="0"/>
              <w:spacing w:before="240"/>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The main intervention letter was addressed by a high-profile figure, which increased the credibility of the data. The patient-focused intervention following the letter directly address pressures from patients and aimed to promote more desirable attitude from patients. </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lastRenderedPageBreak/>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163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3. Strategies to optimize reach and engagement of an antibiotic audit and feedback intervention in primary care include; utilizing an opt-out approach to delivery of feedback reports, offering of continuing medical education credits, financial incentives, and facilitated peer group discussions</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F75CD3">
              <w:rPr>
                <w:rFonts w:ascii="Times New Roman" w:eastAsia="Times New Roman" w:hAnsi="Times New Roman" w:cs="Times New Roman"/>
                <w:b/>
                <w:color w:val="FF0000"/>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color w:val="FF0000"/>
                <w:sz w:val="20"/>
                <w:szCs w:val="20"/>
              </w:rPr>
              <w:t xml:space="preserve">This intervention utilized an opt-out approach. The letter encouraged discussion amongst peer prescribers as the prescribing data was recorded at a practice level. </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Pr="00E162DC" w:rsidRDefault="0017670C" w:rsidP="00C91181">
            <w:pPr>
              <w:widowControl w:val="0"/>
              <w:spacing w:before="240"/>
              <w:rPr>
                <w:rFonts w:ascii="Times New Roman" w:eastAsia="Times New Roman" w:hAnsi="Times New Roman" w:cs="Times New Roman"/>
                <w:color w:val="FF0000"/>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73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color w:val="212121"/>
              </w:rPr>
            </w:pPr>
            <w:r>
              <w:rPr>
                <w:rFonts w:ascii="Times New Roman" w:eastAsia="Times New Roman" w:hAnsi="Times New Roman" w:cs="Times New Roman"/>
                <w:b/>
                <w:color w:val="212121"/>
              </w:rPr>
              <w:t>SELECTING PRESCRIBERS</w:t>
            </w:r>
          </w:p>
        </w:tc>
      </w:tr>
      <w:tr w:rsidR="0017670C" w:rsidTr="00C91181">
        <w:trPr>
          <w:trHeight w:val="106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4. All primary care prescribers, regardless of practice type or prescribing volume, should be included in antibiotic prescribing audit and feedback interventions</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F75CD3">
              <w:rPr>
                <w:rFonts w:ascii="Times New Roman" w:eastAsia="Times New Roman" w:hAnsi="Times New Roman" w:cs="Times New Roman"/>
                <w:b/>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p w:rsidR="0017670C" w:rsidRPr="00E162DC" w:rsidRDefault="0017670C" w:rsidP="00C91181">
            <w:pPr>
              <w:widowControl w:val="0"/>
              <w:spacing w:before="240"/>
              <w:rPr>
                <w:rFonts w:ascii="Times New Roman" w:eastAsia="Times New Roman" w:hAnsi="Times New Roman" w:cs="Times New Roman"/>
                <w:color w:val="FF0000"/>
                <w:sz w:val="20"/>
                <w:szCs w:val="20"/>
              </w:rPr>
            </w:pP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8132B4">
              <w:rPr>
                <w:rFonts w:ascii="Times New Roman" w:eastAsia="Times New Roman" w:hAnsi="Times New Roman" w:cs="Times New Roman"/>
                <w:b/>
                <w:color w:val="FF0000"/>
                <w:sz w:val="36"/>
                <w:szCs w:val="36"/>
              </w:rPr>
              <w:lastRenderedPageBreak/>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color w:val="FF0000"/>
                <w:sz w:val="20"/>
                <w:szCs w:val="20"/>
              </w:rPr>
              <w:t>This intervention was limited to all</w:t>
            </w:r>
            <w:r w:rsidRPr="00F75CD3">
              <w:rPr>
                <w:rFonts w:ascii="Times New Roman" w:eastAsia="Times New Roman" w:hAnsi="Times New Roman" w:cs="Times New Roman"/>
                <w:color w:val="FF0000"/>
                <w:sz w:val="20"/>
                <w:szCs w:val="20"/>
              </w:rPr>
              <w:t xml:space="preserve"> high prescribing practices </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8132B4">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p w:rsidR="0017670C" w:rsidRDefault="0017670C" w:rsidP="00C91181">
            <w:pPr>
              <w:widowControl w:val="0"/>
              <w:spacing w:before="240"/>
              <w:rPr>
                <w:rFonts w:ascii="Times New Roman" w:eastAsia="Times New Roman" w:hAnsi="Times New Roman" w:cs="Times New Roman"/>
                <w:sz w:val="20"/>
                <w:szCs w:val="20"/>
              </w:rPr>
            </w:pPr>
          </w:p>
        </w:tc>
      </w:tr>
      <w:tr w:rsidR="0017670C" w:rsidTr="00C91181">
        <w:trPr>
          <w:trHeight w:val="73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rPr>
            </w:pPr>
            <w:r>
              <w:rPr>
                <w:rFonts w:ascii="Times New Roman" w:eastAsia="Times New Roman" w:hAnsi="Times New Roman" w:cs="Times New Roman"/>
                <w:b/>
              </w:rPr>
              <w:t>DATA AND INDICATOR SELECTION</w:t>
            </w:r>
          </w:p>
        </w:tc>
      </w:tr>
      <w:tr w:rsidR="0017670C" w:rsidTr="00C91181">
        <w:trPr>
          <w:trHeight w:val="1290"/>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5. Feedback indicators for antibiotic prescribing in primary care should target reductions in antibiotic initiations, prolonged antibiotic duration, and/or unnecessary broad-spectrum antibiotics</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F75CD3">
              <w:rPr>
                <w:rFonts w:ascii="Times New Roman" w:eastAsia="Times New Roman" w:hAnsi="Times New Roman" w:cs="Times New Roman"/>
                <w:b/>
                <w:color w:val="FF0000"/>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p w:rsidR="0017670C" w:rsidRDefault="0017670C" w:rsidP="00C91181">
            <w:pPr>
              <w:widowControl w:val="0"/>
              <w:spacing w:before="240"/>
              <w:rPr>
                <w:rFonts w:ascii="Times New Roman" w:eastAsia="Times New Roman" w:hAnsi="Times New Roman" w:cs="Times New Roman"/>
                <w:sz w:val="20"/>
                <w:szCs w:val="20"/>
              </w:rPr>
            </w:pPr>
            <w:r w:rsidRPr="00F75CD3">
              <w:rPr>
                <w:rFonts w:ascii="Times New Roman" w:eastAsia="Times New Roman" w:hAnsi="Times New Roman" w:cs="Times New Roman"/>
                <w:color w:val="FF0000"/>
                <w:sz w:val="20"/>
                <w:szCs w:val="20"/>
              </w:rPr>
              <w:t>Total antibiotic prescribing targeted reductions in antibiotic initiations</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Pr="005B6D58" w:rsidRDefault="0017670C" w:rsidP="00C91181">
            <w:pPr>
              <w:widowControl w:val="0"/>
              <w:spacing w:before="240"/>
              <w:rPr>
                <w:rFonts w:ascii="Times New Roman" w:eastAsia="Times New Roman" w:hAnsi="Times New Roman" w:cs="Times New Roman"/>
                <w:color w:val="FF0000"/>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Pr="005B6D58" w:rsidRDefault="0017670C" w:rsidP="00C91181">
            <w:pPr>
              <w:widowControl w:val="0"/>
              <w:spacing w:before="240"/>
              <w:jc w:val="center"/>
              <w:rPr>
                <w:rFonts w:ascii="Times New Roman" w:eastAsia="Times New Roman" w:hAnsi="Times New Roman" w:cs="Times New Roman"/>
                <w:b/>
                <w:color w:val="FF0000"/>
                <w:sz w:val="36"/>
                <w:szCs w:val="36"/>
              </w:rPr>
            </w:pPr>
            <w:r w:rsidRPr="00F75CD3">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p w:rsidR="0017670C" w:rsidRPr="005B6D58" w:rsidRDefault="0017670C" w:rsidP="00C91181">
            <w:pPr>
              <w:widowControl w:val="0"/>
              <w:spacing w:before="240"/>
              <w:rPr>
                <w:rFonts w:ascii="Times New Roman" w:eastAsia="Times New Roman" w:hAnsi="Times New Roman" w:cs="Times New Roman"/>
                <w:color w:val="FF0000"/>
                <w:sz w:val="20"/>
                <w:szCs w:val="20"/>
              </w:rPr>
            </w:pPr>
          </w:p>
        </w:tc>
      </w:tr>
      <w:tr w:rsidR="0017670C" w:rsidTr="00C91181">
        <w:trPr>
          <w:trHeight w:val="106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6. Antibiotic feedback reports in primary care should enable and support </w:t>
            </w:r>
            <w:proofErr w:type="spellStart"/>
            <w:r>
              <w:rPr>
                <w:rFonts w:ascii="Times New Roman" w:eastAsia="Times New Roman" w:hAnsi="Times New Roman" w:cs="Times New Roman"/>
                <w:b/>
                <w:sz w:val="24"/>
                <w:szCs w:val="24"/>
              </w:rPr>
              <w:t>behaviour</w:t>
            </w:r>
            <w:proofErr w:type="spellEnd"/>
            <w:r>
              <w:rPr>
                <w:rFonts w:ascii="Times New Roman" w:eastAsia="Times New Roman" w:hAnsi="Times New Roman" w:cs="Times New Roman"/>
                <w:b/>
                <w:sz w:val="24"/>
                <w:szCs w:val="24"/>
              </w:rPr>
              <w:t xml:space="preserve"> change by providing guidance and educational resources</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5B6D58">
              <w:rPr>
                <w:rFonts w:ascii="Times New Roman" w:eastAsia="Times New Roman" w:hAnsi="Times New Roman" w:cs="Times New Roman"/>
                <w:b/>
                <w:color w:val="FF0000"/>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p w:rsidR="0017670C" w:rsidRPr="005B6D58" w:rsidRDefault="0017670C" w:rsidP="00C91181">
            <w:pPr>
              <w:widowControl w:val="0"/>
              <w:spacing w:before="240"/>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Additional resources were provided to physicians (e.g. TARGET leaflet to promote patient self-care) and patients (e.g. educational posters and letters). </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lastRenderedPageBreak/>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1290"/>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7. The optimal data source for antibiotic audit and feedback in primary care is credible, valid, routinely collected, and comprehensive for the region; ideally containing prescription, diagnostic, and clinical data</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D242AC">
              <w:rPr>
                <w:rFonts w:ascii="Times New Roman" w:eastAsia="Times New Roman" w:hAnsi="Times New Roman" w:cs="Times New Roman"/>
                <w:b/>
                <w:color w:val="FF0000"/>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p w:rsidR="0017670C" w:rsidRPr="00D242AC" w:rsidRDefault="0017670C" w:rsidP="00C91181">
            <w:pPr>
              <w:widowControl w:val="0"/>
              <w:spacing w:before="240"/>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Prescribing data came from datasets that were publicly available.</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1290"/>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8. Benchmarks or achievable targets for peer comparisons for antibiotic prescribing in primary care should be indicator specific and based on national and/or local performance data of high performing peers</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color w:val="FF0000"/>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p w:rsidR="0017670C" w:rsidRPr="00D242AC" w:rsidRDefault="0017670C" w:rsidP="00C91181">
            <w:pPr>
              <w:widowControl w:val="0"/>
              <w:spacing w:before="240"/>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Feedback provided in the letter was non-specific (only indicated that the 80% of practices in the area prescribe fewer antibiotics per patient). As such, no specific benchmark or achievable target was available for direct comparison. However, prescribers were compared to their lower prescribing peers. </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73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rPr>
            </w:pPr>
            <w:r>
              <w:rPr>
                <w:rFonts w:ascii="Times New Roman" w:eastAsia="Times New Roman" w:hAnsi="Times New Roman" w:cs="Times New Roman"/>
                <w:b/>
              </w:rPr>
              <w:lastRenderedPageBreak/>
              <w:t>DELIVERY</w:t>
            </w:r>
          </w:p>
        </w:tc>
      </w:tr>
      <w:tr w:rsidR="0017670C" w:rsidTr="00C91181">
        <w:trPr>
          <w:trHeight w:val="106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9. Antibiotic audit and feedback in primary care should be displayed such that recipients can understand their performance and desired actions within seconds</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D242AC">
              <w:rPr>
                <w:rFonts w:ascii="Times New Roman" w:eastAsia="Times New Roman" w:hAnsi="Times New Roman" w:cs="Times New Roman"/>
                <w:b/>
                <w:color w:val="FF0000"/>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p w:rsidR="0017670C" w:rsidRPr="00D242AC" w:rsidRDefault="0017670C" w:rsidP="00C91181">
            <w:pPr>
              <w:widowControl w:val="0"/>
              <w:spacing w:before="240"/>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The main message (performance indicator) in the letter was easy to understand, with three clear and concise actionable behaviors to improve prescribing practices. </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1290"/>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10. Antibiotic audit and feedback reports in primary care should be repeated. The optimal frequency is not known but can depend on local factors such as data availability and seasonality of prescribing</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color w:val="FF0000"/>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color w:val="FF0000"/>
                <w:sz w:val="20"/>
                <w:szCs w:val="20"/>
              </w:rPr>
              <w:t>The main feedback letter was only delivered once in the trial (but subsequently delivered annually in the United Kingdom).</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Pr="00D242AC" w:rsidRDefault="0017670C" w:rsidP="00C91181">
            <w:pPr>
              <w:widowControl w:val="0"/>
              <w:spacing w:before="240"/>
              <w:jc w:val="center"/>
              <w:rPr>
                <w:rFonts w:ascii="Times New Roman" w:eastAsia="Times New Roman" w:hAnsi="Times New Roman" w:cs="Times New Roman"/>
                <w:b/>
                <w:color w:val="FF0000"/>
                <w:sz w:val="36"/>
                <w:szCs w:val="36"/>
              </w:rPr>
            </w:pPr>
            <w:r w:rsidRPr="00F75CD3">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p w:rsidR="0017670C" w:rsidRPr="00D242AC" w:rsidRDefault="0017670C" w:rsidP="00C91181">
            <w:pPr>
              <w:widowControl w:val="0"/>
              <w:spacing w:before="240"/>
              <w:rPr>
                <w:rFonts w:ascii="Times New Roman" w:eastAsia="Times New Roman" w:hAnsi="Times New Roman" w:cs="Times New Roman"/>
                <w:color w:val="FF0000"/>
                <w:sz w:val="20"/>
                <w:szCs w:val="20"/>
              </w:rPr>
            </w:pPr>
          </w:p>
        </w:tc>
      </w:tr>
      <w:tr w:rsidR="0017670C" w:rsidTr="00C91181">
        <w:trPr>
          <w:trHeight w:val="100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11. Antibiotic feedback in primary care should be ideally delivered by multiple strategies including verbal, paper, and/or electronic means</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lastRenderedPageBreak/>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Pr="00D242AC" w:rsidRDefault="0017670C" w:rsidP="00C91181">
            <w:pPr>
              <w:widowControl w:val="0"/>
              <w:spacing w:before="240"/>
              <w:jc w:val="center"/>
              <w:rPr>
                <w:rFonts w:ascii="Times New Roman" w:eastAsia="Times New Roman" w:hAnsi="Times New Roman" w:cs="Times New Roman"/>
                <w:b/>
                <w:color w:val="FF0000"/>
                <w:sz w:val="36"/>
                <w:szCs w:val="36"/>
              </w:rPr>
            </w:pPr>
            <w:r w:rsidRPr="00D242AC">
              <w:rPr>
                <w:rFonts w:ascii="Times New Roman" w:eastAsia="Times New Roman" w:hAnsi="Times New Roman" w:cs="Times New Roman"/>
                <w:b/>
                <w:color w:val="FF0000"/>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p w:rsidR="0017670C" w:rsidRPr="00D242AC" w:rsidRDefault="0017670C" w:rsidP="00C91181">
            <w:pPr>
              <w:widowControl w:val="0"/>
              <w:spacing w:before="240"/>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Only one method of delivery (postal mail) was utilized by the intervention.</w:t>
            </w:r>
          </w:p>
        </w:tc>
      </w:tr>
      <w:tr w:rsidR="0017670C" w:rsidTr="00C91181">
        <w:trPr>
          <w:trHeight w:val="1005"/>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12. Antibiotic feedback should be delivered to primary care prescribers by a respected authority figure or colleague</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D242AC">
              <w:rPr>
                <w:rFonts w:ascii="Times New Roman" w:eastAsia="Times New Roman" w:hAnsi="Times New Roman" w:cs="Times New Roman"/>
                <w:b/>
                <w:color w:val="FF0000"/>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p w:rsidR="0017670C" w:rsidRPr="00D242AC" w:rsidRDefault="0017670C" w:rsidP="00C91181">
            <w:pPr>
              <w:widowControl w:val="0"/>
              <w:spacing w:before="240"/>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The feedback letter was signed off by the Chief Medical Officer. </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r w:rsidR="0017670C" w:rsidTr="00C91181">
        <w:trPr>
          <w:trHeight w:val="1290"/>
        </w:trPr>
        <w:tc>
          <w:tcPr>
            <w:tcW w:w="8895" w:type="dxa"/>
            <w:gridSpan w:val="2"/>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13. Individual-level antibiotic feedback should be delivered confidentially to primary care prescribers, and the opportunity for peer discussion should be provided and encouraged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sidRPr="00F75CD3">
              <w:rPr>
                <w:rFonts w:ascii="Times New Roman" w:eastAsia="Times New Roman" w:hAnsi="Times New Roman" w:cs="Times New Roman"/>
                <w:b/>
                <w:color w:val="FF0000"/>
                <w:sz w:val="36"/>
                <w:szCs w:val="36"/>
              </w:rPr>
              <w:t>Yes</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How has this been incorporated?</w:t>
            </w:r>
          </w:p>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color w:val="FF0000"/>
                <w:sz w:val="20"/>
                <w:szCs w:val="20"/>
              </w:rPr>
              <w:t>Peer discussion was encouraged as one of the three suggested actions to reduce prescribing.</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lastRenderedPageBreak/>
              <w:t>Partially</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Pr="00D242AC" w:rsidRDefault="0017670C" w:rsidP="00C91181">
            <w:pPr>
              <w:widowControl w:val="0"/>
              <w:spacing w:before="240"/>
              <w:rPr>
                <w:rFonts w:ascii="Times New Roman" w:eastAsia="Times New Roman" w:hAnsi="Times New Roman" w:cs="Times New Roman"/>
                <w:color w:val="FF0000"/>
                <w:sz w:val="20"/>
                <w:szCs w:val="20"/>
              </w:rPr>
            </w:pPr>
            <w:r>
              <w:rPr>
                <w:rFonts w:ascii="Times New Roman" w:eastAsia="Times New Roman" w:hAnsi="Times New Roman" w:cs="Times New Roman"/>
                <w:sz w:val="20"/>
                <w:szCs w:val="20"/>
              </w:rPr>
              <w:t>How can it be incorporated?</w:t>
            </w:r>
          </w:p>
        </w:tc>
      </w:tr>
      <w:tr w:rsidR="0017670C" w:rsidTr="00C91181">
        <w:trPr>
          <w:trHeight w:val="1065"/>
        </w:trPr>
        <w:tc>
          <w:tcPr>
            <w:tcW w:w="1665" w:type="dxa"/>
            <w:tcBorders>
              <w:top w:val="nil"/>
              <w:left w:val="single" w:sz="8" w:space="0" w:color="212121"/>
              <w:bottom w:val="single" w:sz="8" w:space="0" w:color="212121"/>
              <w:right w:val="single" w:sz="8" w:space="0" w:color="212121"/>
            </w:tcBorders>
            <w:shd w:val="clear" w:color="auto" w:fill="auto"/>
            <w:tcMar>
              <w:top w:w="100" w:type="dxa"/>
              <w:left w:w="100" w:type="dxa"/>
              <w:bottom w:w="100" w:type="dxa"/>
              <w:right w:w="100" w:type="dxa"/>
            </w:tcMar>
          </w:tcPr>
          <w:p w:rsidR="0017670C" w:rsidRDefault="0017670C" w:rsidP="00C91181">
            <w:pPr>
              <w:widowControl w:val="0"/>
              <w:spacing w:before="24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Not at all</w:t>
            </w:r>
          </w:p>
        </w:tc>
        <w:tc>
          <w:tcPr>
            <w:tcW w:w="7230" w:type="dxa"/>
            <w:tcBorders>
              <w:top w:val="nil"/>
              <w:left w:val="nil"/>
              <w:bottom w:val="single" w:sz="8" w:space="0" w:color="212121"/>
              <w:right w:val="single" w:sz="8" w:space="0" w:color="212121"/>
            </w:tcBorders>
            <w:shd w:val="clear" w:color="auto" w:fill="auto"/>
            <w:tcMar>
              <w:top w:w="20" w:type="dxa"/>
              <w:left w:w="20" w:type="dxa"/>
              <w:bottom w:w="20" w:type="dxa"/>
              <w:right w:w="20" w:type="dxa"/>
            </w:tcMar>
          </w:tcPr>
          <w:p w:rsidR="0017670C" w:rsidRDefault="0017670C" w:rsidP="00C91181">
            <w:pPr>
              <w:widowControl w:val="0"/>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Why can it not be incorporated?</w:t>
            </w:r>
          </w:p>
        </w:tc>
      </w:tr>
    </w:tbl>
    <w:p w:rsidR="0017670C" w:rsidRDefault="0017670C" w:rsidP="0017670C">
      <w:pPr>
        <w:widowControl w:val="0"/>
        <w:spacing w:before="240" w:after="240"/>
        <w:rPr>
          <w:b/>
        </w:rPr>
      </w:pPr>
    </w:p>
    <w:p w:rsidR="0017670C" w:rsidRDefault="0017670C" w:rsidP="0017670C">
      <w:pPr>
        <w:widowControl w:val="0"/>
        <w:spacing w:before="240" w:after="240"/>
      </w:pPr>
    </w:p>
    <w:p w:rsidR="004A2399" w:rsidRDefault="004A2399"/>
    <w:sectPr w:rsidR="004A2399" w:rsidSect="0054130F">
      <w:footerReference w:type="default" r:id="rId4"/>
      <w:pgSz w:w="12240" w:h="15840"/>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29B4" w:rsidRDefault="000E25C7">
    <w:pPr>
      <w:jc w:val="right"/>
    </w:pPr>
    <w:r>
      <w:fldChar w:fldCharType="begin"/>
    </w:r>
    <w:r>
      <w:instrText>PAGE</w:instrText>
    </w:r>
    <w:r>
      <w:fldChar w:fldCharType="separate"/>
    </w:r>
    <w:r>
      <w:rPr>
        <w:noProof/>
      </w:rPr>
      <w:t>21</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670C"/>
    <w:rsid w:val="000E25C7"/>
    <w:rsid w:val="0017670C"/>
    <w:rsid w:val="00282442"/>
    <w:rsid w:val="0030127A"/>
    <w:rsid w:val="004A2399"/>
    <w:rsid w:val="0054130F"/>
    <w:rsid w:val="0095531A"/>
    <w:rsid w:val="00AF3AF5"/>
    <w:rsid w:val="00B56E74"/>
    <w:rsid w:val="00B76F36"/>
    <w:rsid w:val="00CE700D"/>
    <w:rsid w:val="00D92A74"/>
    <w:rsid w:val="00F07FDA"/>
    <w:rsid w:val="00F300B8"/>
    <w:rsid w:val="00FA4F6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F3A186-1C5D-4817-B6F8-2E7861A16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7670C"/>
    <w:pPr>
      <w:spacing w:after="0" w:line="276" w:lineRule="auto"/>
    </w:pPr>
    <w:rPr>
      <w:rFonts w:ascii="Arial" w:eastAsia="Arial" w:hAnsi="Arial" w:cs="Arial"/>
      <w:lang w:val="en"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3">
    <w:name w:val="Plain Table 3"/>
    <w:basedOn w:val="TableNormal"/>
    <w:uiPriority w:val="43"/>
    <w:rsid w:val="0017670C"/>
    <w:pPr>
      <w:spacing w:after="0" w:line="240" w:lineRule="auto"/>
    </w:pPr>
    <w:rPr>
      <w:rFonts w:eastAsiaTheme="minorEastAsia"/>
      <w:lang w:eastAsia="zh-CN"/>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LineNumber">
    <w:name w:val="line number"/>
    <w:basedOn w:val="DefaultParagraphFont"/>
    <w:uiPriority w:val="99"/>
    <w:semiHidden/>
    <w:unhideWhenUsed/>
    <w:rsid w:val="001767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22</Pages>
  <Words>3024</Words>
  <Characters>17964</Characters>
  <Application>Microsoft Office Word</Application>
  <DocSecurity>0</DocSecurity>
  <Lines>417</Lines>
  <Paragraphs>230</Paragraphs>
  <ScaleCrop>false</ScaleCrop>
  <HeadingPairs>
    <vt:vector size="2" baseType="variant">
      <vt:variant>
        <vt:lpstr>Title</vt:lpstr>
      </vt:variant>
      <vt:variant>
        <vt:i4>1</vt:i4>
      </vt:variant>
    </vt:vector>
  </HeadingPairs>
  <TitlesOfParts>
    <vt:vector size="1" baseType="lpstr">
      <vt:lpstr/>
    </vt:vector>
  </TitlesOfParts>
  <Company>Government of Ontario</Company>
  <LinksUpToDate>false</LinksUpToDate>
  <CharactersWithSpaces>20758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Schwartz</dc:creator>
  <cp:keywords/>
  <dc:description/>
  <cp:lastModifiedBy>Kevin Schwartz</cp:lastModifiedBy>
  <cp:revision>3</cp:revision>
  <dcterms:created xsi:type="dcterms:W3CDTF">2023-03-03T19:54:00Z</dcterms:created>
  <dcterms:modified xsi:type="dcterms:W3CDTF">2023-03-03T19:56:00Z</dcterms:modified>
</cp:coreProperties>
</file>