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0A7FD" w14:textId="641BA951" w:rsidR="00026FDB" w:rsidRPr="00D35436" w:rsidRDefault="00F061AF">
      <w:pPr>
        <w:rPr>
          <w:rFonts w:ascii="Times New Roman" w:hAnsi="Times New Roman" w:cs="Times New Roman"/>
          <w:b/>
          <w:bCs/>
          <w:sz w:val="24"/>
          <w:szCs w:val="24"/>
        </w:rPr>
      </w:pPr>
      <w:r w:rsidRPr="00D35436">
        <w:rPr>
          <w:rFonts w:ascii="Times New Roman" w:hAnsi="Times New Roman" w:cs="Times New Roman"/>
          <w:b/>
          <w:bCs/>
          <w:sz w:val="24"/>
          <w:szCs w:val="24"/>
        </w:rPr>
        <w:t>Supplemental Table 1</w:t>
      </w:r>
    </w:p>
    <w:p w14:paraId="16FFF1F9" w14:textId="77777777" w:rsidR="00F061AF" w:rsidRDefault="00F061AF" w:rsidP="00F061AF">
      <w:pPr>
        <w:pStyle w:val="EndNoteBibliography"/>
        <w:rPr>
          <w:rFonts w:ascii="Times New Roman" w:eastAsia="Times New Roman" w:hAnsi="Times New Roman" w:cs="Times New Roman"/>
          <w:sz w:val="24"/>
          <w:szCs w:val="24"/>
          <w:highlight w:val="white"/>
        </w:rPr>
      </w:pPr>
    </w:p>
    <w:tbl>
      <w:tblPr>
        <w:tblW w:w="9432" w:type="dxa"/>
        <w:tblLook w:val="04A0" w:firstRow="1" w:lastRow="0" w:firstColumn="1" w:lastColumn="0" w:noHBand="0" w:noVBand="1"/>
      </w:tblPr>
      <w:tblGrid>
        <w:gridCol w:w="938"/>
        <w:gridCol w:w="1189"/>
        <w:gridCol w:w="2835"/>
        <w:gridCol w:w="2551"/>
        <w:gridCol w:w="1919"/>
      </w:tblGrid>
      <w:tr w:rsidR="00F061AF" w:rsidRPr="00316809" w14:paraId="5126664F" w14:textId="77777777" w:rsidTr="00F061AF">
        <w:trPr>
          <w:trHeight w:val="379"/>
        </w:trPr>
        <w:tc>
          <w:tcPr>
            <w:tcW w:w="2127" w:type="dxa"/>
            <w:gridSpan w:val="2"/>
            <w:tcBorders>
              <w:top w:val="nil"/>
              <w:left w:val="nil"/>
              <w:bottom w:val="nil"/>
              <w:right w:val="single" w:sz="4" w:space="0" w:color="000000"/>
            </w:tcBorders>
            <w:shd w:val="clear" w:color="000000" w:fill="FFFFFF"/>
            <w:noWrap/>
            <w:vAlign w:val="bottom"/>
            <w:hideMark/>
          </w:tcPr>
          <w:p w14:paraId="73F2A0E4" w14:textId="77777777" w:rsidR="00F061AF" w:rsidRPr="00514BAC" w:rsidRDefault="00F061AF" w:rsidP="007151C3">
            <w:pPr>
              <w:spacing w:line="240" w:lineRule="auto"/>
              <w:rPr>
                <w:rFonts w:ascii="Times New Roman" w:eastAsia="Times New Roman" w:hAnsi="Times New Roman" w:cs="Times New Roman"/>
                <w:color w:val="000000"/>
              </w:rPr>
            </w:pPr>
            <w:r w:rsidRPr="00514BAC">
              <w:rPr>
                <w:rFonts w:ascii="Times New Roman" w:eastAsia="Times New Roman" w:hAnsi="Times New Roman" w:cs="Times New Roman"/>
                <w:color w:val="000000"/>
              </w:rPr>
              <w:t> </w:t>
            </w:r>
          </w:p>
        </w:tc>
        <w:tc>
          <w:tcPr>
            <w:tcW w:w="2835" w:type="dxa"/>
            <w:tcBorders>
              <w:top w:val="single" w:sz="4" w:space="0" w:color="000000"/>
              <w:left w:val="nil"/>
              <w:bottom w:val="nil"/>
              <w:right w:val="single" w:sz="4" w:space="0" w:color="000000"/>
            </w:tcBorders>
            <w:shd w:val="clear" w:color="000000" w:fill="FFFFFF"/>
            <w:vAlign w:val="bottom"/>
            <w:hideMark/>
          </w:tcPr>
          <w:p w14:paraId="3E1336F3" w14:textId="77777777" w:rsidR="00F061AF" w:rsidRPr="00316809" w:rsidRDefault="00F061AF" w:rsidP="007151C3">
            <w:pPr>
              <w:spacing w:line="240" w:lineRule="auto"/>
              <w:jc w:val="center"/>
              <w:rPr>
                <w:rFonts w:ascii="Times New Roman" w:eastAsia="Times New Roman" w:hAnsi="Times New Roman" w:cs="Times New Roman"/>
                <w:color w:val="000000"/>
                <w:lang w:val="pt-BR"/>
              </w:rPr>
            </w:pPr>
            <w:r w:rsidRPr="00316809">
              <w:rPr>
                <w:rFonts w:ascii="Times New Roman" w:eastAsia="Times New Roman" w:hAnsi="Times New Roman" w:cs="Times New Roman"/>
                <w:color w:val="000000"/>
                <w:lang w:val="pt-BR"/>
              </w:rPr>
              <w:t xml:space="preserve">Culture vs DDNS (95% CI, n/N) </w:t>
            </w:r>
          </w:p>
        </w:tc>
        <w:tc>
          <w:tcPr>
            <w:tcW w:w="2551" w:type="dxa"/>
            <w:tcBorders>
              <w:top w:val="single" w:sz="4" w:space="0" w:color="000000"/>
              <w:left w:val="nil"/>
              <w:bottom w:val="nil"/>
              <w:right w:val="single" w:sz="4" w:space="0" w:color="000000"/>
            </w:tcBorders>
            <w:shd w:val="clear" w:color="000000" w:fill="FFFFFF"/>
            <w:vAlign w:val="bottom"/>
            <w:hideMark/>
          </w:tcPr>
          <w:p w14:paraId="022FE651" w14:textId="77777777" w:rsidR="00F061AF" w:rsidRPr="00316809" w:rsidRDefault="00F061AF" w:rsidP="007151C3">
            <w:pPr>
              <w:spacing w:line="240" w:lineRule="auto"/>
              <w:jc w:val="center"/>
              <w:rPr>
                <w:rFonts w:ascii="Times New Roman" w:eastAsia="Times New Roman" w:hAnsi="Times New Roman" w:cs="Times New Roman"/>
                <w:color w:val="000000"/>
                <w:lang w:val="pt-BR"/>
              </w:rPr>
            </w:pPr>
            <w:r w:rsidRPr="00316809">
              <w:rPr>
                <w:rFonts w:ascii="Times New Roman" w:eastAsia="Times New Roman" w:hAnsi="Times New Roman" w:cs="Times New Roman"/>
                <w:color w:val="000000"/>
                <w:lang w:val="pt-BR"/>
              </w:rPr>
              <w:t xml:space="preserve">DDNS vs culture (95% CI, n/N) </w:t>
            </w:r>
          </w:p>
        </w:tc>
        <w:tc>
          <w:tcPr>
            <w:tcW w:w="1919" w:type="dxa"/>
            <w:tcBorders>
              <w:top w:val="single" w:sz="4" w:space="0" w:color="000000"/>
              <w:left w:val="nil"/>
              <w:bottom w:val="nil"/>
              <w:right w:val="single" w:sz="4" w:space="0" w:color="000000"/>
            </w:tcBorders>
            <w:shd w:val="clear" w:color="000000" w:fill="FFFFFF"/>
            <w:vAlign w:val="bottom"/>
          </w:tcPr>
          <w:p w14:paraId="02A36355" w14:textId="77777777" w:rsidR="00F061AF" w:rsidRPr="00316809" w:rsidRDefault="00F061AF" w:rsidP="007151C3">
            <w:pPr>
              <w:spacing w:line="240" w:lineRule="auto"/>
              <w:jc w:val="center"/>
              <w:rPr>
                <w:rFonts w:ascii="Times New Roman" w:eastAsia="Times New Roman" w:hAnsi="Times New Roman" w:cs="Times New Roman"/>
                <w:color w:val="000000"/>
                <w:lang w:val="pt-BR"/>
              </w:rPr>
            </w:pPr>
            <w:r>
              <w:rPr>
                <w:rFonts w:ascii="Times New Roman" w:eastAsia="Times New Roman" w:hAnsi="Times New Roman" w:cs="Times New Roman"/>
                <w:color w:val="000000"/>
              </w:rPr>
              <w:t xml:space="preserve">Test for difference between methods, </w:t>
            </w:r>
            <w:r w:rsidRPr="00CD7473">
              <w:rPr>
                <w:rFonts w:ascii="Times New Roman" w:eastAsia="Times New Roman" w:hAnsi="Times New Roman" w:cs="Times New Roman"/>
                <w:color w:val="000000"/>
              </w:rPr>
              <w:t>P-value</w:t>
            </w:r>
          </w:p>
        </w:tc>
      </w:tr>
      <w:tr w:rsidR="00F061AF" w:rsidRPr="00514BAC" w14:paraId="348F3DAF" w14:textId="77777777" w:rsidTr="00F061AF">
        <w:trPr>
          <w:trHeight w:val="333"/>
        </w:trPr>
        <w:tc>
          <w:tcPr>
            <w:tcW w:w="938" w:type="dxa"/>
            <w:vMerge w:val="restart"/>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492FB88A" w14:textId="77777777" w:rsidR="00F061AF" w:rsidRPr="00514BAC" w:rsidRDefault="00F061AF" w:rsidP="007151C3">
            <w:pPr>
              <w:spacing w:line="240" w:lineRule="auto"/>
              <w:jc w:val="center"/>
              <w:rPr>
                <w:rFonts w:ascii="Times New Roman" w:eastAsia="Times New Roman" w:hAnsi="Times New Roman" w:cs="Times New Roman"/>
                <w:b/>
                <w:bCs/>
                <w:color w:val="000000"/>
              </w:rPr>
            </w:pPr>
            <w:r w:rsidRPr="00514BAC">
              <w:rPr>
                <w:rFonts w:ascii="Times New Roman" w:eastAsia="Times New Roman" w:hAnsi="Times New Roman" w:cs="Times New Roman"/>
                <w:b/>
                <w:bCs/>
                <w:color w:val="000000"/>
              </w:rPr>
              <w:t>Sabin 1</w:t>
            </w:r>
          </w:p>
        </w:tc>
        <w:tc>
          <w:tcPr>
            <w:tcW w:w="1189" w:type="dxa"/>
            <w:tcBorders>
              <w:top w:val="single" w:sz="4" w:space="0" w:color="000000"/>
              <w:left w:val="nil"/>
              <w:bottom w:val="single" w:sz="4" w:space="0" w:color="000000"/>
              <w:right w:val="single" w:sz="4" w:space="0" w:color="000000"/>
            </w:tcBorders>
            <w:shd w:val="clear" w:color="000000" w:fill="FFFFFF"/>
            <w:noWrap/>
            <w:vAlign w:val="bottom"/>
            <w:hideMark/>
          </w:tcPr>
          <w:p w14:paraId="46C76225"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Sensitivity</w:t>
            </w:r>
          </w:p>
        </w:tc>
        <w:tc>
          <w:tcPr>
            <w:tcW w:w="2835" w:type="dxa"/>
            <w:tcBorders>
              <w:top w:val="single" w:sz="4" w:space="0" w:color="000000"/>
              <w:left w:val="nil"/>
              <w:bottom w:val="single" w:sz="4" w:space="0" w:color="000000"/>
              <w:right w:val="single" w:sz="4" w:space="0" w:color="000000"/>
            </w:tcBorders>
            <w:shd w:val="clear" w:color="000000" w:fill="FFFFFF"/>
            <w:noWrap/>
            <w:vAlign w:val="center"/>
            <w:hideMark/>
          </w:tcPr>
          <w:p w14:paraId="6A0D0160"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50 (7-93</w:t>
            </w:r>
            <w:r w:rsidRPr="00F50341">
              <w:rPr>
                <w:rFonts w:ascii="Times New Roman" w:eastAsia="Times New Roman" w:hAnsi="Times New Roman" w:cs="Times New Roman"/>
                <w:color w:val="000000"/>
              </w:rPr>
              <w:t>, 2/4)</w:t>
            </w:r>
          </w:p>
        </w:tc>
        <w:tc>
          <w:tcPr>
            <w:tcW w:w="2551" w:type="dxa"/>
            <w:tcBorders>
              <w:top w:val="single" w:sz="4" w:space="0" w:color="000000"/>
              <w:left w:val="nil"/>
              <w:bottom w:val="single" w:sz="4" w:space="0" w:color="000000"/>
              <w:right w:val="single" w:sz="4" w:space="0" w:color="000000"/>
            </w:tcBorders>
            <w:shd w:val="clear" w:color="000000" w:fill="FFFFFF"/>
            <w:noWrap/>
            <w:vAlign w:val="center"/>
            <w:hideMark/>
          </w:tcPr>
          <w:p w14:paraId="0FFABB36"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(22-100</w:t>
            </w:r>
            <w:r w:rsidRPr="00F50341">
              <w:rPr>
                <w:rFonts w:ascii="Times New Roman" w:eastAsia="Times New Roman" w:hAnsi="Times New Roman" w:cs="Times New Roman"/>
                <w:color w:val="000000"/>
              </w:rPr>
              <w:t>, 2/2)</w:t>
            </w:r>
          </w:p>
        </w:tc>
        <w:tc>
          <w:tcPr>
            <w:tcW w:w="1919" w:type="dxa"/>
            <w:tcBorders>
              <w:top w:val="single" w:sz="4" w:space="0" w:color="000000"/>
              <w:left w:val="nil"/>
              <w:bottom w:val="single" w:sz="4" w:space="0" w:color="000000"/>
              <w:right w:val="single" w:sz="4" w:space="0" w:color="000000"/>
            </w:tcBorders>
            <w:shd w:val="clear" w:color="000000" w:fill="FFFFFF"/>
            <w:vAlign w:val="center"/>
          </w:tcPr>
          <w:p w14:paraId="20ECB959"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0.47</w:t>
            </w:r>
          </w:p>
        </w:tc>
      </w:tr>
      <w:tr w:rsidR="00F061AF" w:rsidRPr="00514BAC" w14:paraId="16C4B8A0" w14:textId="77777777" w:rsidTr="00F061AF">
        <w:trPr>
          <w:trHeight w:val="333"/>
        </w:trPr>
        <w:tc>
          <w:tcPr>
            <w:tcW w:w="938" w:type="dxa"/>
            <w:vMerge/>
            <w:tcBorders>
              <w:top w:val="single" w:sz="4" w:space="0" w:color="000000"/>
              <w:left w:val="single" w:sz="4" w:space="0" w:color="000000"/>
              <w:bottom w:val="single" w:sz="4" w:space="0" w:color="000000"/>
              <w:right w:val="single" w:sz="4" w:space="0" w:color="000000"/>
            </w:tcBorders>
            <w:vAlign w:val="center"/>
            <w:hideMark/>
          </w:tcPr>
          <w:p w14:paraId="763E3ECF" w14:textId="77777777" w:rsidR="00F061AF" w:rsidRPr="00514BAC" w:rsidRDefault="00F061AF" w:rsidP="007151C3">
            <w:pPr>
              <w:spacing w:line="240" w:lineRule="auto"/>
              <w:jc w:val="center"/>
              <w:rPr>
                <w:rFonts w:ascii="Times New Roman" w:eastAsia="Times New Roman" w:hAnsi="Times New Roman" w:cs="Times New Roman"/>
                <w:b/>
                <w:bCs/>
                <w:color w:val="000000"/>
              </w:rPr>
            </w:pPr>
          </w:p>
        </w:tc>
        <w:tc>
          <w:tcPr>
            <w:tcW w:w="1189" w:type="dxa"/>
            <w:tcBorders>
              <w:top w:val="nil"/>
              <w:left w:val="nil"/>
              <w:bottom w:val="single" w:sz="4" w:space="0" w:color="000000"/>
              <w:right w:val="single" w:sz="4" w:space="0" w:color="000000"/>
            </w:tcBorders>
            <w:shd w:val="clear" w:color="000000" w:fill="FFFFFF"/>
            <w:noWrap/>
            <w:vAlign w:val="bottom"/>
            <w:hideMark/>
          </w:tcPr>
          <w:p w14:paraId="4CFC7C0A"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Specificity</w:t>
            </w:r>
          </w:p>
        </w:tc>
        <w:tc>
          <w:tcPr>
            <w:tcW w:w="2835" w:type="dxa"/>
            <w:tcBorders>
              <w:top w:val="nil"/>
              <w:left w:val="nil"/>
              <w:bottom w:val="single" w:sz="4" w:space="0" w:color="000000"/>
              <w:right w:val="single" w:sz="4" w:space="0" w:color="000000"/>
            </w:tcBorders>
            <w:shd w:val="clear" w:color="000000" w:fill="FFFFFF"/>
            <w:noWrap/>
            <w:vAlign w:val="center"/>
            <w:hideMark/>
          </w:tcPr>
          <w:p w14:paraId="0D2F7AC1"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(100-100</w:t>
            </w:r>
            <w:r w:rsidRPr="00F50341">
              <w:rPr>
                <w:rFonts w:ascii="Times New Roman" w:eastAsia="Times New Roman" w:hAnsi="Times New Roman" w:cs="Times New Roman"/>
                <w:color w:val="000000"/>
              </w:rPr>
              <w:t>, 11</w:t>
            </w:r>
            <w:r>
              <w:rPr>
                <w:rFonts w:ascii="Times New Roman" w:eastAsia="Times New Roman" w:hAnsi="Times New Roman" w:cs="Times New Roman"/>
                <w:color w:val="000000"/>
              </w:rPr>
              <w:t>14</w:t>
            </w:r>
            <w:r w:rsidRPr="00F50341">
              <w:rPr>
                <w:rFonts w:ascii="Times New Roman" w:eastAsia="Times New Roman" w:hAnsi="Times New Roman" w:cs="Times New Roman"/>
                <w:color w:val="000000"/>
              </w:rPr>
              <w:t>/11</w:t>
            </w:r>
            <w:r>
              <w:rPr>
                <w:rFonts w:ascii="Times New Roman" w:eastAsia="Times New Roman" w:hAnsi="Times New Roman" w:cs="Times New Roman"/>
                <w:color w:val="000000"/>
              </w:rPr>
              <w:t>14</w:t>
            </w:r>
            <w:r w:rsidRPr="00F50341">
              <w:rPr>
                <w:rFonts w:ascii="Times New Roman" w:eastAsia="Times New Roman" w:hAnsi="Times New Roman" w:cs="Times New Roman"/>
                <w:color w:val="000000"/>
              </w:rPr>
              <w:t>)</w:t>
            </w:r>
          </w:p>
        </w:tc>
        <w:tc>
          <w:tcPr>
            <w:tcW w:w="2551" w:type="dxa"/>
            <w:tcBorders>
              <w:top w:val="nil"/>
              <w:left w:val="nil"/>
              <w:bottom w:val="single" w:sz="4" w:space="0" w:color="000000"/>
              <w:right w:val="single" w:sz="4" w:space="0" w:color="000000"/>
            </w:tcBorders>
            <w:shd w:val="clear" w:color="000000" w:fill="FFFFFF"/>
            <w:noWrap/>
            <w:vAlign w:val="center"/>
            <w:hideMark/>
          </w:tcPr>
          <w:p w14:paraId="7184FFE6"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(99-100</w:t>
            </w:r>
            <w:r w:rsidRPr="00F50341">
              <w:rPr>
                <w:rFonts w:ascii="Times New Roman" w:eastAsia="Times New Roman" w:hAnsi="Times New Roman" w:cs="Times New Roman"/>
                <w:color w:val="000000"/>
              </w:rPr>
              <w:t>, 11</w:t>
            </w:r>
            <w:r>
              <w:rPr>
                <w:rFonts w:ascii="Times New Roman" w:eastAsia="Times New Roman" w:hAnsi="Times New Roman" w:cs="Times New Roman"/>
                <w:color w:val="000000"/>
              </w:rPr>
              <w:t>14</w:t>
            </w:r>
            <w:r w:rsidRPr="00F50341">
              <w:rPr>
                <w:rFonts w:ascii="Times New Roman" w:eastAsia="Times New Roman" w:hAnsi="Times New Roman" w:cs="Times New Roman"/>
                <w:color w:val="000000"/>
              </w:rPr>
              <w:t>/11</w:t>
            </w:r>
            <w:r>
              <w:rPr>
                <w:rFonts w:ascii="Times New Roman" w:eastAsia="Times New Roman" w:hAnsi="Times New Roman" w:cs="Times New Roman"/>
                <w:color w:val="000000"/>
              </w:rPr>
              <w:t>16</w:t>
            </w:r>
            <w:r w:rsidRPr="00F50341">
              <w:rPr>
                <w:rFonts w:ascii="Times New Roman" w:eastAsia="Times New Roman" w:hAnsi="Times New Roman" w:cs="Times New Roman"/>
                <w:color w:val="000000"/>
              </w:rPr>
              <w:t>)</w:t>
            </w:r>
          </w:p>
        </w:tc>
        <w:tc>
          <w:tcPr>
            <w:tcW w:w="1919" w:type="dxa"/>
            <w:tcBorders>
              <w:top w:val="nil"/>
              <w:left w:val="nil"/>
              <w:bottom w:val="single" w:sz="4" w:space="0" w:color="000000"/>
              <w:right w:val="single" w:sz="4" w:space="0" w:color="000000"/>
            </w:tcBorders>
            <w:shd w:val="clear" w:color="000000" w:fill="FFFFFF"/>
            <w:vAlign w:val="center"/>
          </w:tcPr>
          <w:p w14:paraId="165A06D4"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0.50</w:t>
            </w:r>
          </w:p>
        </w:tc>
      </w:tr>
      <w:tr w:rsidR="00F061AF" w:rsidRPr="00514BAC" w14:paraId="6D614FED" w14:textId="77777777" w:rsidTr="00F061AF">
        <w:trPr>
          <w:trHeight w:val="333"/>
        </w:trPr>
        <w:tc>
          <w:tcPr>
            <w:tcW w:w="938" w:type="dxa"/>
            <w:vMerge w:val="restart"/>
            <w:tcBorders>
              <w:top w:val="nil"/>
              <w:left w:val="single" w:sz="4" w:space="0" w:color="000000"/>
              <w:bottom w:val="single" w:sz="4" w:space="0" w:color="000000"/>
              <w:right w:val="single" w:sz="4" w:space="0" w:color="000000"/>
            </w:tcBorders>
            <w:shd w:val="clear" w:color="000000" w:fill="FFFFFF"/>
            <w:noWrap/>
            <w:vAlign w:val="center"/>
            <w:hideMark/>
          </w:tcPr>
          <w:p w14:paraId="13EBA227" w14:textId="77777777" w:rsidR="00F061AF" w:rsidRPr="00514BAC" w:rsidRDefault="00F061AF" w:rsidP="007151C3">
            <w:pPr>
              <w:spacing w:line="240" w:lineRule="auto"/>
              <w:jc w:val="center"/>
              <w:rPr>
                <w:rFonts w:ascii="Times New Roman" w:eastAsia="Times New Roman" w:hAnsi="Times New Roman" w:cs="Times New Roman"/>
                <w:b/>
                <w:bCs/>
                <w:color w:val="000000"/>
              </w:rPr>
            </w:pPr>
            <w:r w:rsidRPr="00514BAC">
              <w:rPr>
                <w:rFonts w:ascii="Times New Roman" w:eastAsia="Times New Roman" w:hAnsi="Times New Roman" w:cs="Times New Roman"/>
                <w:b/>
                <w:bCs/>
                <w:color w:val="000000"/>
              </w:rPr>
              <w:t>VDPV2</w:t>
            </w:r>
          </w:p>
        </w:tc>
        <w:tc>
          <w:tcPr>
            <w:tcW w:w="1189" w:type="dxa"/>
            <w:tcBorders>
              <w:top w:val="nil"/>
              <w:left w:val="nil"/>
              <w:bottom w:val="single" w:sz="4" w:space="0" w:color="000000"/>
              <w:right w:val="single" w:sz="4" w:space="0" w:color="000000"/>
            </w:tcBorders>
            <w:shd w:val="clear" w:color="000000" w:fill="FFFFFF"/>
            <w:noWrap/>
            <w:vAlign w:val="bottom"/>
            <w:hideMark/>
          </w:tcPr>
          <w:p w14:paraId="51B86558"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Sensitivity</w:t>
            </w:r>
          </w:p>
        </w:tc>
        <w:tc>
          <w:tcPr>
            <w:tcW w:w="2835" w:type="dxa"/>
            <w:tcBorders>
              <w:top w:val="nil"/>
              <w:left w:val="nil"/>
              <w:bottom w:val="single" w:sz="4" w:space="0" w:color="000000"/>
              <w:right w:val="single" w:sz="4" w:space="0" w:color="000000"/>
            </w:tcBorders>
            <w:shd w:val="clear" w:color="000000" w:fill="FFFFFF"/>
            <w:noWrap/>
            <w:vAlign w:val="center"/>
            <w:hideMark/>
          </w:tcPr>
          <w:p w14:paraId="2A14BD22"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70 (46-88</w:t>
            </w:r>
            <w:r w:rsidRPr="00F50341">
              <w:rPr>
                <w:rFonts w:ascii="Times New Roman" w:eastAsia="Times New Roman" w:hAnsi="Times New Roman" w:cs="Times New Roman"/>
                <w:color w:val="000000"/>
              </w:rPr>
              <w:t>, 14/20)</w:t>
            </w:r>
          </w:p>
        </w:tc>
        <w:tc>
          <w:tcPr>
            <w:tcW w:w="2551" w:type="dxa"/>
            <w:tcBorders>
              <w:top w:val="nil"/>
              <w:left w:val="nil"/>
              <w:bottom w:val="single" w:sz="4" w:space="0" w:color="000000"/>
              <w:right w:val="single" w:sz="4" w:space="0" w:color="000000"/>
            </w:tcBorders>
            <w:shd w:val="clear" w:color="000000" w:fill="FFFFFF"/>
            <w:noWrap/>
            <w:vAlign w:val="center"/>
            <w:hideMark/>
          </w:tcPr>
          <w:p w14:paraId="78A884DC"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88 (62-98</w:t>
            </w:r>
            <w:r w:rsidRPr="00F50341">
              <w:rPr>
                <w:rFonts w:ascii="Times New Roman" w:eastAsia="Times New Roman" w:hAnsi="Times New Roman" w:cs="Times New Roman"/>
                <w:color w:val="000000"/>
              </w:rPr>
              <w:t>, 14/16)</w:t>
            </w:r>
          </w:p>
        </w:tc>
        <w:tc>
          <w:tcPr>
            <w:tcW w:w="1919" w:type="dxa"/>
            <w:tcBorders>
              <w:top w:val="nil"/>
              <w:left w:val="nil"/>
              <w:bottom w:val="single" w:sz="4" w:space="0" w:color="000000"/>
              <w:right w:val="single" w:sz="4" w:space="0" w:color="000000"/>
            </w:tcBorders>
            <w:shd w:val="clear" w:color="000000" w:fill="FFFFFF"/>
            <w:vAlign w:val="center"/>
          </w:tcPr>
          <w:p w14:paraId="73FDDF02"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0.26</w:t>
            </w:r>
          </w:p>
        </w:tc>
      </w:tr>
      <w:tr w:rsidR="00F061AF" w:rsidRPr="00514BAC" w14:paraId="68F530A2" w14:textId="77777777" w:rsidTr="00F061AF">
        <w:trPr>
          <w:trHeight w:val="333"/>
        </w:trPr>
        <w:tc>
          <w:tcPr>
            <w:tcW w:w="938" w:type="dxa"/>
            <w:vMerge/>
            <w:tcBorders>
              <w:top w:val="nil"/>
              <w:left w:val="single" w:sz="4" w:space="0" w:color="000000"/>
              <w:bottom w:val="single" w:sz="4" w:space="0" w:color="000000"/>
              <w:right w:val="single" w:sz="4" w:space="0" w:color="000000"/>
            </w:tcBorders>
            <w:vAlign w:val="center"/>
            <w:hideMark/>
          </w:tcPr>
          <w:p w14:paraId="49442F35" w14:textId="77777777" w:rsidR="00F061AF" w:rsidRPr="00514BAC" w:rsidRDefault="00F061AF" w:rsidP="007151C3">
            <w:pPr>
              <w:spacing w:line="240" w:lineRule="auto"/>
              <w:jc w:val="center"/>
              <w:rPr>
                <w:rFonts w:ascii="Times New Roman" w:eastAsia="Times New Roman" w:hAnsi="Times New Roman" w:cs="Times New Roman"/>
                <w:b/>
                <w:bCs/>
                <w:color w:val="000000"/>
              </w:rPr>
            </w:pPr>
          </w:p>
        </w:tc>
        <w:tc>
          <w:tcPr>
            <w:tcW w:w="1189" w:type="dxa"/>
            <w:tcBorders>
              <w:top w:val="nil"/>
              <w:left w:val="nil"/>
              <w:bottom w:val="single" w:sz="4" w:space="0" w:color="000000"/>
              <w:right w:val="single" w:sz="4" w:space="0" w:color="000000"/>
            </w:tcBorders>
            <w:shd w:val="clear" w:color="000000" w:fill="FFFFFF"/>
            <w:noWrap/>
            <w:vAlign w:val="bottom"/>
            <w:hideMark/>
          </w:tcPr>
          <w:p w14:paraId="57D3E4AF"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Specificity</w:t>
            </w:r>
          </w:p>
        </w:tc>
        <w:tc>
          <w:tcPr>
            <w:tcW w:w="2835" w:type="dxa"/>
            <w:tcBorders>
              <w:top w:val="nil"/>
              <w:left w:val="nil"/>
              <w:bottom w:val="single" w:sz="4" w:space="0" w:color="000000"/>
              <w:right w:val="single" w:sz="4" w:space="0" w:color="000000"/>
            </w:tcBorders>
            <w:shd w:val="clear" w:color="000000" w:fill="FFFFFF"/>
            <w:noWrap/>
            <w:vAlign w:val="center"/>
            <w:hideMark/>
          </w:tcPr>
          <w:p w14:paraId="76F90502"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(99-100</w:t>
            </w:r>
            <w:r w:rsidRPr="00F50341">
              <w:rPr>
                <w:rFonts w:ascii="Times New Roman" w:eastAsia="Times New Roman" w:hAnsi="Times New Roman" w:cs="Times New Roman"/>
                <w:color w:val="000000"/>
              </w:rPr>
              <w:t>, 1</w:t>
            </w:r>
            <w:r>
              <w:rPr>
                <w:rFonts w:ascii="Times New Roman" w:eastAsia="Times New Roman" w:hAnsi="Times New Roman" w:cs="Times New Roman"/>
                <w:color w:val="000000"/>
              </w:rPr>
              <w:t>096</w:t>
            </w:r>
            <w:r w:rsidRPr="00F50341">
              <w:rPr>
                <w:rFonts w:ascii="Times New Roman" w:eastAsia="Times New Roman" w:hAnsi="Times New Roman" w:cs="Times New Roman"/>
                <w:color w:val="000000"/>
              </w:rPr>
              <w:t>/1</w:t>
            </w:r>
            <w:r>
              <w:rPr>
                <w:rFonts w:ascii="Times New Roman" w:eastAsia="Times New Roman" w:hAnsi="Times New Roman" w:cs="Times New Roman"/>
                <w:color w:val="000000"/>
              </w:rPr>
              <w:t>098</w:t>
            </w:r>
            <w:r w:rsidRPr="00F50341">
              <w:rPr>
                <w:rFonts w:ascii="Times New Roman" w:eastAsia="Times New Roman" w:hAnsi="Times New Roman" w:cs="Times New Roman"/>
                <w:color w:val="000000"/>
              </w:rPr>
              <w:t>)</w:t>
            </w:r>
          </w:p>
        </w:tc>
        <w:tc>
          <w:tcPr>
            <w:tcW w:w="2551" w:type="dxa"/>
            <w:tcBorders>
              <w:top w:val="nil"/>
              <w:left w:val="nil"/>
              <w:bottom w:val="single" w:sz="4" w:space="0" w:color="000000"/>
              <w:right w:val="single" w:sz="4" w:space="0" w:color="000000"/>
            </w:tcBorders>
            <w:shd w:val="clear" w:color="000000" w:fill="FFFFFF"/>
            <w:noWrap/>
            <w:vAlign w:val="center"/>
            <w:hideMark/>
          </w:tcPr>
          <w:p w14:paraId="4A420C18"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99 (99-100</w:t>
            </w:r>
            <w:r w:rsidRPr="00F50341">
              <w:rPr>
                <w:rFonts w:ascii="Times New Roman" w:eastAsia="Times New Roman" w:hAnsi="Times New Roman" w:cs="Times New Roman"/>
                <w:color w:val="000000"/>
              </w:rPr>
              <w:t>, 1</w:t>
            </w:r>
            <w:r>
              <w:rPr>
                <w:rFonts w:ascii="Times New Roman" w:eastAsia="Times New Roman" w:hAnsi="Times New Roman" w:cs="Times New Roman"/>
                <w:color w:val="000000"/>
              </w:rPr>
              <w:t>096</w:t>
            </w:r>
            <w:r w:rsidRPr="00F50341">
              <w:rPr>
                <w:rFonts w:ascii="Times New Roman" w:eastAsia="Times New Roman" w:hAnsi="Times New Roman" w:cs="Times New Roman"/>
                <w:color w:val="000000"/>
              </w:rPr>
              <w:t>/11</w:t>
            </w:r>
            <w:r>
              <w:rPr>
                <w:rFonts w:ascii="Times New Roman" w:eastAsia="Times New Roman" w:hAnsi="Times New Roman" w:cs="Times New Roman"/>
                <w:color w:val="000000"/>
              </w:rPr>
              <w:t>02</w:t>
            </w:r>
            <w:r w:rsidRPr="00F50341">
              <w:rPr>
                <w:rFonts w:ascii="Times New Roman" w:eastAsia="Times New Roman" w:hAnsi="Times New Roman" w:cs="Times New Roman"/>
                <w:color w:val="000000"/>
              </w:rPr>
              <w:t>)</w:t>
            </w:r>
          </w:p>
        </w:tc>
        <w:tc>
          <w:tcPr>
            <w:tcW w:w="1919" w:type="dxa"/>
            <w:tcBorders>
              <w:top w:val="nil"/>
              <w:left w:val="nil"/>
              <w:bottom w:val="single" w:sz="4" w:space="0" w:color="000000"/>
              <w:right w:val="single" w:sz="4" w:space="0" w:color="000000"/>
            </w:tcBorders>
            <w:shd w:val="clear" w:color="000000" w:fill="FFFFFF"/>
            <w:vAlign w:val="center"/>
          </w:tcPr>
          <w:p w14:paraId="62D6E3FC"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0.29</w:t>
            </w:r>
          </w:p>
        </w:tc>
      </w:tr>
      <w:tr w:rsidR="00F061AF" w:rsidRPr="00514BAC" w14:paraId="49507025" w14:textId="77777777" w:rsidTr="00F061AF">
        <w:trPr>
          <w:trHeight w:val="333"/>
        </w:trPr>
        <w:tc>
          <w:tcPr>
            <w:tcW w:w="938" w:type="dxa"/>
            <w:vMerge w:val="restart"/>
            <w:tcBorders>
              <w:top w:val="nil"/>
              <w:left w:val="single" w:sz="4" w:space="0" w:color="000000"/>
              <w:bottom w:val="single" w:sz="4" w:space="0" w:color="000000"/>
              <w:right w:val="single" w:sz="4" w:space="0" w:color="000000"/>
            </w:tcBorders>
            <w:shd w:val="clear" w:color="000000" w:fill="FFFFFF"/>
            <w:noWrap/>
            <w:vAlign w:val="center"/>
            <w:hideMark/>
          </w:tcPr>
          <w:p w14:paraId="21579AE2" w14:textId="77777777" w:rsidR="00F061AF" w:rsidRPr="00514BAC" w:rsidRDefault="00F061AF" w:rsidP="007151C3">
            <w:pPr>
              <w:spacing w:line="240" w:lineRule="auto"/>
              <w:jc w:val="center"/>
              <w:rPr>
                <w:rFonts w:ascii="Times New Roman" w:eastAsia="Times New Roman" w:hAnsi="Times New Roman" w:cs="Times New Roman"/>
                <w:b/>
                <w:bCs/>
                <w:color w:val="000000"/>
              </w:rPr>
            </w:pPr>
            <w:r w:rsidRPr="00514BAC">
              <w:rPr>
                <w:rFonts w:ascii="Times New Roman" w:eastAsia="Times New Roman" w:hAnsi="Times New Roman" w:cs="Times New Roman"/>
                <w:b/>
                <w:bCs/>
                <w:color w:val="000000"/>
              </w:rPr>
              <w:t>Sabin 3</w:t>
            </w:r>
          </w:p>
        </w:tc>
        <w:tc>
          <w:tcPr>
            <w:tcW w:w="1189" w:type="dxa"/>
            <w:tcBorders>
              <w:top w:val="nil"/>
              <w:left w:val="nil"/>
              <w:bottom w:val="single" w:sz="4" w:space="0" w:color="000000"/>
              <w:right w:val="single" w:sz="4" w:space="0" w:color="000000"/>
            </w:tcBorders>
            <w:shd w:val="clear" w:color="000000" w:fill="FFFFFF"/>
            <w:noWrap/>
            <w:vAlign w:val="bottom"/>
            <w:hideMark/>
          </w:tcPr>
          <w:p w14:paraId="38DD9663"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Sensitivity</w:t>
            </w:r>
          </w:p>
        </w:tc>
        <w:tc>
          <w:tcPr>
            <w:tcW w:w="2835" w:type="dxa"/>
            <w:tcBorders>
              <w:top w:val="nil"/>
              <w:left w:val="nil"/>
              <w:bottom w:val="single" w:sz="4" w:space="0" w:color="000000"/>
              <w:right w:val="single" w:sz="4" w:space="0" w:color="000000"/>
            </w:tcBorders>
            <w:shd w:val="clear" w:color="000000" w:fill="FFFFFF"/>
            <w:noWrap/>
            <w:vAlign w:val="center"/>
            <w:hideMark/>
          </w:tcPr>
          <w:p w14:paraId="27DF15FA"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75 (43-95</w:t>
            </w:r>
            <w:r w:rsidRPr="00F50341">
              <w:rPr>
                <w:rFonts w:ascii="Times New Roman" w:eastAsia="Times New Roman" w:hAnsi="Times New Roman" w:cs="Times New Roman"/>
                <w:color w:val="000000"/>
              </w:rPr>
              <w:t>, 9/12)</w:t>
            </w:r>
          </w:p>
        </w:tc>
        <w:tc>
          <w:tcPr>
            <w:tcW w:w="2551" w:type="dxa"/>
            <w:tcBorders>
              <w:top w:val="nil"/>
              <w:left w:val="nil"/>
              <w:bottom w:val="single" w:sz="4" w:space="0" w:color="000000"/>
              <w:right w:val="single" w:sz="4" w:space="0" w:color="000000"/>
            </w:tcBorders>
            <w:shd w:val="clear" w:color="000000" w:fill="FFFFFF"/>
            <w:noWrap/>
            <w:vAlign w:val="center"/>
            <w:hideMark/>
          </w:tcPr>
          <w:p w14:paraId="345AF2A2"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90 (55-100</w:t>
            </w:r>
            <w:r w:rsidRPr="00F50341">
              <w:rPr>
                <w:rFonts w:ascii="Times New Roman" w:eastAsia="Times New Roman" w:hAnsi="Times New Roman" w:cs="Times New Roman"/>
                <w:color w:val="000000"/>
              </w:rPr>
              <w:t>, 9/10)</w:t>
            </w:r>
          </w:p>
        </w:tc>
        <w:tc>
          <w:tcPr>
            <w:tcW w:w="1919" w:type="dxa"/>
            <w:tcBorders>
              <w:top w:val="nil"/>
              <w:left w:val="nil"/>
              <w:bottom w:val="single" w:sz="4" w:space="0" w:color="000000"/>
              <w:right w:val="single" w:sz="4" w:space="0" w:color="000000"/>
            </w:tcBorders>
            <w:shd w:val="clear" w:color="000000" w:fill="FFFFFF"/>
            <w:vAlign w:val="center"/>
          </w:tcPr>
          <w:p w14:paraId="201B1063"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0.59</w:t>
            </w:r>
          </w:p>
        </w:tc>
      </w:tr>
      <w:tr w:rsidR="00F061AF" w:rsidRPr="00514BAC" w14:paraId="4EA1C2D2" w14:textId="77777777" w:rsidTr="00F061AF">
        <w:trPr>
          <w:trHeight w:val="333"/>
        </w:trPr>
        <w:tc>
          <w:tcPr>
            <w:tcW w:w="938" w:type="dxa"/>
            <w:vMerge/>
            <w:tcBorders>
              <w:top w:val="nil"/>
              <w:left w:val="single" w:sz="4" w:space="0" w:color="000000"/>
              <w:bottom w:val="single" w:sz="4" w:space="0" w:color="000000"/>
              <w:right w:val="single" w:sz="4" w:space="0" w:color="000000"/>
            </w:tcBorders>
            <w:vAlign w:val="center"/>
            <w:hideMark/>
          </w:tcPr>
          <w:p w14:paraId="2DEB0E8A" w14:textId="77777777" w:rsidR="00F061AF" w:rsidRPr="00514BAC" w:rsidRDefault="00F061AF" w:rsidP="007151C3">
            <w:pPr>
              <w:spacing w:line="240" w:lineRule="auto"/>
              <w:jc w:val="center"/>
              <w:rPr>
                <w:rFonts w:ascii="Times New Roman" w:eastAsia="Times New Roman" w:hAnsi="Times New Roman" w:cs="Times New Roman"/>
                <w:b/>
                <w:bCs/>
                <w:color w:val="000000"/>
              </w:rPr>
            </w:pPr>
          </w:p>
        </w:tc>
        <w:tc>
          <w:tcPr>
            <w:tcW w:w="1189" w:type="dxa"/>
            <w:tcBorders>
              <w:top w:val="nil"/>
              <w:left w:val="nil"/>
              <w:bottom w:val="single" w:sz="4" w:space="0" w:color="000000"/>
              <w:right w:val="single" w:sz="4" w:space="0" w:color="000000"/>
            </w:tcBorders>
            <w:shd w:val="clear" w:color="000000" w:fill="FFFFFF"/>
            <w:noWrap/>
            <w:vAlign w:val="bottom"/>
            <w:hideMark/>
          </w:tcPr>
          <w:p w14:paraId="2D998878"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Specificity</w:t>
            </w:r>
          </w:p>
        </w:tc>
        <w:tc>
          <w:tcPr>
            <w:tcW w:w="2835" w:type="dxa"/>
            <w:tcBorders>
              <w:top w:val="nil"/>
              <w:left w:val="nil"/>
              <w:bottom w:val="single" w:sz="4" w:space="0" w:color="000000"/>
              <w:right w:val="single" w:sz="4" w:space="0" w:color="000000"/>
            </w:tcBorders>
            <w:shd w:val="clear" w:color="000000" w:fill="FFFFFF"/>
            <w:noWrap/>
            <w:vAlign w:val="center"/>
            <w:hideMark/>
          </w:tcPr>
          <w:p w14:paraId="7615303E"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(100-100</w:t>
            </w:r>
            <w:r w:rsidRPr="00F50341">
              <w:rPr>
                <w:rFonts w:ascii="Times New Roman" w:eastAsia="Times New Roman" w:hAnsi="Times New Roman" w:cs="Times New Roman"/>
                <w:color w:val="000000"/>
              </w:rPr>
              <w:t>, 11</w:t>
            </w:r>
            <w:r>
              <w:rPr>
                <w:rFonts w:ascii="Times New Roman" w:eastAsia="Times New Roman" w:hAnsi="Times New Roman" w:cs="Times New Roman"/>
                <w:color w:val="000000"/>
              </w:rPr>
              <w:t>05</w:t>
            </w:r>
            <w:r w:rsidRPr="00F50341">
              <w:rPr>
                <w:rFonts w:ascii="Times New Roman" w:eastAsia="Times New Roman" w:hAnsi="Times New Roman" w:cs="Times New Roman"/>
                <w:color w:val="000000"/>
              </w:rPr>
              <w:t>/11</w:t>
            </w:r>
            <w:r>
              <w:rPr>
                <w:rFonts w:ascii="Times New Roman" w:eastAsia="Times New Roman" w:hAnsi="Times New Roman" w:cs="Times New Roman"/>
                <w:color w:val="000000"/>
              </w:rPr>
              <w:t>06</w:t>
            </w:r>
            <w:r w:rsidRPr="00F50341">
              <w:rPr>
                <w:rFonts w:ascii="Times New Roman" w:eastAsia="Times New Roman" w:hAnsi="Times New Roman" w:cs="Times New Roman"/>
                <w:color w:val="000000"/>
              </w:rPr>
              <w:t>)</w:t>
            </w:r>
          </w:p>
        </w:tc>
        <w:tc>
          <w:tcPr>
            <w:tcW w:w="2551" w:type="dxa"/>
            <w:tcBorders>
              <w:top w:val="nil"/>
              <w:left w:val="nil"/>
              <w:bottom w:val="single" w:sz="4" w:space="0" w:color="000000"/>
              <w:right w:val="single" w:sz="4" w:space="0" w:color="000000"/>
            </w:tcBorders>
            <w:shd w:val="clear" w:color="000000" w:fill="FFFFFF"/>
            <w:noWrap/>
            <w:vAlign w:val="center"/>
            <w:hideMark/>
          </w:tcPr>
          <w:p w14:paraId="25E8B3C2" w14:textId="77777777" w:rsidR="00F061AF" w:rsidRPr="00514BAC" w:rsidRDefault="00F061AF" w:rsidP="007151C3">
            <w:pPr>
              <w:spacing w:line="240" w:lineRule="auto"/>
              <w:jc w:val="center"/>
              <w:rPr>
                <w:rFonts w:ascii="Times New Roman" w:eastAsia="Times New Roman" w:hAnsi="Times New Roman" w:cs="Times New Roman"/>
                <w:color w:val="000000"/>
              </w:rPr>
            </w:pPr>
            <w:r w:rsidRPr="00514BAC">
              <w:rPr>
                <w:rFonts w:ascii="Times New Roman" w:eastAsia="Times New Roman" w:hAnsi="Times New Roman" w:cs="Times New Roman"/>
                <w:color w:val="000000"/>
              </w:rPr>
              <w:t>100 (99-100</w:t>
            </w:r>
            <w:r w:rsidRPr="00F50341">
              <w:rPr>
                <w:rFonts w:ascii="Times New Roman" w:eastAsia="Times New Roman" w:hAnsi="Times New Roman" w:cs="Times New Roman"/>
                <w:color w:val="000000"/>
              </w:rPr>
              <w:t>, 11</w:t>
            </w:r>
            <w:r>
              <w:rPr>
                <w:rFonts w:ascii="Times New Roman" w:eastAsia="Times New Roman" w:hAnsi="Times New Roman" w:cs="Times New Roman"/>
                <w:color w:val="000000"/>
              </w:rPr>
              <w:t>05</w:t>
            </w:r>
            <w:r w:rsidRPr="00F50341">
              <w:rPr>
                <w:rFonts w:ascii="Times New Roman" w:eastAsia="Times New Roman" w:hAnsi="Times New Roman" w:cs="Times New Roman"/>
                <w:color w:val="000000"/>
              </w:rPr>
              <w:t>/11</w:t>
            </w:r>
            <w:r>
              <w:rPr>
                <w:rFonts w:ascii="Times New Roman" w:eastAsia="Times New Roman" w:hAnsi="Times New Roman" w:cs="Times New Roman"/>
                <w:color w:val="000000"/>
              </w:rPr>
              <w:t>08</w:t>
            </w:r>
            <w:r w:rsidRPr="00F50341">
              <w:rPr>
                <w:rFonts w:ascii="Times New Roman" w:eastAsia="Times New Roman" w:hAnsi="Times New Roman" w:cs="Times New Roman"/>
                <w:color w:val="000000"/>
              </w:rPr>
              <w:t>)</w:t>
            </w:r>
          </w:p>
        </w:tc>
        <w:tc>
          <w:tcPr>
            <w:tcW w:w="1919" w:type="dxa"/>
            <w:tcBorders>
              <w:top w:val="nil"/>
              <w:left w:val="nil"/>
              <w:bottom w:val="single" w:sz="4" w:space="0" w:color="000000"/>
              <w:right w:val="single" w:sz="4" w:space="0" w:color="000000"/>
            </w:tcBorders>
            <w:shd w:val="clear" w:color="000000" w:fill="FFFFFF"/>
            <w:vAlign w:val="center"/>
          </w:tcPr>
          <w:p w14:paraId="6B44EF6B" w14:textId="77777777" w:rsidR="00F061AF" w:rsidRPr="00514BAC" w:rsidRDefault="00F061AF" w:rsidP="007151C3">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0.62</w:t>
            </w:r>
          </w:p>
        </w:tc>
      </w:tr>
    </w:tbl>
    <w:p w14:paraId="2EBBE24F" w14:textId="77777777" w:rsidR="00F061AF" w:rsidRDefault="00F061AF" w:rsidP="00F061AF">
      <w:pPr>
        <w:pStyle w:val="EndNoteBibliography"/>
        <w:rPr>
          <w:rFonts w:ascii="Times New Roman" w:eastAsia="Times New Roman" w:hAnsi="Times New Roman" w:cs="Times New Roman"/>
          <w:sz w:val="24"/>
          <w:szCs w:val="24"/>
          <w:highlight w:val="white"/>
        </w:rPr>
      </w:pPr>
    </w:p>
    <w:p w14:paraId="78E5B960" w14:textId="77777777" w:rsidR="00F061AF" w:rsidRPr="00514BAC" w:rsidRDefault="00F061AF" w:rsidP="00F061AF">
      <w:pPr>
        <w:rPr>
          <w:rFonts w:ascii="Times New Roman" w:hAnsi="Times New Roman" w:cs="Times New Roman"/>
          <w:i/>
          <w:iCs/>
        </w:rPr>
      </w:pPr>
      <w:r w:rsidRPr="00F061AF">
        <w:rPr>
          <w:rFonts w:ascii="Times New Roman" w:eastAsia="Times New Roman" w:hAnsi="Times New Roman" w:cs="Times New Roman"/>
          <w:highlight w:val="white"/>
        </w:rPr>
        <w:t>Supplemental Table 1 -</w:t>
      </w:r>
      <w:r>
        <w:rPr>
          <w:rFonts w:ascii="Times New Roman" w:eastAsia="Times New Roman" w:hAnsi="Times New Roman" w:cs="Times New Roman"/>
          <w:sz w:val="24"/>
          <w:szCs w:val="24"/>
          <w:highlight w:val="white"/>
        </w:rPr>
        <w:t xml:space="preserve"> </w:t>
      </w:r>
      <w:r w:rsidRPr="00514BAC">
        <w:rPr>
          <w:rFonts w:ascii="Times New Roman" w:hAnsi="Times New Roman" w:cs="Times New Roman"/>
          <w:i/>
          <w:iCs/>
        </w:rPr>
        <w:t>Sensitivity and specificity by AFP case</w:t>
      </w:r>
      <w:r>
        <w:rPr>
          <w:rFonts w:ascii="Times New Roman" w:hAnsi="Times New Roman" w:cs="Times New Roman"/>
          <w:i/>
          <w:iCs/>
        </w:rPr>
        <w:t xml:space="preserve"> where two samples are available</w:t>
      </w:r>
      <w:r w:rsidRPr="00514BAC">
        <w:rPr>
          <w:rFonts w:ascii="Times New Roman" w:hAnsi="Times New Roman" w:cs="Times New Roman"/>
          <w:i/>
          <w:iCs/>
        </w:rPr>
        <w:t xml:space="preserve"> for detection of Sabin 1 and Sabin 3 polioviruses and VDPV2 by the standard cell-culture algorithm versus DDNS and vice versa. </w:t>
      </w:r>
    </w:p>
    <w:p w14:paraId="5AE2C599" w14:textId="48C35F2A" w:rsidR="00F061AF" w:rsidRDefault="00F061AF">
      <w:pPr>
        <w:rPr>
          <w:b/>
          <w:bCs/>
          <w:sz w:val="24"/>
          <w:szCs w:val="24"/>
        </w:rPr>
      </w:pPr>
    </w:p>
    <w:p w14:paraId="0A26AD45" w14:textId="08D1EFD6" w:rsidR="00F061AF" w:rsidRDefault="00F061AF">
      <w:pPr>
        <w:rPr>
          <w:b/>
          <w:bCs/>
          <w:sz w:val="24"/>
          <w:szCs w:val="24"/>
        </w:rPr>
      </w:pPr>
    </w:p>
    <w:p w14:paraId="78EA87F5" w14:textId="586EAA14" w:rsidR="00F061AF" w:rsidRDefault="00F061AF">
      <w:pPr>
        <w:rPr>
          <w:b/>
          <w:bCs/>
          <w:sz w:val="24"/>
          <w:szCs w:val="24"/>
        </w:rPr>
      </w:pPr>
    </w:p>
    <w:p w14:paraId="287FA6A5" w14:textId="4428D890" w:rsidR="00F061AF" w:rsidRDefault="00F061AF">
      <w:pPr>
        <w:rPr>
          <w:b/>
          <w:bCs/>
          <w:sz w:val="24"/>
          <w:szCs w:val="24"/>
        </w:rPr>
      </w:pPr>
    </w:p>
    <w:p w14:paraId="6E08F73C" w14:textId="69019A5A" w:rsidR="00F061AF" w:rsidRDefault="00F061AF">
      <w:pPr>
        <w:rPr>
          <w:b/>
          <w:bCs/>
          <w:sz w:val="24"/>
          <w:szCs w:val="24"/>
        </w:rPr>
      </w:pPr>
    </w:p>
    <w:p w14:paraId="7D8B5BB6" w14:textId="664A6055" w:rsidR="00F061AF" w:rsidRDefault="00F061AF">
      <w:pPr>
        <w:rPr>
          <w:b/>
          <w:bCs/>
          <w:sz w:val="24"/>
          <w:szCs w:val="24"/>
        </w:rPr>
      </w:pPr>
    </w:p>
    <w:p w14:paraId="4E5E8999" w14:textId="1BD1A1EE" w:rsidR="00F061AF" w:rsidRDefault="00F061AF">
      <w:pPr>
        <w:rPr>
          <w:b/>
          <w:bCs/>
          <w:sz w:val="24"/>
          <w:szCs w:val="24"/>
        </w:rPr>
      </w:pPr>
    </w:p>
    <w:p w14:paraId="543DD7CA" w14:textId="638C404A" w:rsidR="00F061AF" w:rsidRDefault="00F061AF">
      <w:pPr>
        <w:rPr>
          <w:b/>
          <w:bCs/>
          <w:sz w:val="24"/>
          <w:szCs w:val="24"/>
        </w:rPr>
      </w:pPr>
    </w:p>
    <w:p w14:paraId="168B43E8" w14:textId="77B8D9C5" w:rsidR="00F061AF" w:rsidRDefault="00F061AF">
      <w:pPr>
        <w:rPr>
          <w:b/>
          <w:bCs/>
          <w:sz w:val="24"/>
          <w:szCs w:val="24"/>
        </w:rPr>
      </w:pPr>
    </w:p>
    <w:p w14:paraId="09874724" w14:textId="25C0EB33" w:rsidR="00F061AF" w:rsidRDefault="00F061AF">
      <w:pPr>
        <w:rPr>
          <w:b/>
          <w:bCs/>
          <w:sz w:val="24"/>
          <w:szCs w:val="24"/>
        </w:rPr>
      </w:pPr>
    </w:p>
    <w:p w14:paraId="750BC310" w14:textId="5F473E36" w:rsidR="00F061AF" w:rsidRDefault="00F061AF">
      <w:pPr>
        <w:rPr>
          <w:b/>
          <w:bCs/>
          <w:sz w:val="24"/>
          <w:szCs w:val="24"/>
        </w:rPr>
      </w:pPr>
    </w:p>
    <w:p w14:paraId="4B2A9221" w14:textId="3B34E723" w:rsidR="00F061AF" w:rsidRDefault="00F061AF">
      <w:pPr>
        <w:rPr>
          <w:b/>
          <w:bCs/>
          <w:sz w:val="24"/>
          <w:szCs w:val="24"/>
        </w:rPr>
      </w:pPr>
    </w:p>
    <w:p w14:paraId="7793F9CF" w14:textId="02E38113" w:rsidR="00F061AF" w:rsidRDefault="00F061AF">
      <w:pPr>
        <w:rPr>
          <w:b/>
          <w:bCs/>
          <w:sz w:val="24"/>
          <w:szCs w:val="24"/>
        </w:rPr>
      </w:pPr>
    </w:p>
    <w:p w14:paraId="6CDB6794" w14:textId="38218304" w:rsidR="00F061AF" w:rsidRDefault="00F061AF">
      <w:pPr>
        <w:rPr>
          <w:b/>
          <w:bCs/>
          <w:sz w:val="24"/>
          <w:szCs w:val="24"/>
        </w:rPr>
      </w:pPr>
    </w:p>
    <w:p w14:paraId="78AC10BC" w14:textId="7C0AE5CB" w:rsidR="00F061AF" w:rsidRDefault="00F061AF">
      <w:pPr>
        <w:rPr>
          <w:b/>
          <w:bCs/>
          <w:sz w:val="24"/>
          <w:szCs w:val="24"/>
        </w:rPr>
      </w:pPr>
    </w:p>
    <w:p w14:paraId="491E935B" w14:textId="50681570" w:rsidR="00F061AF" w:rsidRDefault="00F061AF">
      <w:pPr>
        <w:rPr>
          <w:b/>
          <w:bCs/>
          <w:sz w:val="24"/>
          <w:szCs w:val="24"/>
        </w:rPr>
      </w:pPr>
    </w:p>
    <w:p w14:paraId="440B5655" w14:textId="77777777" w:rsidR="00F061AF" w:rsidRDefault="00F061AF">
      <w:pPr>
        <w:rPr>
          <w:b/>
          <w:bCs/>
          <w:sz w:val="24"/>
          <w:szCs w:val="24"/>
        </w:rPr>
      </w:pPr>
    </w:p>
    <w:p w14:paraId="0DD81C89" w14:textId="36CB7449" w:rsidR="00F061AF" w:rsidRDefault="00F061AF">
      <w:pPr>
        <w:rPr>
          <w:b/>
          <w:bCs/>
          <w:sz w:val="24"/>
          <w:szCs w:val="24"/>
        </w:rPr>
      </w:pPr>
    </w:p>
    <w:p w14:paraId="1B9AFB1D" w14:textId="58A39F31" w:rsidR="00F061AF" w:rsidRPr="00D35436" w:rsidRDefault="00F061AF">
      <w:pPr>
        <w:rPr>
          <w:rFonts w:ascii="Times New Roman" w:hAnsi="Times New Roman" w:cs="Times New Roman"/>
          <w:b/>
          <w:bCs/>
          <w:sz w:val="24"/>
          <w:szCs w:val="24"/>
        </w:rPr>
      </w:pPr>
      <w:r w:rsidRPr="00D35436">
        <w:rPr>
          <w:rFonts w:ascii="Times New Roman" w:hAnsi="Times New Roman" w:cs="Times New Roman"/>
          <w:b/>
          <w:bCs/>
          <w:sz w:val="24"/>
          <w:szCs w:val="24"/>
        </w:rPr>
        <w:lastRenderedPageBreak/>
        <w:t xml:space="preserve">Supplemental Table </w:t>
      </w:r>
      <w:r w:rsidRPr="00D35436">
        <w:rPr>
          <w:rFonts w:ascii="Times New Roman" w:hAnsi="Times New Roman" w:cs="Times New Roman"/>
          <w:b/>
          <w:bCs/>
          <w:sz w:val="24"/>
          <w:szCs w:val="24"/>
        </w:rPr>
        <w:t>2</w:t>
      </w:r>
    </w:p>
    <w:p w14:paraId="7D276C50" w14:textId="4EE47461" w:rsidR="00F061AF" w:rsidRDefault="00F061AF">
      <w:r w:rsidRPr="00F061AF">
        <w:drawing>
          <wp:inline distT="0" distB="0" distL="0" distR="0" wp14:anchorId="3FC78449" wp14:editId="1DAE9DB2">
            <wp:extent cx="5731510" cy="7508875"/>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7508875"/>
                    </a:xfrm>
                    <a:prstGeom prst="rect">
                      <a:avLst/>
                    </a:prstGeom>
                    <a:noFill/>
                    <a:ln>
                      <a:noFill/>
                    </a:ln>
                  </pic:spPr>
                </pic:pic>
              </a:graphicData>
            </a:graphic>
          </wp:inline>
        </w:drawing>
      </w:r>
    </w:p>
    <w:p w14:paraId="2D51885A" w14:textId="1A98AC9C" w:rsidR="00F061AF" w:rsidRPr="00F061AF" w:rsidRDefault="00F061AF">
      <w:pPr>
        <w:rPr>
          <w:rFonts w:ascii="Times New Roman" w:hAnsi="Times New Roman" w:cs="Times New Roman"/>
        </w:rPr>
      </w:pPr>
      <w:r w:rsidRPr="00F061AF">
        <w:rPr>
          <w:rFonts w:ascii="Times New Roman" w:hAnsi="Times New Roman" w:cs="Times New Roman"/>
        </w:rPr>
        <w:t xml:space="preserve">Supplemental Table 2 - </w:t>
      </w:r>
      <w:r w:rsidRPr="00F061AF">
        <w:rPr>
          <w:rFonts w:ascii="Times New Roman" w:hAnsi="Times New Roman" w:cs="Times New Roman"/>
          <w:i/>
          <w:iCs/>
        </w:rPr>
        <w:t xml:space="preserve">Costings of reagents for the cell-culture and AITD </w:t>
      </w:r>
      <w:r w:rsidRPr="00F061AF">
        <w:rPr>
          <w:rFonts w:ascii="Times New Roman" w:hAnsi="Times New Roman" w:cs="Times New Roman"/>
          <w:i/>
          <w:iCs/>
        </w:rPr>
        <w:t>algorithm</w:t>
      </w:r>
      <w:r w:rsidRPr="00F061AF">
        <w:rPr>
          <w:rFonts w:ascii="Times New Roman" w:hAnsi="Times New Roman" w:cs="Times New Roman"/>
          <w:i/>
          <w:iCs/>
        </w:rPr>
        <w:t>, and for DDS in laboratories with high and low sample throughput. Reagents required for the cell-culture and ITD protocol have been estimated given the guidance in the World Health Organisation Polio Laboratory Manual, 4th edition, 2004. Reagents required for DDNS have been calculated according to the protocol presented on dx.doi.org/10.17504/protocols.io.81wgbpkmovpk/v3. Laboratories classified as having 'high' loads are ones able to assemble near-complete sequencing runs without waiting for over 1 week for samples to accumulate. Laboratories classified as having 'low' loads would be unable to fully maximise the benefit of multiplexing and would instead perform sequencing runs below their maximum capacity; in this case assuming testing of only 45 samples a week.</w:t>
      </w:r>
    </w:p>
    <w:p w14:paraId="74AC598C" w14:textId="77D79EFD" w:rsidR="00F061AF" w:rsidRDefault="00F061AF"/>
    <w:p w14:paraId="25FB3C42" w14:textId="4C27AB53" w:rsidR="00D35436" w:rsidRDefault="00D35436"/>
    <w:p w14:paraId="28E45DC1" w14:textId="5BED7D58" w:rsidR="00D35436" w:rsidRDefault="00D35436">
      <w:r w:rsidRPr="0026759A">
        <w:rPr>
          <w:rFonts w:ascii="Times New Roman" w:eastAsia="Times New Roman" w:hAnsi="Times New Roman" w:cs="Times New Roman"/>
          <w:b/>
          <w:bCs/>
          <w:sz w:val="24"/>
          <w:szCs w:val="24"/>
          <w:highlight w:val="white"/>
        </w:rPr>
        <w:t xml:space="preserve">Supplemental Figure </w:t>
      </w:r>
      <w:r>
        <w:rPr>
          <w:rFonts w:ascii="Times New Roman" w:eastAsia="Times New Roman" w:hAnsi="Times New Roman" w:cs="Times New Roman"/>
          <w:b/>
          <w:bCs/>
          <w:sz w:val="24"/>
          <w:szCs w:val="24"/>
          <w:highlight w:val="white"/>
        </w:rPr>
        <w:t>1</w:t>
      </w:r>
    </w:p>
    <w:p w14:paraId="41214237" w14:textId="77777777" w:rsidR="00D35436" w:rsidRDefault="00D35436" w:rsidP="00D35436">
      <w:pPr>
        <w:pStyle w:val="EndNoteBibliography"/>
        <w:rPr>
          <w:rFonts w:ascii="Times New Roman" w:eastAsia="Times New Roman" w:hAnsi="Times New Roman" w:cs="Times New Roman"/>
          <w:sz w:val="24"/>
          <w:szCs w:val="24"/>
          <w:highlight w:val="white"/>
        </w:rPr>
      </w:pPr>
      <w:r>
        <w:drawing>
          <wp:inline distT="0" distB="0" distL="0" distR="0" wp14:anchorId="17BB2F17" wp14:editId="030A44D3">
            <wp:extent cx="5505450" cy="5205758"/>
            <wp:effectExtent l="0" t="0" r="0" b="0"/>
            <wp:docPr id="1" name="Picture 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schematic&#10;&#10;Description automatically generated"/>
                    <pic:cNvPicPr/>
                  </pic:nvPicPr>
                  <pic:blipFill rotWithShape="1">
                    <a:blip r:embed="rId5"/>
                    <a:srcRect l="10965" t="10824" r="6634" b="11079"/>
                    <a:stretch/>
                  </pic:blipFill>
                  <pic:spPr bwMode="auto">
                    <a:xfrm>
                      <a:off x="0" y="0"/>
                      <a:ext cx="5507036" cy="5207258"/>
                    </a:xfrm>
                    <a:prstGeom prst="rect">
                      <a:avLst/>
                    </a:prstGeom>
                    <a:ln>
                      <a:noFill/>
                    </a:ln>
                    <a:extLst>
                      <a:ext uri="{53640926-AAD7-44D8-BBD7-CCE9431645EC}">
                        <a14:shadowObscured xmlns:a14="http://schemas.microsoft.com/office/drawing/2010/main"/>
                      </a:ext>
                    </a:extLst>
                  </pic:spPr>
                </pic:pic>
              </a:graphicData>
            </a:graphic>
          </wp:inline>
        </w:drawing>
      </w:r>
    </w:p>
    <w:p w14:paraId="33F610FF" w14:textId="77777777" w:rsidR="00D35436" w:rsidRDefault="00D35436" w:rsidP="00D35436">
      <w:pPr>
        <w:pStyle w:val="EndNoteBibliography"/>
        <w:ind w:left="720" w:hanging="720"/>
        <w:rPr>
          <w:rFonts w:ascii="Times New Roman" w:eastAsia="Times New Roman" w:hAnsi="Times New Roman" w:cs="Times New Roman"/>
          <w:b/>
          <w:bCs/>
          <w:sz w:val="24"/>
          <w:szCs w:val="24"/>
          <w:highlight w:val="white"/>
        </w:rPr>
      </w:pPr>
    </w:p>
    <w:p w14:paraId="01F6D863" w14:textId="77777777" w:rsidR="00D35436" w:rsidRDefault="00D35436" w:rsidP="00D35436">
      <w:pPr>
        <w:pStyle w:val="EndNoteBibliography"/>
        <w:ind w:left="720" w:hanging="720"/>
        <w:rPr>
          <w:rFonts w:ascii="Times New Roman" w:eastAsia="Times New Roman" w:hAnsi="Times New Roman" w:cs="Times New Roman"/>
          <w:b/>
          <w:bCs/>
          <w:sz w:val="24"/>
          <w:szCs w:val="24"/>
          <w:highlight w:val="white"/>
        </w:rPr>
      </w:pPr>
      <w:r w:rsidRPr="0026759A">
        <w:rPr>
          <w:rFonts w:ascii="Times New Roman" w:eastAsia="Times New Roman" w:hAnsi="Times New Roman" w:cs="Times New Roman"/>
          <w:b/>
          <w:bCs/>
          <w:sz w:val="24"/>
          <w:szCs w:val="24"/>
          <w:highlight w:val="white"/>
        </w:rPr>
        <w:t xml:space="preserve">Supplemental Figure </w:t>
      </w:r>
      <w:r>
        <w:rPr>
          <w:rFonts w:ascii="Times New Roman" w:eastAsia="Times New Roman" w:hAnsi="Times New Roman" w:cs="Times New Roman"/>
          <w:b/>
          <w:bCs/>
          <w:sz w:val="24"/>
          <w:szCs w:val="24"/>
          <w:highlight w:val="white"/>
        </w:rPr>
        <w:t>1</w:t>
      </w:r>
      <w:r w:rsidRPr="0026759A">
        <w:rPr>
          <w:rFonts w:ascii="Times New Roman" w:eastAsia="Times New Roman" w:hAnsi="Times New Roman" w:cs="Times New Roman"/>
          <w:b/>
          <w:bCs/>
          <w:sz w:val="24"/>
          <w:szCs w:val="24"/>
          <w:highlight w:val="white"/>
        </w:rPr>
        <w:t xml:space="preserve"> –</w:t>
      </w:r>
      <w:r>
        <w:rPr>
          <w:rFonts w:ascii="Times New Roman" w:eastAsia="Times New Roman" w:hAnsi="Times New Roman" w:cs="Times New Roman"/>
          <w:sz w:val="24"/>
          <w:szCs w:val="24"/>
          <w:highlight w:val="white"/>
        </w:rPr>
        <w:t xml:space="preserve"> </w:t>
      </w:r>
      <w:r w:rsidRPr="00A77DCF">
        <w:rPr>
          <w:rFonts w:ascii="Times New Roman" w:eastAsia="Times New Roman" w:hAnsi="Times New Roman" w:cs="Times New Roman"/>
          <w:b/>
          <w:bCs/>
          <w:sz w:val="24"/>
          <w:szCs w:val="24"/>
          <w:highlight w:val="white"/>
        </w:rPr>
        <w:t>Relatedness of all VDPV2 sequ</w:t>
      </w:r>
      <w:r>
        <w:rPr>
          <w:rFonts w:ascii="Times New Roman" w:eastAsia="Times New Roman" w:hAnsi="Times New Roman" w:cs="Times New Roman"/>
          <w:b/>
          <w:bCs/>
          <w:sz w:val="24"/>
          <w:szCs w:val="24"/>
          <w:highlight w:val="white"/>
        </w:rPr>
        <w:t>e</w:t>
      </w:r>
      <w:r w:rsidRPr="00A77DCF">
        <w:rPr>
          <w:rFonts w:ascii="Times New Roman" w:eastAsia="Times New Roman" w:hAnsi="Times New Roman" w:cs="Times New Roman"/>
          <w:b/>
          <w:bCs/>
          <w:sz w:val="24"/>
          <w:szCs w:val="24"/>
          <w:highlight w:val="white"/>
        </w:rPr>
        <w:t>nces detected by either DDNS</w:t>
      </w:r>
    </w:p>
    <w:p w14:paraId="75D807F5" w14:textId="77777777" w:rsidR="00D35436" w:rsidRDefault="00D35436" w:rsidP="00D35436">
      <w:pPr>
        <w:pStyle w:val="EndNoteBibliography"/>
        <w:ind w:left="720" w:hanging="720"/>
        <w:rPr>
          <w:rFonts w:ascii="Times New Roman" w:eastAsia="Times New Roman" w:hAnsi="Times New Roman" w:cs="Times New Roman"/>
          <w:sz w:val="24"/>
          <w:szCs w:val="24"/>
          <w:highlight w:val="white"/>
        </w:rPr>
      </w:pPr>
      <w:r w:rsidRPr="00A77DCF">
        <w:rPr>
          <w:rFonts w:ascii="Times New Roman" w:eastAsia="Times New Roman" w:hAnsi="Times New Roman" w:cs="Times New Roman"/>
          <w:b/>
          <w:bCs/>
          <w:sz w:val="24"/>
          <w:szCs w:val="24"/>
          <w:highlight w:val="white"/>
        </w:rPr>
        <w:t>or the cell-culture and Sanger sequencing during the study period.</w:t>
      </w:r>
      <w:r w:rsidRPr="0026759A">
        <w:rPr>
          <w:rFonts w:ascii="Times New Roman" w:eastAsia="Times New Roman" w:hAnsi="Times New Roman" w:cs="Times New Roman"/>
          <w:b/>
          <w:bCs/>
          <w:sz w:val="24"/>
          <w:szCs w:val="24"/>
          <w:highlight w:val="white"/>
        </w:rPr>
        <w:t xml:space="preserve"> </w:t>
      </w:r>
      <w:r>
        <w:rPr>
          <w:rFonts w:ascii="Times New Roman" w:eastAsia="Times New Roman" w:hAnsi="Times New Roman" w:cs="Times New Roman"/>
          <w:sz w:val="24"/>
          <w:szCs w:val="24"/>
          <w:highlight w:val="white"/>
        </w:rPr>
        <w:t xml:space="preserve">The distance between </w:t>
      </w:r>
    </w:p>
    <w:p w14:paraId="7BB63278" w14:textId="77777777" w:rsidR="00D35436" w:rsidRDefault="00D35436" w:rsidP="00D35436">
      <w:pPr>
        <w:pStyle w:val="EndNoteBibliography"/>
        <w:ind w:left="720" w:hanging="720"/>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samples was calculated using the ape package in R, using the </w:t>
      </w:r>
      <w:r w:rsidRPr="0026759A">
        <w:rPr>
          <w:rFonts w:ascii="Times New Roman" w:eastAsia="Times New Roman" w:hAnsi="Times New Roman" w:cs="Times New Roman"/>
          <w:sz w:val="24"/>
          <w:szCs w:val="24"/>
        </w:rPr>
        <w:t>TN93</w:t>
      </w:r>
      <w:r>
        <w:rPr>
          <w:rFonts w:ascii="Times New Roman" w:eastAsia="Times New Roman" w:hAnsi="Times New Roman" w:cs="Times New Roman"/>
          <w:sz w:val="24"/>
          <w:szCs w:val="24"/>
        </w:rPr>
        <w:t xml:space="preserve"> evolutionary model.</w:t>
      </w:r>
    </w:p>
    <w:p w14:paraId="6210FF5B" w14:textId="77777777" w:rsidR="00D35436" w:rsidRDefault="00D35436"/>
    <w:sectPr w:rsidR="00D354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088"/>
    <w:rsid w:val="00026FDB"/>
    <w:rsid w:val="00D35436"/>
    <w:rsid w:val="00D90088"/>
    <w:rsid w:val="00F061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BC314"/>
  <w15:chartTrackingRefBased/>
  <w15:docId w15:val="{FAD4950A-A164-4A80-A738-3C207F7A0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F061AF"/>
    <w:pPr>
      <w:spacing w:after="0" w:line="240" w:lineRule="auto"/>
    </w:pPr>
    <w:rPr>
      <w:rFonts w:ascii="Arial" w:eastAsia="Arial" w:hAnsi="Arial" w:cs="Arial"/>
      <w:noProof/>
      <w:lang w:eastAsia="en-GB"/>
    </w:rPr>
  </w:style>
  <w:style w:type="character" w:customStyle="1" w:styleId="EndNoteBibliographyChar">
    <w:name w:val="EndNote Bibliography Char"/>
    <w:basedOn w:val="DefaultParagraphFont"/>
    <w:link w:val="EndNoteBibliography"/>
    <w:rsid w:val="00F061AF"/>
    <w:rPr>
      <w:rFonts w:ascii="Arial" w:eastAsia="Arial" w:hAnsi="Arial" w:cs="Arial"/>
      <w:noProof/>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287</Words>
  <Characters>1636</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 Alexander G</dc:creator>
  <cp:keywords/>
  <dc:description/>
  <cp:lastModifiedBy>Shaw, Alexander G</cp:lastModifiedBy>
  <cp:revision>3</cp:revision>
  <dcterms:created xsi:type="dcterms:W3CDTF">2023-02-28T13:50:00Z</dcterms:created>
  <dcterms:modified xsi:type="dcterms:W3CDTF">2023-02-28T13:59:00Z</dcterms:modified>
</cp:coreProperties>
</file>