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4A46E" w14:textId="77777777" w:rsidR="00A93D43" w:rsidRPr="00AD29AB" w:rsidRDefault="00A93D43" w:rsidP="00A93D43">
      <w:pPr>
        <w:pStyle w:val="Heading1"/>
        <w:rPr>
          <w:rFonts w:eastAsia="Times New Roman" w:cs="Times New Roman"/>
          <w:sz w:val="48"/>
          <w:szCs w:val="48"/>
          <w:lang w:eastAsia="en-ZA"/>
        </w:rPr>
      </w:pPr>
      <w:r w:rsidRPr="00AD29AB">
        <w:rPr>
          <w:rFonts w:eastAsia="Times New Roman"/>
          <w:lang w:eastAsia="en-ZA"/>
        </w:rPr>
        <w:t>Appendix 2: Sample collection, laboratory procedures, and DNA sequencing </w:t>
      </w:r>
    </w:p>
    <w:p w14:paraId="146508D3" w14:textId="77777777" w:rsidR="00A93D43" w:rsidRPr="00AD29AB" w:rsidRDefault="00A93D43" w:rsidP="00A93D43">
      <w:pPr>
        <w:rPr>
          <w:rFonts w:cs="Times New Roman"/>
          <w:lang w:eastAsia="en-ZA"/>
        </w:rPr>
      </w:pPr>
      <w:r w:rsidRPr="00AD29AB">
        <w:rPr>
          <w:lang w:eastAsia="en-ZA"/>
        </w:rPr>
        <w:t>Tissue sampling of 197 birds of 72 species, and 89 bats of 15 species was undertaken across south-eastern South Africa (29.42°S 21.29°E, 35.05°S 31.51°E) from 2017-2018 as part of the Eastern Cape Forest Biodiversity Project. These samples represent 40 novel bird species barcodes (57 new to South Africa) and 7 novel bat species barcodes (9 new to South Africa). </w:t>
      </w:r>
    </w:p>
    <w:p w14:paraId="031039AF" w14:textId="77777777" w:rsidR="00A93D43" w:rsidRPr="00AD29AB" w:rsidRDefault="00A93D43" w:rsidP="00A93D43">
      <w:pPr>
        <w:rPr>
          <w:rFonts w:cs="Times New Roman"/>
          <w:lang w:eastAsia="en-ZA"/>
        </w:rPr>
      </w:pPr>
      <w:r w:rsidRPr="00AD29AB">
        <w:rPr>
          <w:lang w:eastAsia="en-ZA"/>
        </w:rPr>
        <w:t>Mist-netting was primarily used for bat (14x14 mm monofilament mesh) and bird (16x16 mm polyfilament mesh) capture, with mist-nets operated only under amicable conditions, and inspected half-hourly during sampling to ensure animal safety. Captured individuals were measured, banded (only in the case of captured birds), and sampled as either 20-50 μL blood from the brachial vein from birds, or as 2-mm wing punches from bats, prior to prompt release on site in compliance with South African regulations (see Acknowledgements for ethical clearance and permit numbers). Tissue samples were stored in 95 % ethanol. </w:t>
      </w:r>
    </w:p>
    <w:p w14:paraId="20819670" w14:textId="708F2D2C" w:rsidR="00A93D43" w:rsidRPr="00AD29AB" w:rsidRDefault="00A93D43" w:rsidP="00A93D43">
      <w:pPr>
        <w:rPr>
          <w:rFonts w:cs="Times New Roman"/>
          <w:lang w:eastAsia="en-ZA"/>
        </w:rPr>
      </w:pPr>
      <w:r w:rsidRPr="00AD29AB">
        <w:rPr>
          <w:lang w:eastAsia="en-ZA"/>
        </w:rPr>
        <w:t xml:space="preserve">DNA was extracted following the NucleoSpin DNA protocol (Macherey-Nagel, Düren, Germany). COI sequences were amplified using polymerase chain reaction (PCR) using the universal COI primers LCO1490/ HCO2198 </w:t>
      </w:r>
      <w:r w:rsidR="0019694F">
        <w:rPr>
          <w:lang w:eastAsia="en-ZA"/>
        </w:rPr>
        <w:fldChar w:fldCharType="begin" w:fldLock="1"/>
      </w:r>
      <w:r w:rsidR="0019694F">
        <w:rPr>
          <w:lang w:eastAsia="en-ZA"/>
        </w:rPr>
        <w:instrText>ADDIN CSL_CITATION {"citationItems":[{"id":"ITEM-1","itemData":{"author":[{"dropping-particle":"","family":"Folmer","given":"O","non-dropping-particle":"","parse-names":false,"suffix":""},{"dropping-particle":"","family":"Black","given":"M","non-dropping-particle":"","parse-names":false,"suffix":""},{"dropping-particle":"","family":"Hoeh","given":"W","non-dropping-particle":"","parse-names":false,"suffix":""},{"dropping-particle":"","family":"Lutz","given":"R","non-dropping-particle":"","parse-names":false,"suffix":""},{"dropping-particle":"","family":"Vrijenhoek","given":"R","non-dropping-particle":"","parse-names":false,"suffix":""}],"container-title":"Molecular Marine Biology and Biotechnology","id":"ITEM-1","issued":{"date-parts":[["1994"]]},"page":"294-299","publisher":"PMID","title":"DNA primers for amplification of mitochondrial cytochrome c oxidase subunit I from diverse metazoan invertebrates","type":"article-journal","volume":"3"},"uris":["http://www.mendeley.com/documents/?uuid=bfaeab12-aba4-4e9d-93f1-98a71702054c"]}],"mendeley":{"formattedCitation":"(Folmer et al., 1994)","plainTextFormattedCitation":"(Folmer et al., 1994)","previouslyFormattedCitation":"(Folmer et al., 1994)"},"properties":{"noteIndex":0},"schema":"https://github.com/citation-style-language/schema/raw/master/csl-citation.json"}</w:instrText>
      </w:r>
      <w:r w:rsidR="0019694F">
        <w:rPr>
          <w:lang w:eastAsia="en-ZA"/>
        </w:rPr>
        <w:fldChar w:fldCharType="separate"/>
      </w:r>
      <w:r w:rsidR="0019694F" w:rsidRPr="0019694F">
        <w:rPr>
          <w:noProof/>
          <w:lang w:eastAsia="en-ZA"/>
        </w:rPr>
        <w:t>(Folmer et al., 1994)</w:t>
      </w:r>
      <w:r w:rsidR="0019694F">
        <w:rPr>
          <w:lang w:eastAsia="en-ZA"/>
        </w:rPr>
        <w:fldChar w:fldCharType="end"/>
      </w:r>
      <w:r w:rsidRPr="00AD29AB">
        <w:rPr>
          <w:lang w:eastAsia="en-ZA"/>
        </w:rPr>
        <w:t xml:space="preserve"> for bats, and standard avian primers BirdF1/BirdR1 </w:t>
      </w:r>
      <w:r w:rsidR="0019694F">
        <w:rPr>
          <w:lang w:eastAsia="en-ZA"/>
        </w:rPr>
        <w:fldChar w:fldCharType="begin" w:fldLock="1"/>
      </w:r>
      <w:r w:rsidR="004627FC">
        <w:rPr>
          <w:lang w:eastAsia="en-ZA"/>
        </w:rPr>
        <w:instrText>ADDIN CSL_CITATION {"citationItems":[{"id":"ITEM-1","itemData":{"DOI":"10.1371/journal.pbio.0020312","ISSN":"15449173","PMID":"15455034","abstract":"Short DNA sequences from a standardized region of the genome provide a DNA barcode for identifying species. Compiling a public library of DNA barcodes linked to named specimens could provide a new master key for identifying species, one whose power will rise with increased taxon coverage and with faster, cheaper sequencing. Recent work suggests that sequence diversity in a 648-bp region of the mitochondrial gene, cytochrome c oxidase I (COI), might serve as a DNA barcode for the identification of animal species. This study tested the effectiveness of a COI barcode in discriminating bird species, one of the largest and best-studied vertebrate groups. We determined COI barcodes for 260 species of North American birds and found that distinguishing species was generally straightforward. All species had a different COI barcode(s), and the differences between closely related species were, on average, 18 times higher than the differences within species. Our results identified four probable new species of North American birds, suggesting that a global survey will lead to the recognition of many additional bird species. The finding of large COI sequence differences between, as compared to small differences within, species confirms the effectiveness of COI barcodes for the identification of bird species. This result plus those from other groups of animals imply that a standard screening threshold of sequence difference (10x average intraspecific difference) could speed the discovery of new animal species. The growing evidence for the effectiveness of DNA barcodes as a basis for species identification supports an international exercise that has recently begun to assemble a comprehensive library of COI sequences linked to named specimens.","author":[{"dropping-particle":"","family":"Hebert","given":"Paul D.N.","non-dropping-particle":"","parse-names":false,"suffix":""},{"dropping-particle":"","family":"Stoeckle","given":"Mark Y.","non-dropping-particle":"","parse-names":false,"suffix":""},{"dropping-particle":"","family":"Zemlak","given":"Tyler S.","non-dropping-particle":"","parse-names":false,"suffix":""},{"dropping-particle":"","family":"Francis","given":"Charles M.","non-dropping-particle":"","parse-names":false,"suffix":""}],"container-title":"PLoS Biology","id":"ITEM-1","issue":"10","issued":{"date-parts":[["2004"]]},"page":"e312","title":"Identification of birds through DNA barcodes","type":"article-journal","volume":"2"},"uris":["http://www.mendeley.com/documents/?uuid=5c9596d2-bc71-4a2d-9a93-d1f31ea59678"]}],"mendeley":{"formattedCitation":"(Hebert et al., 2004)","plainTextFormattedCitation":"(Hebert et al., 2004)","previouslyFormattedCitation":"(Hebert et al., 2004)"},"properties":{"noteIndex":0},"schema":"https://github.com/citation-style-language/schema/raw/master/csl-citation.json"}</w:instrText>
      </w:r>
      <w:r w:rsidR="0019694F">
        <w:rPr>
          <w:lang w:eastAsia="en-ZA"/>
        </w:rPr>
        <w:fldChar w:fldCharType="separate"/>
      </w:r>
      <w:r w:rsidR="0019694F" w:rsidRPr="0019694F">
        <w:rPr>
          <w:noProof/>
          <w:lang w:eastAsia="en-ZA"/>
        </w:rPr>
        <w:t>(Hebert et al., 2004)</w:t>
      </w:r>
      <w:r w:rsidR="0019694F">
        <w:rPr>
          <w:lang w:eastAsia="en-ZA"/>
        </w:rPr>
        <w:fldChar w:fldCharType="end"/>
      </w:r>
      <w:r w:rsidR="0019694F">
        <w:rPr>
          <w:lang w:eastAsia="en-ZA"/>
        </w:rPr>
        <w:t xml:space="preserve"> </w:t>
      </w:r>
      <w:r w:rsidRPr="00AD29AB">
        <w:rPr>
          <w:lang w:eastAsia="en-ZA"/>
        </w:rPr>
        <w:t xml:space="preserve">and PasserF1/PasserR1 </w:t>
      </w:r>
      <w:r w:rsidR="0019694F">
        <w:rPr>
          <w:lang w:eastAsia="en-ZA"/>
        </w:rPr>
        <w:fldChar w:fldCharType="begin" w:fldLock="1"/>
      </w:r>
      <w:r w:rsidR="0019694F">
        <w:rPr>
          <w:lang w:eastAsia="en-ZA"/>
        </w:rPr>
        <w:instrText>ADDIN CSL_CITATION {"citationItems":[{"id":"ITEM-1","itemData":{"DOI":"10.1111/j.1755-0998.2008.02221.x","ISSN":"1755098X","abstract":"The All Birds Barcoding Initiative aims to assemble a DNA barcode database for all bird species, but the 648-bp 'barcoding' region of cytochrome c oxidase subunit I (COI) can be difficult to amplify in Southeast Asian perching birds (Aves: Passeriformes). Using COI sequences from complete mitochondrial genomes, we designed a primer pair that more reliably amplifies and sequences the COI barcoding region of Southeast Asian passerine birds. The 655-bp region amplified with these primers overlaps the COI region amplified with other barcoding primer pairs, enabling direct comparison of sequences with previously published DNA barcodes. © 2008 The Authors.","author":[{"dropping-particle":"","family":"Lohman","given":"David J.","non-dropping-particle":"","parse-names":false,"suffix":""},{"dropping-particle":"","family":"Prawiradilaga","given":"Dewi M.","non-dropping-particle":"","parse-names":false,"suffix":""},{"dropping-particle":"","family":"Meier","given":"Rudolf","non-dropping-particle":"","parse-names":false,"suffix":""}],"container-title":"Molecular Ecology Resources","id":"ITEM-1","issue":"1","issued":{"date-parts":[["2009"]]},"page":"37-40","title":"Improved COI barcoding primers for Southeast Asian perching birds (Aves: Passeriformes)","type":"article-journal","volume":"9"},"uris":["http://www.mendeley.com/documents/?uuid=4ecde76d-e176-4dc6-995c-43ce166c22e0"]}],"mendeley":{"formattedCitation":"(Lohman et al., 2009)","plainTextFormattedCitation":"(Lohman et al., 2009)","previouslyFormattedCitation":"(Lohman et al., 2009)"},"properties":{"noteIndex":0},"schema":"https://github.com/citation-style-language/schema/raw/master/csl-citation.json"}</w:instrText>
      </w:r>
      <w:r w:rsidR="0019694F">
        <w:rPr>
          <w:lang w:eastAsia="en-ZA"/>
        </w:rPr>
        <w:fldChar w:fldCharType="separate"/>
      </w:r>
      <w:r w:rsidR="0019694F" w:rsidRPr="0019694F">
        <w:rPr>
          <w:noProof/>
          <w:lang w:eastAsia="en-ZA"/>
        </w:rPr>
        <w:t>(Lohman et al., 2009)</w:t>
      </w:r>
      <w:r w:rsidR="0019694F">
        <w:rPr>
          <w:lang w:eastAsia="en-ZA"/>
        </w:rPr>
        <w:fldChar w:fldCharType="end"/>
      </w:r>
      <w:r w:rsidRPr="00AD29AB">
        <w:rPr>
          <w:lang w:eastAsia="en-ZA"/>
        </w:rPr>
        <w:t xml:space="preserve"> for birds. PCR thermocycling for each primer pair involved an initial denaturation of 5 min at 94 °C, followed by a thermocycling phase of 30 s at 94 °C, 30 s at </w:t>
      </w:r>
      <w:r w:rsidRPr="00AD29AB">
        <w:rPr>
          <w:i/>
          <w:iCs/>
          <w:lang w:eastAsia="en-ZA"/>
        </w:rPr>
        <w:t>T</w:t>
      </w:r>
      <w:r w:rsidRPr="00AF46E5">
        <w:rPr>
          <w:i/>
          <w:iCs/>
          <w:vertAlign w:val="subscript"/>
        </w:rPr>
        <w:t>ANNEAL</w:t>
      </w:r>
      <w:r w:rsidRPr="00AD29AB">
        <w:rPr>
          <w:lang w:eastAsia="en-ZA"/>
        </w:rPr>
        <w:t xml:space="preserve">, and 30 s at 72 °C, with a final extension phase of 7 min at 72°C. The PCR parameters for each primer pair are provided in the table below; see </w:t>
      </w:r>
      <w:r w:rsidR="004627FC">
        <w:rPr>
          <w:lang w:eastAsia="en-ZA"/>
        </w:rPr>
        <w:fldChar w:fldCharType="begin" w:fldLock="1"/>
      </w:r>
      <w:r w:rsidR="004627FC">
        <w:rPr>
          <w:lang w:eastAsia="en-ZA"/>
        </w:rPr>
        <w:instrText>ADDIN CSL_CITATION {"citationItems":[{"id":"ITEM-1","itemData":{"ISSN":"1508-1109","author":[{"dropping-particle":"","family":"Moir","given":"Monika I","non-dropping-particle":"","parse-names":false,"suffix":""},{"dropping-particle":"","family":"Richards","given":"Leigh R","non-dropping-particle":"","parse-names":false,"suffix":""},{"dropping-particle":"V","family":"Rambau","given":"Ramugondo","non-dropping-particle":"","parse-names":false,"suffix":""},{"dropping-particle":"","family":"Cherry","given":"Michael I","non-dropping-particle":"","parse-names":false,"suffix":""}],"container-title":"Acta Chiropterologica","id":"ITEM-1","issue":"2","issued":{"date-parts":[["2020"]]},"page":"365-381","publisher":"Museum and Institute of Zoology, Polish Academy of Sciences","title":"Bats of Eastern Cape and southern KwaZulu-Natal forests, South Africa: diversity, call library and range extensions","type":"article-journal","volume":"22"},"uris":["http://www.mendeley.com/documents/?uuid=f8ed64ca-2d47-4ff6-9ed6-642df110634b"]}],"mendeley":{"formattedCitation":"(Moir et al., 2020)","manualFormatting":"Moir et al. (2020)","plainTextFormattedCitation":"(Moir et al., 2020)","previouslyFormattedCitation":"(Moir et al., 2020)"},"properties":{"noteIndex":0},"schema":"https://github.com/citation-style-language/schema/raw/master/csl-citation.json"}</w:instrText>
      </w:r>
      <w:r w:rsidR="004627FC">
        <w:rPr>
          <w:lang w:eastAsia="en-ZA"/>
        </w:rPr>
        <w:fldChar w:fldCharType="separate"/>
      </w:r>
      <w:r w:rsidR="004627FC" w:rsidRPr="004627FC">
        <w:rPr>
          <w:noProof/>
          <w:lang w:eastAsia="en-ZA"/>
        </w:rPr>
        <w:t>Moir et al.</w:t>
      </w:r>
      <w:r w:rsidR="004627FC">
        <w:rPr>
          <w:noProof/>
          <w:lang w:eastAsia="en-ZA"/>
        </w:rPr>
        <w:t xml:space="preserve"> (</w:t>
      </w:r>
      <w:r w:rsidR="004627FC" w:rsidRPr="004627FC">
        <w:rPr>
          <w:noProof/>
          <w:lang w:eastAsia="en-ZA"/>
        </w:rPr>
        <w:t>2020)</w:t>
      </w:r>
      <w:r w:rsidR="004627FC">
        <w:rPr>
          <w:lang w:eastAsia="en-ZA"/>
        </w:rPr>
        <w:fldChar w:fldCharType="end"/>
      </w:r>
      <w:r w:rsidRPr="00AD29AB">
        <w:rPr>
          <w:lang w:eastAsia="en-ZA"/>
        </w:rPr>
        <w:t xml:space="preserve"> for additional details regarding bat DNA barcode generation. </w:t>
      </w:r>
    </w:p>
    <w:p w14:paraId="0D27FD96" w14:textId="77777777" w:rsidR="00A93D43" w:rsidRPr="00AD29AB" w:rsidRDefault="00A93D43" w:rsidP="00A93D43">
      <w:pPr>
        <w:rPr>
          <w:rFonts w:cs="Times New Roman"/>
          <w:lang w:eastAsia="en-ZA"/>
        </w:rPr>
      </w:pPr>
      <w:r w:rsidRPr="00AD29AB">
        <w:rPr>
          <w:lang w:eastAsia="en-ZA"/>
        </w:rPr>
        <w:t>All PCRs were performed in 25 µL volumes containing 16.4 µL of deionized water, 2.5 µL of 25 mM MgCl</w:t>
      </w:r>
      <w:r w:rsidRPr="00AD29AB">
        <w:rPr>
          <w:sz w:val="14"/>
          <w:szCs w:val="14"/>
          <w:vertAlign w:val="subscript"/>
          <w:lang w:eastAsia="en-ZA"/>
        </w:rPr>
        <w:t>2</w:t>
      </w:r>
      <w:r w:rsidRPr="00AD29AB">
        <w:rPr>
          <w:lang w:eastAsia="en-ZA"/>
        </w:rPr>
        <w:t>, 2.5 µL of 10×Mg</w:t>
      </w:r>
      <w:r w:rsidRPr="00AD29AB">
        <w:rPr>
          <w:sz w:val="14"/>
          <w:szCs w:val="14"/>
          <w:vertAlign w:val="superscript"/>
          <w:lang w:eastAsia="en-ZA"/>
        </w:rPr>
        <w:t>2+</w:t>
      </w:r>
      <w:r w:rsidRPr="00AD29AB">
        <w:rPr>
          <w:lang w:eastAsia="en-ZA"/>
        </w:rPr>
        <w:t xml:space="preserve">-free buffer, 0.5 µL of a 10 mM dNTP solution, 0.5 µL of 10 mM primer pairs, 0.1 µL of </w:t>
      </w:r>
      <w:r w:rsidRPr="00AD29AB">
        <w:rPr>
          <w:i/>
          <w:iCs/>
          <w:lang w:eastAsia="en-ZA"/>
        </w:rPr>
        <w:t>Taq</w:t>
      </w:r>
      <w:r w:rsidRPr="00AD29AB">
        <w:rPr>
          <w:lang w:eastAsia="en-ZA"/>
        </w:rPr>
        <w:t xml:space="preserve"> polymerase, and 2.0 µL template DNA. </w:t>
      </w:r>
    </w:p>
    <w:p w14:paraId="52381D7C" w14:textId="706F95EA" w:rsidR="007C1182" w:rsidRDefault="00A93D43" w:rsidP="00A93D43">
      <w:pPr>
        <w:rPr>
          <w:lang w:eastAsia="en-ZA"/>
        </w:rPr>
      </w:pPr>
      <w:r w:rsidRPr="00AD29AB">
        <w:rPr>
          <w:lang w:eastAsia="en-ZA"/>
        </w:rPr>
        <w:t xml:space="preserve">PCR products were visualised alongside negative controls on 1 % agarose gels, and purified using a BioSpin Gel Extraction Kit protocol (Bioer Technology, China) prior to being Sanger sequenced on an ABI 3730xl device (Central Analytical Facility, Stellenbosch University). Sequences were screened for base ambiguity in GENEIOUS 7.1.4 (©Biomatters) and aligned with CLUSTAL X </w:t>
      </w:r>
      <w:r w:rsidR="004627FC">
        <w:rPr>
          <w:lang w:eastAsia="en-ZA"/>
        </w:rPr>
        <w:fldChar w:fldCharType="begin" w:fldLock="1"/>
      </w:r>
      <w:r w:rsidR="004627FC">
        <w:rPr>
          <w:lang w:eastAsia="en-ZA"/>
        </w:rPr>
        <w:instrText>ADDIN CSL_CITATION {"citationItems":[{"id":"ITEM-1","itemData":{"DOI":"10.1093/bioinformatics/btm404","ISSN":"13674803","PMID":"17846036","abstract":"Summary: The Clustal W and Clustal X multiple sequence alignment programs have been completely rewritten in C++. This will facilitate the further development of the alignment algorithms in the future and has allowed proper porting of the programs to the latest versions of Linux, Macintosh and Windows operating systems. © The Author 2007. Published by Oxford University Press. All rights reserved.","author":[{"dropping-particle":"","family":"Larkin","given":"M. A.","non-dropping-particle":"","parse-names":false,"suffix":""},{"dropping-particle":"","family":"Blackshields","given":"G.","non-dropping-particle":"","parse-names":false,"suffix":""},{"dropping-particle":"","family":"Brown","given":"N. P.","non-dropping-particle":"","parse-names":false,"suffix":""},{"dropping-particle":"","family":"Chenna","given":"R.","non-dropping-particle":"","parse-names":false,"suffix":""},{"dropping-particle":"","family":"Mcgettigan","given":"P. A.","non-dropping-particle":"","parse-names":false,"suffix":""},{"dropping-particle":"","family":"McWilliam","given":"H.","non-dropping-particle":"","parse-names":false,"suffix":""},{"dropping-particle":"","family":"Valentin","given":"F.","non-dropping-particle":"","parse-names":false,"suffix":""},{"dropping-particle":"","family":"Wallace","given":"I. M.","non-dropping-particle":"","parse-names":false,"suffix":""},{"dropping-particle":"","family":"Wilm","given":"A.","non-dropping-particle":"","parse-names":false,"suffix":""},{"dropping-particle":"","family":"Lopez","given":"R.","non-dropping-particle":"","parse-names":false,"suffix":""},{"dropping-particle":"","family":"Thompson","given":"J. D.","non-dropping-particle":"","parse-names":false,"suffix":""},{"dropping-particle":"","family":"Gibson","given":"T. J.","non-dropping-particle":"","parse-names":false,"suffix":""},{"dropping-particle":"","family":"Higgins","given":"D. G.","non-dropping-particle":"","parse-names":false,"suffix":""}],"container-title":"Bioinformatics","id":"ITEM-1","issue":"21","issued":{"date-parts":[["2007"]]},"page":"2947-2948","title":"Clustal W and Clustal X version 2.0","type":"article-journal","volume":"23"},"uris":["http://www.mendeley.com/documents/?uuid=aa4e4210-f277-46c8-b95a-6fc898a45354"]}],"mendeley":{"formattedCitation":"(Larkin et al., 2007)","plainTextFormattedCitation":"(Larkin et al., 2007)","previouslyFormattedCitation":"(Larkin et al., 2007)"},"properties":{"noteIndex":0},"schema":"https://github.com/citation-style-language/schema/raw/master/csl-citation.json"}</w:instrText>
      </w:r>
      <w:r w:rsidR="004627FC">
        <w:rPr>
          <w:lang w:eastAsia="en-ZA"/>
        </w:rPr>
        <w:fldChar w:fldCharType="separate"/>
      </w:r>
      <w:r w:rsidR="004627FC" w:rsidRPr="004627FC">
        <w:rPr>
          <w:noProof/>
          <w:lang w:eastAsia="en-ZA"/>
        </w:rPr>
        <w:t>(Larkin et al., 2007)</w:t>
      </w:r>
      <w:r w:rsidR="004627FC">
        <w:rPr>
          <w:lang w:eastAsia="en-ZA"/>
        </w:rPr>
        <w:fldChar w:fldCharType="end"/>
      </w:r>
      <w:r w:rsidRPr="00AD29AB">
        <w:rPr>
          <w:lang w:eastAsia="en-ZA"/>
        </w:rPr>
        <w:t xml:space="preserve"> in the same software. The new COI sequences of 648 bp were deposited to the ‘Foundational Biodiversity Eastern Cape’ project in the Barcode Of Life Data System v4 (BOLD) repository </w:t>
      </w:r>
      <w:r w:rsidR="004627FC">
        <w:rPr>
          <w:lang w:eastAsia="en-ZA"/>
        </w:rPr>
        <w:fldChar w:fldCharType="begin" w:fldLock="1"/>
      </w:r>
      <w:r w:rsidR="004627FC">
        <w:rPr>
          <w:lang w:eastAsia="en-ZA"/>
        </w:rPr>
        <w:instrText>ADDIN CSL_CITATION {"citationItems":[{"id":"ITEM-1","itemData":{"DOI":"10.1111/j.1471-8286.2006.01678.x","abstract":"The Barcode of Life Data System ( BOLD ) is an informatics workbench aiding the acquisition, storage, analysis and publication of DNA barcode records. By assembling molecular, morphological and distributional data, it bridges a traditional bioinformatics chasm. BOLD is freely available to any researcher with interests in DNA barcoding. By providing specialized services, it aids the assembly of records that meet the standards needed to gain BARCODE designation in the global sequence databases. Because of its web-based delivery and flexible data security model, it is also well positioned to support projects that involve broad research alliances. This paper provides a brief introduction to the key elements of BOLD , dis- cusses their functional capabilities, and concludes by examining computational resources and future prospects.","author":[{"dropping-particle":"","family":"Hebert","given":"Paul D N","non-dropping-particle":"","parse-names":false,"suffix":""},{"dropping-particle":"","family":"Ratnasingham","given":"Sujeevan","non-dropping-particle":"","parse-names":false,"suffix":""}],"container-title":"Molecular Ecology Notes","id":"ITEM-1","issue":"3","issued":{"date-parts":[["2007"]]},"page":"355-364","title":"The Barcode of Life Data System BOLD","type":"article-journal","volume":"7"},"uris":["http://www.mendeley.com/documents/?uuid=4525cf46-d05d-4b8a-b82b-7d106c6064bf"]}],"mendeley":{"formattedCitation":"(Hebert &amp; Ratnasingham, 2007)","manualFormatting":"(Hebert &amp; Ratnasingham, 2007: https://www.boldsystems.org/index.php/)","plainTextFormattedCitation":"(Hebert &amp; Ratnasingham, 2007)"},"properties":{"noteIndex":0},"schema":"https://github.com/citation-style-language/schema/raw/master/csl-citation.json"}</w:instrText>
      </w:r>
      <w:r w:rsidR="004627FC">
        <w:rPr>
          <w:lang w:eastAsia="en-ZA"/>
        </w:rPr>
        <w:fldChar w:fldCharType="separate"/>
      </w:r>
      <w:r w:rsidR="004627FC" w:rsidRPr="004627FC">
        <w:rPr>
          <w:noProof/>
          <w:lang w:eastAsia="en-ZA"/>
        </w:rPr>
        <w:t>(Hebert &amp; Ratnasingham, 2007</w:t>
      </w:r>
      <w:r w:rsidR="004627FC">
        <w:rPr>
          <w:noProof/>
          <w:lang w:eastAsia="en-ZA"/>
        </w:rPr>
        <w:t xml:space="preserve">: </w:t>
      </w:r>
      <w:hyperlink r:id="rId5" w:history="1">
        <w:r w:rsidR="004627FC" w:rsidRPr="00AD29AB">
          <w:rPr>
            <w:color w:val="1155CC"/>
            <w:u w:val="single"/>
            <w:lang w:eastAsia="en-ZA"/>
          </w:rPr>
          <w:t>https://www.boldsystems.org/index.php/</w:t>
        </w:r>
      </w:hyperlink>
      <w:r w:rsidR="004627FC" w:rsidRPr="004627FC">
        <w:rPr>
          <w:noProof/>
          <w:lang w:eastAsia="en-ZA"/>
        </w:rPr>
        <w:t>)</w:t>
      </w:r>
      <w:r w:rsidR="004627FC">
        <w:rPr>
          <w:lang w:eastAsia="en-ZA"/>
        </w:rPr>
        <w:fldChar w:fldCharType="end"/>
      </w:r>
      <w:r w:rsidR="004627FC">
        <w:rPr>
          <w:lang w:eastAsia="en-ZA"/>
        </w:rPr>
        <w:t xml:space="preserve"> </w:t>
      </w:r>
      <w:r w:rsidR="004627FC" w:rsidRPr="004627FC">
        <w:rPr>
          <w:lang w:eastAsia="en-ZA"/>
        </w:rPr>
        <w:t xml:space="preserve">under the </w:t>
      </w:r>
      <w:r w:rsidR="004627FC" w:rsidRPr="004627FC">
        <w:rPr>
          <w:lang w:eastAsia="en-ZA"/>
        </w:rPr>
        <w:lastRenderedPageBreak/>
        <w:t>accession numbers ECBAT001-19 to ECBAT089-19 for bats, and ECFPB001-21 to ECFPB197-21 for birds.</w:t>
      </w:r>
    </w:p>
    <w:p w14:paraId="414E57E3" w14:textId="77777777" w:rsidR="007C1182" w:rsidRPr="00A93D43" w:rsidRDefault="007C1182" w:rsidP="007C1182">
      <w:pPr>
        <w:rPr>
          <w:rFonts w:cs="Times New Roman"/>
          <w:u w:val="single"/>
          <w:lang w:eastAsia="en-ZA"/>
        </w:rPr>
      </w:pPr>
      <w:r w:rsidRPr="00A93D43">
        <w:rPr>
          <w:u w:val="single"/>
          <w:lang w:eastAsia="en-ZA"/>
        </w:rPr>
        <w:t>PCR primers for bat and bird DNA barcodes </w:t>
      </w:r>
    </w:p>
    <w:tbl>
      <w:tblPr>
        <w:tblW w:w="5000" w:type="pct"/>
        <w:tblCellMar>
          <w:top w:w="15" w:type="dxa"/>
          <w:left w:w="15" w:type="dxa"/>
          <w:bottom w:w="15" w:type="dxa"/>
          <w:right w:w="15" w:type="dxa"/>
        </w:tblCellMar>
        <w:tblLook w:val="04A0" w:firstRow="1" w:lastRow="0" w:firstColumn="1" w:lastColumn="0" w:noHBand="0" w:noVBand="1"/>
      </w:tblPr>
      <w:tblGrid>
        <w:gridCol w:w="660"/>
        <w:gridCol w:w="1459"/>
        <w:gridCol w:w="4395"/>
        <w:gridCol w:w="1607"/>
        <w:gridCol w:w="1607"/>
      </w:tblGrid>
      <w:tr w:rsidR="007C1182" w:rsidRPr="00AF46E5" w14:paraId="7D71D26E" w14:textId="77777777" w:rsidTr="002E5614">
        <w:trPr>
          <w:trHeight w:val="57"/>
          <w:tblHeader/>
        </w:trPr>
        <w:tc>
          <w:tcPr>
            <w:tcW w:w="339" w:type="pct"/>
            <w:tcBorders>
              <w:top w:val="single" w:sz="6" w:space="0" w:color="000000"/>
              <w:left w:val="single" w:sz="6" w:space="0" w:color="000000"/>
              <w:bottom w:val="single" w:sz="8" w:space="0" w:color="000000"/>
              <w:right w:val="single" w:sz="8" w:space="0" w:color="000000"/>
            </w:tcBorders>
            <w:shd w:val="clear" w:color="auto" w:fill="CCCCCC"/>
            <w:tcMar>
              <w:top w:w="100" w:type="dxa"/>
              <w:left w:w="100" w:type="dxa"/>
              <w:bottom w:w="100" w:type="dxa"/>
              <w:right w:w="100" w:type="dxa"/>
            </w:tcMar>
            <w:vAlign w:val="bottom"/>
            <w:hideMark/>
          </w:tcPr>
          <w:p w14:paraId="758E8537" w14:textId="77777777" w:rsidR="007C1182" w:rsidRPr="00AF46E5" w:rsidRDefault="007C1182" w:rsidP="002E5614">
            <w:pPr>
              <w:spacing w:before="240" w:after="0"/>
              <w:rPr>
                <w:rFonts w:cs="Times New Roman"/>
                <w:lang w:eastAsia="en-ZA"/>
              </w:rPr>
            </w:pPr>
          </w:p>
        </w:tc>
        <w:tc>
          <w:tcPr>
            <w:tcW w:w="750" w:type="pct"/>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vAlign w:val="center"/>
            <w:hideMark/>
          </w:tcPr>
          <w:p w14:paraId="77998271" w14:textId="77777777" w:rsidR="007C1182" w:rsidRPr="00AF46E5" w:rsidRDefault="007C1182" w:rsidP="002E5614">
            <w:pPr>
              <w:spacing w:before="240" w:after="0"/>
              <w:rPr>
                <w:rFonts w:cs="Times New Roman"/>
                <w:b/>
                <w:bCs/>
                <w:lang w:eastAsia="en-ZA"/>
              </w:rPr>
            </w:pPr>
            <w:r w:rsidRPr="00AF46E5">
              <w:rPr>
                <w:rFonts w:cs="Times New Roman"/>
                <w:b/>
                <w:bCs/>
                <w:color w:val="000000"/>
                <w:sz w:val="22"/>
                <w:lang w:eastAsia="en-ZA"/>
              </w:rPr>
              <w:t>Primer</w:t>
            </w:r>
          </w:p>
        </w:tc>
        <w:tc>
          <w:tcPr>
            <w:tcW w:w="2259" w:type="pct"/>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vAlign w:val="center"/>
            <w:hideMark/>
          </w:tcPr>
          <w:p w14:paraId="572E25CE" w14:textId="77777777" w:rsidR="007C1182" w:rsidRPr="00AF46E5" w:rsidRDefault="007C1182" w:rsidP="002E5614">
            <w:pPr>
              <w:spacing w:before="240" w:after="0"/>
              <w:rPr>
                <w:rFonts w:cs="Times New Roman"/>
                <w:b/>
                <w:bCs/>
                <w:lang w:eastAsia="en-ZA"/>
              </w:rPr>
            </w:pPr>
            <w:r w:rsidRPr="00AF46E5">
              <w:rPr>
                <w:rFonts w:cs="Times New Roman"/>
                <w:b/>
                <w:bCs/>
                <w:color w:val="000000"/>
                <w:sz w:val="22"/>
                <w:lang w:eastAsia="en-ZA"/>
              </w:rPr>
              <w:t>Primer sequence (5′-3′)</w:t>
            </w:r>
          </w:p>
        </w:tc>
        <w:tc>
          <w:tcPr>
            <w:tcW w:w="826" w:type="pct"/>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vAlign w:val="center"/>
            <w:hideMark/>
          </w:tcPr>
          <w:p w14:paraId="206D3A50" w14:textId="77777777" w:rsidR="007C1182" w:rsidRPr="00AF46E5" w:rsidRDefault="007C1182" w:rsidP="002E5614">
            <w:pPr>
              <w:spacing w:before="240" w:after="0"/>
              <w:rPr>
                <w:rFonts w:cs="Times New Roman"/>
                <w:b/>
                <w:bCs/>
                <w:lang w:eastAsia="en-ZA"/>
              </w:rPr>
            </w:pPr>
            <w:r w:rsidRPr="00AF46E5">
              <w:rPr>
                <w:rFonts w:cs="Times New Roman"/>
                <w:b/>
                <w:bCs/>
                <w:color w:val="000000"/>
                <w:sz w:val="22"/>
                <w:lang w:eastAsia="en-ZA"/>
              </w:rPr>
              <w:t>No. cycles</w:t>
            </w:r>
          </w:p>
        </w:tc>
        <w:tc>
          <w:tcPr>
            <w:tcW w:w="826" w:type="pct"/>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vAlign w:val="center"/>
            <w:hideMark/>
          </w:tcPr>
          <w:p w14:paraId="1962C6D0" w14:textId="77777777" w:rsidR="007C1182" w:rsidRPr="00AF46E5" w:rsidRDefault="007C1182" w:rsidP="002E5614">
            <w:pPr>
              <w:spacing w:before="240" w:after="0"/>
              <w:rPr>
                <w:rFonts w:cs="Times New Roman"/>
                <w:b/>
                <w:bCs/>
                <w:lang w:eastAsia="en-ZA"/>
              </w:rPr>
            </w:pPr>
            <w:r w:rsidRPr="00AF46E5">
              <w:rPr>
                <w:rFonts w:cs="Times New Roman"/>
                <w:b/>
                <w:bCs/>
                <w:i/>
                <w:iCs/>
                <w:color w:val="000000"/>
                <w:sz w:val="22"/>
                <w:lang w:eastAsia="en-ZA"/>
              </w:rPr>
              <w:t>T</w:t>
            </w:r>
            <w:r w:rsidRPr="00AF46E5">
              <w:rPr>
                <w:rFonts w:cs="Times New Roman"/>
                <w:b/>
                <w:bCs/>
                <w:i/>
                <w:iCs/>
                <w:vertAlign w:val="subscript"/>
              </w:rPr>
              <w:t>ANNEAL</w:t>
            </w:r>
            <w:r w:rsidRPr="00AF46E5">
              <w:rPr>
                <w:rFonts w:cs="Times New Roman"/>
                <w:b/>
                <w:bCs/>
                <w:i/>
                <w:iCs/>
                <w:color w:val="000000"/>
                <w:sz w:val="13"/>
                <w:szCs w:val="13"/>
                <w:vertAlign w:val="subscript"/>
                <w:lang w:eastAsia="en-ZA"/>
              </w:rPr>
              <w:t xml:space="preserve"> </w:t>
            </w:r>
            <w:r w:rsidRPr="00AF46E5">
              <w:rPr>
                <w:rFonts w:cs="Times New Roman"/>
                <w:b/>
                <w:bCs/>
                <w:color w:val="000000"/>
                <w:sz w:val="22"/>
                <w:lang w:eastAsia="en-ZA"/>
              </w:rPr>
              <w:t>(°C)</w:t>
            </w:r>
          </w:p>
        </w:tc>
      </w:tr>
      <w:tr w:rsidR="007C1182" w:rsidRPr="00AF46E5" w14:paraId="0BD1E816" w14:textId="77777777" w:rsidTr="002E5614">
        <w:trPr>
          <w:trHeight w:val="57"/>
        </w:trPr>
        <w:tc>
          <w:tcPr>
            <w:tcW w:w="339" w:type="pct"/>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2A2C0FF" w14:textId="77777777" w:rsidR="007C1182" w:rsidRPr="00AF46E5" w:rsidRDefault="007C1182" w:rsidP="002E5614">
            <w:pPr>
              <w:spacing w:before="240" w:after="0"/>
              <w:rPr>
                <w:rFonts w:cs="Times New Roman"/>
                <w:lang w:eastAsia="en-ZA"/>
              </w:rPr>
            </w:pPr>
            <w:r w:rsidRPr="00AF46E5">
              <w:rPr>
                <w:rFonts w:cs="Times New Roman"/>
                <w:color w:val="000000"/>
                <w:sz w:val="22"/>
                <w:lang w:eastAsia="en-ZA"/>
              </w:rPr>
              <w:t>Bat</w:t>
            </w:r>
          </w:p>
        </w:tc>
        <w:tc>
          <w:tcPr>
            <w:tcW w:w="75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D2B402" w14:textId="77777777" w:rsidR="007C1182" w:rsidRPr="00AF46E5" w:rsidRDefault="007C1182" w:rsidP="002E5614">
            <w:pPr>
              <w:spacing w:before="240" w:after="0"/>
              <w:rPr>
                <w:rFonts w:cs="Times New Roman"/>
                <w:lang w:eastAsia="en-ZA"/>
              </w:rPr>
            </w:pPr>
            <w:r w:rsidRPr="00AF46E5">
              <w:rPr>
                <w:rFonts w:cs="Times New Roman"/>
                <w:color w:val="000000"/>
                <w:sz w:val="22"/>
                <w:lang w:eastAsia="en-ZA"/>
              </w:rPr>
              <w:t>LCO1490</w:t>
            </w:r>
          </w:p>
        </w:tc>
        <w:tc>
          <w:tcPr>
            <w:tcW w:w="225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505B24" w14:textId="77777777" w:rsidR="007C1182" w:rsidRPr="00AF46E5" w:rsidRDefault="007C1182" w:rsidP="002E5614">
            <w:pPr>
              <w:spacing w:before="240" w:after="0"/>
              <w:rPr>
                <w:rFonts w:cs="Times New Roman"/>
                <w:lang w:eastAsia="en-ZA"/>
              </w:rPr>
            </w:pPr>
            <w:r w:rsidRPr="00AF46E5">
              <w:rPr>
                <w:rFonts w:cs="Times New Roman"/>
                <w:color w:val="000000"/>
                <w:sz w:val="22"/>
                <w:lang w:eastAsia="en-ZA"/>
              </w:rPr>
              <w:t>GGTCAACAAATCATAAAGATATTGG</w:t>
            </w:r>
          </w:p>
        </w:tc>
        <w:tc>
          <w:tcPr>
            <w:tcW w:w="826" w:type="pct"/>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3C52037" w14:textId="77777777" w:rsidR="007C1182" w:rsidRPr="00AF46E5" w:rsidRDefault="007C1182" w:rsidP="002E5614">
            <w:pPr>
              <w:spacing w:before="240" w:after="0"/>
              <w:rPr>
                <w:rFonts w:cs="Times New Roman"/>
                <w:lang w:eastAsia="en-ZA"/>
              </w:rPr>
            </w:pPr>
            <w:r w:rsidRPr="00AF46E5">
              <w:rPr>
                <w:rFonts w:cs="Times New Roman"/>
                <w:color w:val="000000"/>
                <w:sz w:val="22"/>
                <w:lang w:eastAsia="en-ZA"/>
              </w:rPr>
              <w:t>35</w:t>
            </w:r>
          </w:p>
        </w:tc>
        <w:tc>
          <w:tcPr>
            <w:tcW w:w="826" w:type="pct"/>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C7190EE" w14:textId="77777777" w:rsidR="007C1182" w:rsidRPr="00AF46E5" w:rsidRDefault="007C1182" w:rsidP="002E5614">
            <w:pPr>
              <w:spacing w:before="240" w:after="0"/>
              <w:rPr>
                <w:rFonts w:cs="Times New Roman"/>
                <w:lang w:eastAsia="en-ZA"/>
              </w:rPr>
            </w:pPr>
            <w:r w:rsidRPr="00AF46E5">
              <w:rPr>
                <w:rFonts w:cs="Times New Roman"/>
                <w:color w:val="000000"/>
                <w:sz w:val="22"/>
                <w:lang w:eastAsia="en-ZA"/>
              </w:rPr>
              <w:t>43.5</w:t>
            </w:r>
          </w:p>
        </w:tc>
      </w:tr>
      <w:tr w:rsidR="007C1182" w:rsidRPr="00AF46E5" w14:paraId="65395C7C" w14:textId="77777777" w:rsidTr="002E5614">
        <w:trPr>
          <w:trHeight w:val="57"/>
        </w:trPr>
        <w:tc>
          <w:tcPr>
            <w:tcW w:w="339" w:type="pct"/>
            <w:vMerge/>
            <w:tcBorders>
              <w:top w:val="single" w:sz="8" w:space="0" w:color="000000"/>
              <w:left w:val="single" w:sz="8" w:space="0" w:color="000000"/>
              <w:bottom w:val="single" w:sz="8" w:space="0" w:color="000000"/>
              <w:right w:val="single" w:sz="8" w:space="0" w:color="000000"/>
            </w:tcBorders>
            <w:vAlign w:val="center"/>
            <w:hideMark/>
          </w:tcPr>
          <w:p w14:paraId="0EC13D81" w14:textId="77777777" w:rsidR="007C1182" w:rsidRPr="00AF46E5" w:rsidRDefault="007C1182" w:rsidP="002E5614">
            <w:pPr>
              <w:spacing w:before="240" w:after="0"/>
              <w:rPr>
                <w:rFonts w:cs="Times New Roman"/>
                <w:lang w:eastAsia="en-ZA"/>
              </w:rPr>
            </w:pPr>
          </w:p>
        </w:tc>
        <w:tc>
          <w:tcPr>
            <w:tcW w:w="75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614978" w14:textId="77777777" w:rsidR="007C1182" w:rsidRPr="00AF46E5" w:rsidRDefault="007C1182" w:rsidP="002E5614">
            <w:pPr>
              <w:spacing w:before="240" w:after="0"/>
              <w:rPr>
                <w:rFonts w:cs="Times New Roman"/>
                <w:lang w:eastAsia="en-ZA"/>
              </w:rPr>
            </w:pPr>
            <w:r w:rsidRPr="00AF46E5">
              <w:rPr>
                <w:rFonts w:cs="Times New Roman"/>
                <w:color w:val="000000"/>
                <w:sz w:val="22"/>
                <w:lang w:eastAsia="en-ZA"/>
              </w:rPr>
              <w:t>HCO2198</w:t>
            </w:r>
          </w:p>
        </w:tc>
        <w:tc>
          <w:tcPr>
            <w:tcW w:w="225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4C3EA2" w14:textId="77777777" w:rsidR="007C1182" w:rsidRPr="00AF46E5" w:rsidRDefault="007C1182" w:rsidP="002E5614">
            <w:pPr>
              <w:spacing w:before="240" w:after="0"/>
              <w:rPr>
                <w:rFonts w:cs="Times New Roman"/>
                <w:lang w:eastAsia="en-ZA"/>
              </w:rPr>
            </w:pPr>
            <w:r w:rsidRPr="00AF46E5">
              <w:rPr>
                <w:rFonts w:cs="Times New Roman"/>
                <w:color w:val="000000"/>
                <w:sz w:val="22"/>
                <w:lang w:eastAsia="en-ZA"/>
              </w:rPr>
              <w:t>TAAACTTCAGGGTGACCAAAAAATCA</w:t>
            </w:r>
          </w:p>
        </w:tc>
        <w:tc>
          <w:tcPr>
            <w:tcW w:w="826" w:type="pct"/>
            <w:vMerge/>
            <w:tcBorders>
              <w:top w:val="single" w:sz="8" w:space="0" w:color="000000"/>
              <w:left w:val="single" w:sz="8" w:space="0" w:color="000000"/>
              <w:bottom w:val="single" w:sz="8" w:space="0" w:color="000000"/>
              <w:right w:val="single" w:sz="8" w:space="0" w:color="000000"/>
            </w:tcBorders>
            <w:vAlign w:val="center"/>
            <w:hideMark/>
          </w:tcPr>
          <w:p w14:paraId="710BB5F9" w14:textId="77777777" w:rsidR="007C1182" w:rsidRPr="00AF46E5" w:rsidRDefault="007C1182" w:rsidP="002E5614">
            <w:pPr>
              <w:spacing w:before="240" w:after="0"/>
              <w:rPr>
                <w:rFonts w:cs="Times New Roman"/>
                <w:lang w:eastAsia="en-ZA"/>
              </w:rPr>
            </w:pPr>
          </w:p>
        </w:tc>
        <w:tc>
          <w:tcPr>
            <w:tcW w:w="826" w:type="pct"/>
            <w:vMerge/>
            <w:tcBorders>
              <w:top w:val="single" w:sz="8" w:space="0" w:color="000000"/>
              <w:left w:val="single" w:sz="8" w:space="0" w:color="000000"/>
              <w:bottom w:val="single" w:sz="8" w:space="0" w:color="000000"/>
              <w:right w:val="single" w:sz="8" w:space="0" w:color="000000"/>
            </w:tcBorders>
            <w:vAlign w:val="center"/>
            <w:hideMark/>
          </w:tcPr>
          <w:p w14:paraId="69510BAA" w14:textId="77777777" w:rsidR="007C1182" w:rsidRPr="00AF46E5" w:rsidRDefault="007C1182" w:rsidP="002E5614">
            <w:pPr>
              <w:spacing w:before="240" w:after="0"/>
              <w:rPr>
                <w:rFonts w:cs="Times New Roman"/>
                <w:lang w:eastAsia="en-ZA"/>
              </w:rPr>
            </w:pPr>
          </w:p>
        </w:tc>
      </w:tr>
      <w:tr w:rsidR="007C1182" w:rsidRPr="00AF46E5" w14:paraId="6DB87D93" w14:textId="77777777" w:rsidTr="002E5614">
        <w:trPr>
          <w:trHeight w:val="57"/>
        </w:trPr>
        <w:tc>
          <w:tcPr>
            <w:tcW w:w="339" w:type="pct"/>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49DF82E" w14:textId="77777777" w:rsidR="007C1182" w:rsidRPr="00AF46E5" w:rsidRDefault="007C1182" w:rsidP="002E5614">
            <w:pPr>
              <w:spacing w:before="240" w:after="0"/>
              <w:rPr>
                <w:rFonts w:cs="Times New Roman"/>
                <w:lang w:eastAsia="en-ZA"/>
              </w:rPr>
            </w:pPr>
            <w:r w:rsidRPr="00AF46E5">
              <w:rPr>
                <w:rFonts w:cs="Times New Roman"/>
                <w:color w:val="000000"/>
                <w:sz w:val="22"/>
                <w:lang w:eastAsia="en-ZA"/>
              </w:rPr>
              <w:t>Bird</w:t>
            </w:r>
          </w:p>
        </w:tc>
        <w:tc>
          <w:tcPr>
            <w:tcW w:w="75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46F593" w14:textId="77777777" w:rsidR="007C1182" w:rsidRPr="00AF46E5" w:rsidRDefault="007C1182" w:rsidP="002E5614">
            <w:pPr>
              <w:spacing w:before="240" w:after="0"/>
              <w:rPr>
                <w:rFonts w:cs="Times New Roman"/>
                <w:lang w:eastAsia="en-ZA"/>
              </w:rPr>
            </w:pPr>
            <w:r w:rsidRPr="00AF46E5">
              <w:rPr>
                <w:rFonts w:cs="Times New Roman"/>
                <w:color w:val="000000"/>
                <w:sz w:val="22"/>
                <w:lang w:eastAsia="en-ZA"/>
              </w:rPr>
              <w:t>PasserF1</w:t>
            </w:r>
          </w:p>
        </w:tc>
        <w:tc>
          <w:tcPr>
            <w:tcW w:w="225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47BB5B" w14:textId="77777777" w:rsidR="007C1182" w:rsidRPr="00AF46E5" w:rsidRDefault="007C1182" w:rsidP="002E5614">
            <w:pPr>
              <w:spacing w:before="240" w:after="0"/>
              <w:rPr>
                <w:rFonts w:cs="Times New Roman"/>
                <w:lang w:eastAsia="en-ZA"/>
              </w:rPr>
            </w:pPr>
            <w:r w:rsidRPr="00AF46E5">
              <w:rPr>
                <w:rFonts w:cs="Times New Roman"/>
                <w:color w:val="000000"/>
                <w:sz w:val="22"/>
                <w:lang w:eastAsia="en-ZA"/>
              </w:rPr>
              <w:t>CCAACCACAAAGACATCGGAACC</w:t>
            </w:r>
          </w:p>
        </w:tc>
        <w:tc>
          <w:tcPr>
            <w:tcW w:w="826" w:type="pct"/>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6EB5951" w14:textId="77777777" w:rsidR="007C1182" w:rsidRPr="00AF46E5" w:rsidRDefault="007C1182" w:rsidP="002E5614">
            <w:pPr>
              <w:spacing w:before="240" w:after="0"/>
              <w:rPr>
                <w:rFonts w:cs="Times New Roman"/>
                <w:lang w:eastAsia="en-ZA"/>
              </w:rPr>
            </w:pPr>
            <w:r w:rsidRPr="00AF46E5">
              <w:rPr>
                <w:rFonts w:cs="Times New Roman"/>
                <w:color w:val="000000"/>
                <w:sz w:val="22"/>
                <w:lang w:eastAsia="en-ZA"/>
              </w:rPr>
              <w:t>35</w:t>
            </w:r>
          </w:p>
        </w:tc>
        <w:tc>
          <w:tcPr>
            <w:tcW w:w="826" w:type="pct"/>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DCE484C" w14:textId="77777777" w:rsidR="007C1182" w:rsidRPr="00AF46E5" w:rsidRDefault="007C1182" w:rsidP="002E5614">
            <w:pPr>
              <w:spacing w:before="240" w:after="0"/>
              <w:rPr>
                <w:rFonts w:cs="Times New Roman"/>
                <w:lang w:eastAsia="en-ZA"/>
              </w:rPr>
            </w:pPr>
            <w:r w:rsidRPr="00AF46E5">
              <w:rPr>
                <w:rFonts w:cs="Times New Roman"/>
                <w:color w:val="000000"/>
                <w:sz w:val="22"/>
                <w:lang w:eastAsia="en-ZA"/>
              </w:rPr>
              <w:t>50</w:t>
            </w:r>
          </w:p>
        </w:tc>
      </w:tr>
      <w:tr w:rsidR="007C1182" w:rsidRPr="00AF46E5" w14:paraId="2D222C7D" w14:textId="77777777" w:rsidTr="002E5614">
        <w:trPr>
          <w:trHeight w:val="57"/>
        </w:trPr>
        <w:tc>
          <w:tcPr>
            <w:tcW w:w="339" w:type="pct"/>
            <w:vMerge/>
            <w:tcBorders>
              <w:top w:val="single" w:sz="8" w:space="0" w:color="000000"/>
              <w:left w:val="single" w:sz="8" w:space="0" w:color="000000"/>
              <w:bottom w:val="single" w:sz="8" w:space="0" w:color="000000"/>
              <w:right w:val="single" w:sz="8" w:space="0" w:color="000000"/>
            </w:tcBorders>
            <w:vAlign w:val="center"/>
            <w:hideMark/>
          </w:tcPr>
          <w:p w14:paraId="59B654E1" w14:textId="77777777" w:rsidR="007C1182" w:rsidRPr="00AF46E5" w:rsidRDefault="007C1182" w:rsidP="002E5614">
            <w:pPr>
              <w:spacing w:before="240" w:after="0"/>
              <w:rPr>
                <w:rFonts w:cs="Times New Roman"/>
                <w:lang w:eastAsia="en-ZA"/>
              </w:rPr>
            </w:pPr>
          </w:p>
        </w:tc>
        <w:tc>
          <w:tcPr>
            <w:tcW w:w="75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E32BE8" w14:textId="77777777" w:rsidR="007C1182" w:rsidRPr="00AF46E5" w:rsidRDefault="007C1182" w:rsidP="002E5614">
            <w:pPr>
              <w:spacing w:before="240" w:after="0"/>
              <w:rPr>
                <w:rFonts w:cs="Times New Roman"/>
                <w:lang w:eastAsia="en-ZA"/>
              </w:rPr>
            </w:pPr>
            <w:r w:rsidRPr="00AF46E5">
              <w:rPr>
                <w:rFonts w:cs="Times New Roman"/>
                <w:color w:val="000000"/>
                <w:sz w:val="22"/>
                <w:lang w:eastAsia="en-ZA"/>
              </w:rPr>
              <w:t>PasserR1</w:t>
            </w:r>
          </w:p>
        </w:tc>
        <w:tc>
          <w:tcPr>
            <w:tcW w:w="225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1839E7" w14:textId="77777777" w:rsidR="007C1182" w:rsidRPr="00AF46E5" w:rsidRDefault="007C1182" w:rsidP="002E5614">
            <w:pPr>
              <w:spacing w:before="240" w:after="0"/>
              <w:rPr>
                <w:rFonts w:cs="Times New Roman"/>
                <w:lang w:eastAsia="en-ZA"/>
              </w:rPr>
            </w:pPr>
            <w:r w:rsidRPr="00AF46E5">
              <w:rPr>
                <w:rFonts w:cs="Times New Roman"/>
                <w:color w:val="000000"/>
                <w:sz w:val="22"/>
                <w:lang w:eastAsia="en-ZA"/>
              </w:rPr>
              <w:t>GTAAACTTCTGGGTGACCAAAGAATC</w:t>
            </w:r>
          </w:p>
        </w:tc>
        <w:tc>
          <w:tcPr>
            <w:tcW w:w="826" w:type="pct"/>
            <w:vMerge/>
            <w:tcBorders>
              <w:top w:val="single" w:sz="8" w:space="0" w:color="000000"/>
              <w:left w:val="single" w:sz="8" w:space="0" w:color="000000"/>
              <w:bottom w:val="single" w:sz="8" w:space="0" w:color="000000"/>
              <w:right w:val="single" w:sz="8" w:space="0" w:color="000000"/>
            </w:tcBorders>
            <w:vAlign w:val="center"/>
            <w:hideMark/>
          </w:tcPr>
          <w:p w14:paraId="5C72057E" w14:textId="77777777" w:rsidR="007C1182" w:rsidRPr="00AF46E5" w:rsidRDefault="007C1182" w:rsidP="002E5614">
            <w:pPr>
              <w:spacing w:before="240" w:after="0"/>
              <w:rPr>
                <w:rFonts w:cs="Times New Roman"/>
                <w:lang w:eastAsia="en-ZA"/>
              </w:rPr>
            </w:pPr>
          </w:p>
        </w:tc>
        <w:tc>
          <w:tcPr>
            <w:tcW w:w="826" w:type="pct"/>
            <w:vMerge/>
            <w:tcBorders>
              <w:top w:val="single" w:sz="8" w:space="0" w:color="000000"/>
              <w:left w:val="single" w:sz="8" w:space="0" w:color="000000"/>
              <w:bottom w:val="single" w:sz="8" w:space="0" w:color="000000"/>
              <w:right w:val="single" w:sz="8" w:space="0" w:color="000000"/>
            </w:tcBorders>
            <w:vAlign w:val="center"/>
            <w:hideMark/>
          </w:tcPr>
          <w:p w14:paraId="1D49A3EB" w14:textId="77777777" w:rsidR="007C1182" w:rsidRPr="00AF46E5" w:rsidRDefault="007C1182" w:rsidP="002E5614">
            <w:pPr>
              <w:spacing w:before="240" w:after="0"/>
              <w:rPr>
                <w:rFonts w:cs="Times New Roman"/>
                <w:lang w:eastAsia="en-ZA"/>
              </w:rPr>
            </w:pPr>
          </w:p>
        </w:tc>
      </w:tr>
      <w:tr w:rsidR="007C1182" w:rsidRPr="00AF46E5" w14:paraId="16E83C5F" w14:textId="77777777" w:rsidTr="002E5614">
        <w:trPr>
          <w:trHeight w:val="57"/>
        </w:trPr>
        <w:tc>
          <w:tcPr>
            <w:tcW w:w="339" w:type="pct"/>
            <w:vMerge/>
            <w:tcBorders>
              <w:top w:val="single" w:sz="8" w:space="0" w:color="000000"/>
              <w:left w:val="single" w:sz="8" w:space="0" w:color="000000"/>
              <w:bottom w:val="single" w:sz="8" w:space="0" w:color="000000"/>
              <w:right w:val="single" w:sz="8" w:space="0" w:color="000000"/>
            </w:tcBorders>
            <w:vAlign w:val="center"/>
            <w:hideMark/>
          </w:tcPr>
          <w:p w14:paraId="13118125" w14:textId="77777777" w:rsidR="007C1182" w:rsidRPr="00AF46E5" w:rsidRDefault="007C1182" w:rsidP="002E5614">
            <w:pPr>
              <w:spacing w:before="240" w:after="0"/>
              <w:rPr>
                <w:rFonts w:cs="Times New Roman"/>
                <w:lang w:eastAsia="en-ZA"/>
              </w:rPr>
            </w:pPr>
          </w:p>
        </w:tc>
        <w:tc>
          <w:tcPr>
            <w:tcW w:w="75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9411BB" w14:textId="77777777" w:rsidR="007C1182" w:rsidRPr="00AF46E5" w:rsidRDefault="007C1182" w:rsidP="002E5614">
            <w:pPr>
              <w:spacing w:before="240" w:after="0"/>
              <w:rPr>
                <w:rFonts w:cs="Times New Roman"/>
                <w:lang w:eastAsia="en-ZA"/>
              </w:rPr>
            </w:pPr>
            <w:r w:rsidRPr="00AF46E5">
              <w:rPr>
                <w:rFonts w:cs="Times New Roman"/>
                <w:color w:val="000000"/>
                <w:sz w:val="22"/>
                <w:lang w:eastAsia="en-ZA"/>
              </w:rPr>
              <w:t>BirdF1</w:t>
            </w:r>
          </w:p>
        </w:tc>
        <w:tc>
          <w:tcPr>
            <w:tcW w:w="225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78E9A2" w14:textId="77777777" w:rsidR="007C1182" w:rsidRPr="00AF46E5" w:rsidRDefault="007C1182" w:rsidP="002E5614">
            <w:pPr>
              <w:spacing w:before="240" w:after="0"/>
              <w:rPr>
                <w:rFonts w:cs="Times New Roman"/>
                <w:lang w:eastAsia="en-ZA"/>
              </w:rPr>
            </w:pPr>
            <w:r w:rsidRPr="00AF46E5">
              <w:rPr>
                <w:rFonts w:cs="Times New Roman"/>
                <w:color w:val="000000"/>
                <w:sz w:val="22"/>
                <w:lang w:eastAsia="en-ZA"/>
              </w:rPr>
              <w:t>TTCTCCAACCACAAAGACATTGGCAC</w:t>
            </w:r>
          </w:p>
        </w:tc>
        <w:tc>
          <w:tcPr>
            <w:tcW w:w="826" w:type="pct"/>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1A7B641" w14:textId="77777777" w:rsidR="007C1182" w:rsidRPr="00AF46E5" w:rsidRDefault="007C1182" w:rsidP="002E5614">
            <w:pPr>
              <w:spacing w:before="240" w:after="0"/>
              <w:rPr>
                <w:rFonts w:cs="Times New Roman"/>
                <w:lang w:eastAsia="en-ZA"/>
              </w:rPr>
            </w:pPr>
            <w:r w:rsidRPr="00AF46E5">
              <w:rPr>
                <w:rFonts w:cs="Times New Roman"/>
                <w:color w:val="000000"/>
                <w:sz w:val="22"/>
                <w:lang w:eastAsia="en-ZA"/>
              </w:rPr>
              <w:t>6, 35 </w:t>
            </w:r>
          </w:p>
        </w:tc>
        <w:tc>
          <w:tcPr>
            <w:tcW w:w="826" w:type="pct"/>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A07C39C" w14:textId="77777777" w:rsidR="007C1182" w:rsidRPr="00AF46E5" w:rsidRDefault="007C1182" w:rsidP="002E5614">
            <w:pPr>
              <w:spacing w:before="240" w:after="0"/>
              <w:rPr>
                <w:rFonts w:cs="Times New Roman"/>
                <w:lang w:eastAsia="en-ZA"/>
              </w:rPr>
            </w:pPr>
            <w:r w:rsidRPr="00AF46E5">
              <w:rPr>
                <w:rFonts w:cs="Times New Roman"/>
                <w:color w:val="000000"/>
                <w:sz w:val="22"/>
                <w:lang w:eastAsia="en-ZA"/>
              </w:rPr>
              <w:t>45, 51</w:t>
            </w:r>
          </w:p>
        </w:tc>
      </w:tr>
      <w:tr w:rsidR="007C1182" w:rsidRPr="00AF46E5" w14:paraId="3E89C94B" w14:textId="77777777" w:rsidTr="002E5614">
        <w:trPr>
          <w:trHeight w:val="57"/>
        </w:trPr>
        <w:tc>
          <w:tcPr>
            <w:tcW w:w="339" w:type="pct"/>
            <w:vMerge/>
            <w:tcBorders>
              <w:top w:val="single" w:sz="8" w:space="0" w:color="000000"/>
              <w:left w:val="single" w:sz="8" w:space="0" w:color="000000"/>
              <w:bottom w:val="single" w:sz="8" w:space="0" w:color="000000"/>
              <w:right w:val="single" w:sz="8" w:space="0" w:color="000000"/>
            </w:tcBorders>
            <w:vAlign w:val="center"/>
            <w:hideMark/>
          </w:tcPr>
          <w:p w14:paraId="6660D65C" w14:textId="77777777" w:rsidR="007C1182" w:rsidRPr="00AF46E5" w:rsidRDefault="007C1182" w:rsidP="002E5614">
            <w:pPr>
              <w:spacing w:before="240" w:after="0"/>
              <w:rPr>
                <w:rFonts w:cs="Times New Roman"/>
                <w:lang w:eastAsia="en-ZA"/>
              </w:rPr>
            </w:pPr>
          </w:p>
        </w:tc>
        <w:tc>
          <w:tcPr>
            <w:tcW w:w="75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0C7D10" w14:textId="77777777" w:rsidR="007C1182" w:rsidRPr="00AF46E5" w:rsidRDefault="007C1182" w:rsidP="002E5614">
            <w:pPr>
              <w:spacing w:before="240" w:after="0"/>
              <w:rPr>
                <w:rFonts w:cs="Times New Roman"/>
                <w:lang w:eastAsia="en-ZA"/>
              </w:rPr>
            </w:pPr>
            <w:r w:rsidRPr="00AF46E5">
              <w:rPr>
                <w:rFonts w:cs="Times New Roman"/>
                <w:color w:val="000000"/>
                <w:sz w:val="22"/>
                <w:lang w:eastAsia="en-ZA"/>
              </w:rPr>
              <w:t>Bird R1</w:t>
            </w:r>
          </w:p>
        </w:tc>
        <w:tc>
          <w:tcPr>
            <w:tcW w:w="225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268907" w14:textId="77777777" w:rsidR="007C1182" w:rsidRPr="00AF46E5" w:rsidRDefault="007C1182" w:rsidP="002E5614">
            <w:pPr>
              <w:spacing w:before="240" w:after="0"/>
              <w:rPr>
                <w:rFonts w:cs="Times New Roman"/>
                <w:lang w:eastAsia="en-ZA"/>
              </w:rPr>
            </w:pPr>
            <w:r w:rsidRPr="00AF46E5">
              <w:rPr>
                <w:rFonts w:cs="Times New Roman"/>
                <w:color w:val="000000"/>
                <w:sz w:val="22"/>
                <w:lang w:eastAsia="en-ZA"/>
              </w:rPr>
              <w:t>ACGTGGGAGATAATTCCAAATCCTG</w:t>
            </w:r>
          </w:p>
        </w:tc>
        <w:tc>
          <w:tcPr>
            <w:tcW w:w="826" w:type="pct"/>
            <w:vMerge/>
            <w:tcBorders>
              <w:top w:val="single" w:sz="8" w:space="0" w:color="000000"/>
              <w:left w:val="single" w:sz="8" w:space="0" w:color="000000"/>
              <w:bottom w:val="single" w:sz="8" w:space="0" w:color="000000"/>
              <w:right w:val="single" w:sz="8" w:space="0" w:color="000000"/>
            </w:tcBorders>
            <w:vAlign w:val="center"/>
            <w:hideMark/>
          </w:tcPr>
          <w:p w14:paraId="3F63D6EA" w14:textId="77777777" w:rsidR="007C1182" w:rsidRPr="00AF46E5" w:rsidRDefault="007C1182" w:rsidP="002E5614">
            <w:pPr>
              <w:spacing w:before="240" w:after="0"/>
              <w:rPr>
                <w:rFonts w:cs="Times New Roman"/>
                <w:lang w:eastAsia="en-ZA"/>
              </w:rPr>
            </w:pPr>
          </w:p>
        </w:tc>
        <w:tc>
          <w:tcPr>
            <w:tcW w:w="826" w:type="pct"/>
            <w:vMerge/>
            <w:tcBorders>
              <w:top w:val="single" w:sz="8" w:space="0" w:color="000000"/>
              <w:left w:val="single" w:sz="8" w:space="0" w:color="000000"/>
              <w:bottom w:val="single" w:sz="8" w:space="0" w:color="000000"/>
              <w:right w:val="single" w:sz="8" w:space="0" w:color="000000"/>
            </w:tcBorders>
            <w:vAlign w:val="center"/>
            <w:hideMark/>
          </w:tcPr>
          <w:p w14:paraId="7438B522" w14:textId="77777777" w:rsidR="007C1182" w:rsidRPr="00AF46E5" w:rsidRDefault="007C1182" w:rsidP="002E5614">
            <w:pPr>
              <w:spacing w:before="240" w:after="0"/>
              <w:rPr>
                <w:rFonts w:cs="Times New Roman"/>
                <w:lang w:eastAsia="en-ZA"/>
              </w:rPr>
            </w:pPr>
          </w:p>
        </w:tc>
      </w:tr>
    </w:tbl>
    <w:p w14:paraId="03D71465" w14:textId="77777777" w:rsidR="007C1182" w:rsidRDefault="007C1182">
      <w:pPr>
        <w:spacing w:line="259" w:lineRule="auto"/>
        <w:rPr>
          <w:lang w:eastAsia="en-ZA"/>
        </w:rPr>
      </w:pPr>
      <w:r>
        <w:rPr>
          <w:lang w:eastAsia="en-ZA"/>
        </w:rPr>
        <w:br w:type="page"/>
      </w:r>
    </w:p>
    <w:p w14:paraId="4DD00E84" w14:textId="55BD2E06" w:rsidR="00A93D43" w:rsidRPr="0019694F" w:rsidRDefault="0019694F" w:rsidP="00A93D43">
      <w:pPr>
        <w:rPr>
          <w:b/>
          <w:bCs/>
        </w:rPr>
      </w:pPr>
      <w:r w:rsidRPr="0019694F">
        <w:rPr>
          <w:b/>
          <w:bCs/>
        </w:rPr>
        <w:lastRenderedPageBreak/>
        <w:t>References</w:t>
      </w:r>
    </w:p>
    <w:p w14:paraId="3B7D8B7C" w14:textId="3BDCBDC6" w:rsidR="004627FC" w:rsidRPr="004627FC" w:rsidRDefault="004627FC" w:rsidP="004627FC">
      <w:pPr>
        <w:widowControl w:val="0"/>
        <w:autoSpaceDE w:val="0"/>
        <w:autoSpaceDN w:val="0"/>
        <w:adjustRightInd w:val="0"/>
        <w:ind w:left="480" w:hanging="480"/>
        <w:rPr>
          <w:rFonts w:cs="Times New Roman"/>
          <w:noProof/>
          <w:szCs w:val="24"/>
        </w:rPr>
      </w:pPr>
      <w:r>
        <w:fldChar w:fldCharType="begin" w:fldLock="1"/>
      </w:r>
      <w:r>
        <w:instrText xml:space="preserve">ADDIN Mendeley Bibliography CSL_BIBLIOGRAPHY </w:instrText>
      </w:r>
      <w:r>
        <w:fldChar w:fldCharType="separate"/>
      </w:r>
      <w:r w:rsidRPr="004627FC">
        <w:rPr>
          <w:rFonts w:cs="Times New Roman"/>
          <w:noProof/>
          <w:szCs w:val="24"/>
        </w:rPr>
        <w:t xml:space="preserve">Folmer, O., Black, M., Hoeh, W., Lutz, R., &amp; Vrijenhoek, R. (1994). DNA primers for amplification of mitochondrial cytochrome c oxidase subunit I from diverse metazoan invertebrates. </w:t>
      </w:r>
      <w:r w:rsidRPr="004627FC">
        <w:rPr>
          <w:rFonts w:cs="Times New Roman"/>
          <w:i/>
          <w:iCs/>
          <w:noProof/>
          <w:szCs w:val="24"/>
        </w:rPr>
        <w:t>Molecular Marine Biology and Biotechnology</w:t>
      </w:r>
      <w:r w:rsidRPr="004627FC">
        <w:rPr>
          <w:rFonts w:cs="Times New Roman"/>
          <w:noProof/>
          <w:szCs w:val="24"/>
        </w:rPr>
        <w:t xml:space="preserve">, </w:t>
      </w:r>
      <w:r w:rsidRPr="004627FC">
        <w:rPr>
          <w:rFonts w:cs="Times New Roman"/>
          <w:i/>
          <w:iCs/>
          <w:noProof/>
          <w:szCs w:val="24"/>
        </w:rPr>
        <w:t>3</w:t>
      </w:r>
      <w:r w:rsidRPr="004627FC">
        <w:rPr>
          <w:rFonts w:cs="Times New Roman"/>
          <w:noProof/>
          <w:szCs w:val="24"/>
        </w:rPr>
        <w:t>, 294–299.</w:t>
      </w:r>
    </w:p>
    <w:p w14:paraId="5A5CF5AD" w14:textId="77777777" w:rsidR="004627FC" w:rsidRPr="004627FC" w:rsidRDefault="004627FC" w:rsidP="004627FC">
      <w:pPr>
        <w:widowControl w:val="0"/>
        <w:autoSpaceDE w:val="0"/>
        <w:autoSpaceDN w:val="0"/>
        <w:adjustRightInd w:val="0"/>
        <w:ind w:left="480" w:hanging="480"/>
        <w:rPr>
          <w:rFonts w:cs="Times New Roman"/>
          <w:noProof/>
          <w:szCs w:val="24"/>
        </w:rPr>
      </w:pPr>
      <w:r w:rsidRPr="004627FC">
        <w:rPr>
          <w:rFonts w:cs="Times New Roman"/>
          <w:noProof/>
          <w:szCs w:val="24"/>
        </w:rPr>
        <w:t xml:space="preserve">Hebert, P. D. N., &amp; Ratnasingham, S. (2007). The Barcode of Life Data System BOLD. </w:t>
      </w:r>
      <w:r w:rsidRPr="004627FC">
        <w:rPr>
          <w:rFonts w:cs="Times New Roman"/>
          <w:i/>
          <w:iCs/>
          <w:noProof/>
          <w:szCs w:val="24"/>
        </w:rPr>
        <w:t>Molecular Ecology Notes</w:t>
      </w:r>
      <w:r w:rsidRPr="004627FC">
        <w:rPr>
          <w:rFonts w:cs="Times New Roman"/>
          <w:noProof/>
          <w:szCs w:val="24"/>
        </w:rPr>
        <w:t xml:space="preserve">, </w:t>
      </w:r>
      <w:r w:rsidRPr="004627FC">
        <w:rPr>
          <w:rFonts w:cs="Times New Roman"/>
          <w:i/>
          <w:iCs/>
          <w:noProof/>
          <w:szCs w:val="24"/>
        </w:rPr>
        <w:t>7</w:t>
      </w:r>
      <w:r w:rsidRPr="004627FC">
        <w:rPr>
          <w:rFonts w:cs="Times New Roman"/>
          <w:noProof/>
          <w:szCs w:val="24"/>
        </w:rPr>
        <w:t>(3), 355–364. https://doi.org/10.1111/j.1471-8286.2006.01678.x</w:t>
      </w:r>
    </w:p>
    <w:p w14:paraId="3B49E1B0" w14:textId="77777777" w:rsidR="004627FC" w:rsidRPr="004627FC" w:rsidRDefault="004627FC" w:rsidP="004627FC">
      <w:pPr>
        <w:widowControl w:val="0"/>
        <w:autoSpaceDE w:val="0"/>
        <w:autoSpaceDN w:val="0"/>
        <w:adjustRightInd w:val="0"/>
        <w:ind w:left="480" w:hanging="480"/>
        <w:rPr>
          <w:rFonts w:cs="Times New Roman"/>
          <w:noProof/>
          <w:szCs w:val="24"/>
        </w:rPr>
      </w:pPr>
      <w:r w:rsidRPr="004627FC">
        <w:rPr>
          <w:rFonts w:cs="Times New Roman"/>
          <w:noProof/>
          <w:szCs w:val="24"/>
        </w:rPr>
        <w:t xml:space="preserve">Hebert, P. D. N., Stoeckle, M. Y., Zemlak, T. S., &amp; Francis, C. M. (2004). Identification of birds through DNA barcodes. </w:t>
      </w:r>
      <w:r w:rsidRPr="004627FC">
        <w:rPr>
          <w:rFonts w:cs="Times New Roman"/>
          <w:i/>
          <w:iCs/>
          <w:noProof/>
          <w:szCs w:val="24"/>
        </w:rPr>
        <w:t>PLoS Biology</w:t>
      </w:r>
      <w:r w:rsidRPr="004627FC">
        <w:rPr>
          <w:rFonts w:cs="Times New Roman"/>
          <w:noProof/>
          <w:szCs w:val="24"/>
        </w:rPr>
        <w:t xml:space="preserve">, </w:t>
      </w:r>
      <w:r w:rsidRPr="004627FC">
        <w:rPr>
          <w:rFonts w:cs="Times New Roman"/>
          <w:i/>
          <w:iCs/>
          <w:noProof/>
          <w:szCs w:val="24"/>
        </w:rPr>
        <w:t>2</w:t>
      </w:r>
      <w:r w:rsidRPr="004627FC">
        <w:rPr>
          <w:rFonts w:cs="Times New Roman"/>
          <w:noProof/>
          <w:szCs w:val="24"/>
        </w:rPr>
        <w:t>(10), e312. https://doi.org/10.1371/journal.pbio.0020312</w:t>
      </w:r>
    </w:p>
    <w:p w14:paraId="1C63EFBC" w14:textId="77777777" w:rsidR="004627FC" w:rsidRPr="004627FC" w:rsidRDefault="004627FC" w:rsidP="004627FC">
      <w:pPr>
        <w:widowControl w:val="0"/>
        <w:autoSpaceDE w:val="0"/>
        <w:autoSpaceDN w:val="0"/>
        <w:adjustRightInd w:val="0"/>
        <w:ind w:left="480" w:hanging="480"/>
        <w:rPr>
          <w:rFonts w:cs="Times New Roman"/>
          <w:noProof/>
          <w:szCs w:val="24"/>
        </w:rPr>
      </w:pPr>
      <w:r w:rsidRPr="004627FC">
        <w:rPr>
          <w:rFonts w:cs="Times New Roman"/>
          <w:noProof/>
          <w:szCs w:val="24"/>
        </w:rPr>
        <w:t xml:space="preserve">Larkin, M. A., Blackshields, G., Brown, N. P., Chenna, R., Mcgettigan, P. A., McWilliam, H., Valentin, F., Wallace, I. M., Wilm, A., Lopez, R., Thompson, J. D., Gibson, T. J., &amp; Higgins, D. G. (2007). Clustal W and Clustal X version 2.0. </w:t>
      </w:r>
      <w:r w:rsidRPr="004627FC">
        <w:rPr>
          <w:rFonts w:cs="Times New Roman"/>
          <w:i/>
          <w:iCs/>
          <w:noProof/>
          <w:szCs w:val="24"/>
        </w:rPr>
        <w:t>Bioinformatics</w:t>
      </w:r>
      <w:r w:rsidRPr="004627FC">
        <w:rPr>
          <w:rFonts w:cs="Times New Roman"/>
          <w:noProof/>
          <w:szCs w:val="24"/>
        </w:rPr>
        <w:t xml:space="preserve">, </w:t>
      </w:r>
      <w:r w:rsidRPr="004627FC">
        <w:rPr>
          <w:rFonts w:cs="Times New Roman"/>
          <w:i/>
          <w:iCs/>
          <w:noProof/>
          <w:szCs w:val="24"/>
        </w:rPr>
        <w:t>23</w:t>
      </w:r>
      <w:r w:rsidRPr="004627FC">
        <w:rPr>
          <w:rFonts w:cs="Times New Roman"/>
          <w:noProof/>
          <w:szCs w:val="24"/>
        </w:rPr>
        <w:t>(21), 2947–2948. https://doi.org/10.1093/bioinformatics/btm404</w:t>
      </w:r>
    </w:p>
    <w:p w14:paraId="40F0CE1F" w14:textId="77777777" w:rsidR="004627FC" w:rsidRPr="004627FC" w:rsidRDefault="004627FC" w:rsidP="004627FC">
      <w:pPr>
        <w:widowControl w:val="0"/>
        <w:autoSpaceDE w:val="0"/>
        <w:autoSpaceDN w:val="0"/>
        <w:adjustRightInd w:val="0"/>
        <w:ind w:left="480" w:hanging="480"/>
        <w:rPr>
          <w:rFonts w:cs="Times New Roman"/>
          <w:noProof/>
          <w:szCs w:val="24"/>
        </w:rPr>
      </w:pPr>
      <w:r w:rsidRPr="004627FC">
        <w:rPr>
          <w:rFonts w:cs="Times New Roman"/>
          <w:noProof/>
          <w:szCs w:val="24"/>
        </w:rPr>
        <w:t xml:space="preserve">Lohman, D. J., Prawiradilaga, D. M., &amp; Meier, R. (2009). Improved COI barcoding primers for Southeast Asian perching birds (Aves: Passeriformes). </w:t>
      </w:r>
      <w:r w:rsidRPr="004627FC">
        <w:rPr>
          <w:rFonts w:cs="Times New Roman"/>
          <w:i/>
          <w:iCs/>
          <w:noProof/>
          <w:szCs w:val="24"/>
        </w:rPr>
        <w:t>Molecular Ecology Resources</w:t>
      </w:r>
      <w:r w:rsidRPr="004627FC">
        <w:rPr>
          <w:rFonts w:cs="Times New Roman"/>
          <w:noProof/>
          <w:szCs w:val="24"/>
        </w:rPr>
        <w:t xml:space="preserve">, </w:t>
      </w:r>
      <w:r w:rsidRPr="004627FC">
        <w:rPr>
          <w:rFonts w:cs="Times New Roman"/>
          <w:i/>
          <w:iCs/>
          <w:noProof/>
          <w:szCs w:val="24"/>
        </w:rPr>
        <w:t>9</w:t>
      </w:r>
      <w:r w:rsidRPr="004627FC">
        <w:rPr>
          <w:rFonts w:cs="Times New Roman"/>
          <w:noProof/>
          <w:szCs w:val="24"/>
        </w:rPr>
        <w:t>(1), 37–40. https://doi.org/10.1111/j.1755-0998.2008.02221.x</w:t>
      </w:r>
    </w:p>
    <w:p w14:paraId="71205865" w14:textId="77777777" w:rsidR="004627FC" w:rsidRPr="004627FC" w:rsidRDefault="004627FC" w:rsidP="004627FC">
      <w:pPr>
        <w:widowControl w:val="0"/>
        <w:autoSpaceDE w:val="0"/>
        <w:autoSpaceDN w:val="0"/>
        <w:adjustRightInd w:val="0"/>
        <w:ind w:left="480" w:hanging="480"/>
        <w:rPr>
          <w:rFonts w:cs="Times New Roman"/>
          <w:noProof/>
        </w:rPr>
      </w:pPr>
      <w:r w:rsidRPr="004627FC">
        <w:rPr>
          <w:rFonts w:cs="Times New Roman"/>
          <w:noProof/>
          <w:szCs w:val="24"/>
        </w:rPr>
        <w:t xml:space="preserve">Moir, M. I., Richards, L. R., Rambau, R. V, &amp; Cherry, M. I. (2020). Bats of Eastern Cape and southern KwaZulu-Natal forests, South Africa: diversity, call library and range extensions. </w:t>
      </w:r>
      <w:r w:rsidRPr="004627FC">
        <w:rPr>
          <w:rFonts w:cs="Times New Roman"/>
          <w:i/>
          <w:iCs/>
          <w:noProof/>
          <w:szCs w:val="24"/>
        </w:rPr>
        <w:t>Acta Chiropterologica</w:t>
      </w:r>
      <w:r w:rsidRPr="004627FC">
        <w:rPr>
          <w:rFonts w:cs="Times New Roman"/>
          <w:noProof/>
          <w:szCs w:val="24"/>
        </w:rPr>
        <w:t xml:space="preserve">, </w:t>
      </w:r>
      <w:r w:rsidRPr="004627FC">
        <w:rPr>
          <w:rFonts w:cs="Times New Roman"/>
          <w:i/>
          <w:iCs/>
          <w:noProof/>
          <w:szCs w:val="24"/>
        </w:rPr>
        <w:t>22</w:t>
      </w:r>
      <w:r w:rsidRPr="004627FC">
        <w:rPr>
          <w:rFonts w:cs="Times New Roman"/>
          <w:noProof/>
          <w:szCs w:val="24"/>
        </w:rPr>
        <w:t>(2), 365–381.</w:t>
      </w:r>
    </w:p>
    <w:p w14:paraId="5E2ECB4B" w14:textId="531C6FD8" w:rsidR="00BD4F0C" w:rsidRDefault="004627FC">
      <w:r>
        <w:fldChar w:fldCharType="end"/>
      </w:r>
    </w:p>
    <w:sectPr w:rsidR="00BD4F0C" w:rsidSect="00AD29AB">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D43"/>
    <w:rsid w:val="000E0340"/>
    <w:rsid w:val="001514BD"/>
    <w:rsid w:val="00167330"/>
    <w:rsid w:val="001943AD"/>
    <w:rsid w:val="0019694F"/>
    <w:rsid w:val="001C70B0"/>
    <w:rsid w:val="00327CFB"/>
    <w:rsid w:val="003D0141"/>
    <w:rsid w:val="003F450F"/>
    <w:rsid w:val="00455162"/>
    <w:rsid w:val="004627FC"/>
    <w:rsid w:val="0048282E"/>
    <w:rsid w:val="00485349"/>
    <w:rsid w:val="00596516"/>
    <w:rsid w:val="005C1EBB"/>
    <w:rsid w:val="006044D3"/>
    <w:rsid w:val="00740424"/>
    <w:rsid w:val="007C1182"/>
    <w:rsid w:val="008B7F3A"/>
    <w:rsid w:val="008E09AF"/>
    <w:rsid w:val="00961289"/>
    <w:rsid w:val="00975080"/>
    <w:rsid w:val="009B05B6"/>
    <w:rsid w:val="009E079F"/>
    <w:rsid w:val="00A20F0F"/>
    <w:rsid w:val="00A45AA7"/>
    <w:rsid w:val="00A93D43"/>
    <w:rsid w:val="00AF46E5"/>
    <w:rsid w:val="00B447F6"/>
    <w:rsid w:val="00BE773E"/>
    <w:rsid w:val="00C77151"/>
    <w:rsid w:val="00D04D0C"/>
    <w:rsid w:val="00D40333"/>
    <w:rsid w:val="00D41FE8"/>
    <w:rsid w:val="00ED4102"/>
    <w:rsid w:val="00F618BD"/>
    <w:rsid w:val="00FA7581"/>
    <w:rsid w:val="00FB313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AB44A"/>
  <w15:chartTrackingRefBased/>
  <w15:docId w15:val="{825B8FBF-C4EA-4C51-BB12-0FEDEF9E6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3D43"/>
    <w:pPr>
      <w:spacing w:line="360" w:lineRule="auto"/>
    </w:pPr>
    <w:rPr>
      <w:rFonts w:ascii="Times New Roman" w:hAnsi="Times New Roman"/>
      <w:sz w:val="24"/>
    </w:rPr>
  </w:style>
  <w:style w:type="paragraph" w:styleId="Heading1">
    <w:name w:val="heading 1"/>
    <w:basedOn w:val="Normal"/>
    <w:next w:val="Normal"/>
    <w:link w:val="Heading1Char"/>
    <w:uiPriority w:val="9"/>
    <w:qFormat/>
    <w:rsid w:val="00961289"/>
    <w:pPr>
      <w:keepNext/>
      <w:keepLines/>
      <w:spacing w:before="240" w:after="0" w:line="480" w:lineRule="auto"/>
      <w:jc w:val="both"/>
      <w:outlineLvl w:val="0"/>
    </w:pPr>
    <w:rPr>
      <w:rFonts w:eastAsiaTheme="majorEastAsia" w:cstheme="majorBidi"/>
      <w:b/>
      <w:kern w:val="0"/>
      <w:szCs w:val="32"/>
      <w14:ligatures w14:val="none"/>
    </w:rPr>
  </w:style>
  <w:style w:type="paragraph" w:styleId="Heading2">
    <w:name w:val="heading 2"/>
    <w:basedOn w:val="Normal"/>
    <w:next w:val="Normal"/>
    <w:link w:val="Heading2Char"/>
    <w:uiPriority w:val="9"/>
    <w:unhideWhenUsed/>
    <w:qFormat/>
    <w:rsid w:val="00961289"/>
    <w:pPr>
      <w:keepNext/>
      <w:keepLines/>
      <w:spacing w:before="40" w:after="0"/>
      <w:jc w:val="both"/>
      <w:outlineLvl w:val="1"/>
    </w:pPr>
    <w:rPr>
      <w:rFonts w:eastAsiaTheme="majorEastAsia" w:cstheme="majorBidi"/>
      <w:kern w:val="0"/>
      <w:szCs w:val="26"/>
      <w:u w:val="single"/>
      <w14:ligatures w14:val="none"/>
    </w:rPr>
  </w:style>
  <w:style w:type="paragraph" w:styleId="Heading3">
    <w:name w:val="heading 3"/>
    <w:basedOn w:val="Normal"/>
    <w:next w:val="Normal"/>
    <w:link w:val="Heading3Char"/>
    <w:uiPriority w:val="9"/>
    <w:unhideWhenUsed/>
    <w:qFormat/>
    <w:rsid w:val="00961289"/>
    <w:pPr>
      <w:keepNext/>
      <w:keepLines/>
      <w:spacing w:before="40" w:after="0"/>
      <w:ind w:left="720"/>
      <w:jc w:val="both"/>
      <w:outlineLvl w:val="2"/>
    </w:pPr>
    <w:rPr>
      <w:rFonts w:eastAsiaTheme="majorEastAsia" w:cstheme="majorBidi"/>
      <w:kern w:val="0"/>
      <w:szCs w:val="24"/>
      <w:u w:val="single"/>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1289"/>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961289"/>
    <w:rPr>
      <w:rFonts w:ascii="Times New Roman" w:eastAsiaTheme="majorEastAsia" w:hAnsi="Times New Roman" w:cstheme="majorBidi"/>
      <w:sz w:val="24"/>
      <w:szCs w:val="26"/>
      <w:u w:val="single"/>
    </w:rPr>
  </w:style>
  <w:style w:type="character" w:customStyle="1" w:styleId="Heading3Char">
    <w:name w:val="Heading 3 Char"/>
    <w:basedOn w:val="DefaultParagraphFont"/>
    <w:link w:val="Heading3"/>
    <w:uiPriority w:val="9"/>
    <w:rsid w:val="00961289"/>
    <w:rPr>
      <w:rFonts w:ascii="Times New Roman" w:eastAsiaTheme="majorEastAsia" w:hAnsi="Times New Roman" w:cstheme="majorBidi"/>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www.boldsystems.org/index.ph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60672-346A-4818-A1C0-19836FF02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2485</Words>
  <Characters>14171</Characters>
  <Application>Microsoft Office Word</Application>
  <DocSecurity>0</DocSecurity>
  <Lines>118</Lines>
  <Paragraphs>33</Paragraphs>
  <ScaleCrop>false</ScaleCrop>
  <Company/>
  <LinksUpToDate>false</LinksUpToDate>
  <CharactersWithSpaces>16623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Mulvaney, J, Dr [jakem@sun.ac.za]</dc:creator>
  <cp:keywords/>
  <dc:description/>
  <cp:lastModifiedBy>Mulvaney, J, Dr [jakem@sun.ac.za]</cp:lastModifiedBy>
  <cp:revision>6</cp:revision>
  <dcterms:created xsi:type="dcterms:W3CDTF">2023-02-06T15:53:00Z</dcterms:created>
  <dcterms:modified xsi:type="dcterms:W3CDTF">2023-02-06T16:12:00Z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http://csl.mendeley.com/styles/597149511/apa-3</vt:lpwstr>
  </property>
  <property fmtid="{D5CDD505-2E9C-101B-9397-08002B2CF9AE}" pid="9" name="Mendeley Recent Style Name 3_1">
    <vt:lpwstr>American Psychological Association 7th edition - Jake Mulvaney</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http://www.zotero.org/styles/journal-of-biogeography</vt:lpwstr>
  </property>
  <property fmtid="{D5CDD505-2E9C-101B-9397-08002B2CF9AE}" pid="19" name="Mendeley Recent Style Name 8_1">
    <vt:lpwstr>Journal of Biogeography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74ad917d-e32b-35a5-89ce-7155d0ba3a1a</vt:lpwstr>
  </property>
  <property fmtid="{D5CDD505-2E9C-101B-9397-08002B2CF9AE}" pid="24" name="Mendeley Citation Style_1">
    <vt:lpwstr>http://www.zotero.org/styles/journal-of-biogeography</vt:lpwstr>
  </property>
</Properties>
</file>