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390FAC" w14:textId="77777777" w:rsidR="002C6147" w:rsidRPr="00257907" w:rsidRDefault="002C6147" w:rsidP="002C6147">
      <w:pPr>
        <w:spacing w:line="36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45361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Súkeníková </w:t>
      </w:r>
      <w:r w:rsidRPr="00CE0B65">
        <w:rPr>
          <w:rFonts w:ascii="Times New Roman" w:hAnsi="Times New Roman" w:cs="Times New Roman"/>
          <w:b/>
          <w:sz w:val="24"/>
          <w:szCs w:val="24"/>
          <w:lang w:val="en-GB"/>
        </w:rPr>
        <w:t xml:space="preserve">et al, 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>Extended Data Figure 1</w:t>
      </w:r>
    </w:p>
    <w:p w14:paraId="5E1AF760" w14:textId="77777777" w:rsidR="002C6147" w:rsidRPr="00257907" w:rsidRDefault="002C6147" w:rsidP="002C6147">
      <w:pPr>
        <w:spacing w:line="36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57907"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08C277FE" wp14:editId="27820798">
            <wp:extent cx="5760720" cy="2025015"/>
            <wp:effectExtent l="0" t="0" r="0" b="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2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0F910" w14:textId="77777777" w:rsidR="002C6147" w:rsidRPr="00257907" w:rsidRDefault="002C6147" w:rsidP="002C614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>Extended Data Figure 1. Experimental approach to study autoreactive T cells in GBS patients.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Peripheral blood from GBS patients (</w:t>
      </w:r>
      <w:r w:rsidRPr="00257907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 = 16) at </w:t>
      </w:r>
      <w:r w:rsidRPr="00257907">
        <w:rPr>
          <w:rFonts w:ascii="Times New Roman" w:hAnsi="Times New Roman" w:cs="Times New Roman"/>
          <w:sz w:val="24"/>
          <w:szCs w:val="24"/>
        </w:rPr>
        <w:t>acute phase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and/or at follow up visits during the recovery stage</w:t>
      </w:r>
      <w:r w:rsidRPr="00257907">
        <w:rPr>
          <w:rFonts w:ascii="Times New Roman" w:hAnsi="Times New Roman" w:cs="Times New Roman"/>
          <w:sz w:val="24"/>
          <w:szCs w:val="24"/>
        </w:rPr>
        <w:t xml:space="preserve"> (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>Extended Data Table 1)</w:t>
      </w:r>
      <w:r w:rsidRPr="00257907">
        <w:rPr>
          <w:rFonts w:ascii="Times New Roman" w:hAnsi="Times New Roman" w:cs="Times New Roman"/>
          <w:sz w:val="24"/>
          <w:szCs w:val="24"/>
        </w:rPr>
        <w:t xml:space="preserve"> 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as well as from </w:t>
      </w:r>
      <w:r>
        <w:rPr>
          <w:rFonts w:ascii="Times New Roman" w:hAnsi="Times New Roman" w:cs="Times New Roman"/>
          <w:sz w:val="24"/>
          <w:szCs w:val="24"/>
          <w:lang w:val="en-GB"/>
        </w:rPr>
        <w:t>HD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r w:rsidRPr="00257907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 = 15) was collected. When available, we also obtained cerebrospinal fluid (CSF, </w:t>
      </w:r>
      <w:r w:rsidRPr="00257907">
        <w:rPr>
          <w:rFonts w:ascii="Times New Roman" w:hAnsi="Times New Roman" w:cs="Times New Roman"/>
          <w:i/>
          <w:iCs/>
          <w:sz w:val="24"/>
          <w:szCs w:val="24"/>
          <w:lang w:val="en-GB"/>
        </w:rPr>
        <w:t>n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= 3) and nerve biopsy (</w:t>
      </w:r>
      <w:r w:rsidRPr="00257907">
        <w:rPr>
          <w:rFonts w:ascii="Times New Roman" w:hAnsi="Times New Roman" w:cs="Times New Roman"/>
          <w:i/>
          <w:iCs/>
          <w:sz w:val="24"/>
          <w:szCs w:val="24"/>
          <w:lang w:val="en-GB"/>
        </w:rPr>
        <w:t>n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= 1) samples at GBS disease onset. Memory CD4</w:t>
      </w:r>
      <w:r w:rsidRPr="002579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and CD8</w:t>
      </w:r>
      <w:r w:rsidRPr="002579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T cells </w:t>
      </w:r>
      <w:r w:rsidRPr="00257907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ex vivo 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>from blood or total CD4</w:t>
      </w:r>
      <w:r w:rsidRPr="002579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and CD8</w:t>
      </w:r>
      <w:r w:rsidRPr="002579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T cells, polyclonally expanded </w:t>
      </w:r>
      <w:r w:rsidRPr="00257907">
        <w:rPr>
          <w:rFonts w:ascii="Times New Roman" w:hAnsi="Times New Roman" w:cs="Times New Roman"/>
          <w:i/>
          <w:iCs/>
          <w:sz w:val="24"/>
          <w:szCs w:val="24"/>
          <w:lang w:val="en-GB"/>
        </w:rPr>
        <w:t>in vitro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from CSF or nerve biopsy, were sorted by FACS-cytometry. 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>(a)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A fraction of cells (2 - 2.5 x10</w:t>
      </w:r>
      <w:r w:rsidRPr="002579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5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cells) was analysed by high throughput T cell receptor β-chain variable (TCR Vβ) sequencing to determinate their repertoire composition. 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>(b)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The rest of sorted T cells was </w:t>
      </w:r>
      <w:r w:rsidRPr="00257907">
        <w:rPr>
          <w:rFonts w:ascii="Times New Roman" w:hAnsi="Times New Roman" w:cs="Times New Roman"/>
          <w:i/>
          <w:iCs/>
          <w:sz w:val="24"/>
          <w:szCs w:val="24"/>
          <w:lang w:val="en-GB"/>
        </w:rPr>
        <w:t>in vitro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screened for the presence of autoreactive T cells specific for </w:t>
      </w:r>
      <w:bookmarkStart w:id="0" w:name="_Hlk127283098"/>
      <w:r w:rsidRPr="00257907">
        <w:rPr>
          <w:rFonts w:ascii="Times New Roman" w:hAnsi="Times New Roman" w:cs="Times New Roman"/>
          <w:sz w:val="24"/>
          <w:szCs w:val="24"/>
          <w:lang w:val="en-GB"/>
        </w:rPr>
        <w:t>P0, P2 and PMP22 myelin antigens of the peripheral nerves (PNS-myelin antigens)</w:t>
      </w:r>
      <w:bookmarkEnd w:id="0"/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. Autoreactive T cells were detected </w:t>
      </w:r>
      <w:r w:rsidRPr="00257907">
        <w:rPr>
          <w:rFonts w:ascii="Times New Roman" w:hAnsi="Times New Roman" w:cs="Times New Roman"/>
          <w:sz w:val="24"/>
          <w:szCs w:val="24"/>
        </w:rPr>
        <w:t xml:space="preserve">by measuring 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>carboxyfluorescein succinimidyl ester (</w:t>
      </w:r>
      <w:r w:rsidRPr="00257907">
        <w:rPr>
          <w:rFonts w:ascii="Times New Roman" w:hAnsi="Times New Roman" w:cs="Times New Roman"/>
          <w:sz w:val="24"/>
          <w:szCs w:val="24"/>
        </w:rPr>
        <w:t>CFSE) dilution and expression of the activation markers CD25 and ICOS on day 6-7 by flow cytometry.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>(c)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When identified, autoreactive T cells were further studied at the single cell resolution through the generation of single T cell clones by the characterization of their TCR Vβ sequences, MHC restriction and targeted epitope. 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>(d)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257907">
        <w:rPr>
          <w:rFonts w:ascii="Times New Roman" w:eastAsia="Times New Roman" w:hAnsi="Times New Roman" w:cs="Times New Roman"/>
          <w:sz w:val="24"/>
          <w:szCs w:val="24"/>
        </w:rPr>
        <w:t>TCR V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>β</w:t>
      </w:r>
      <w:r w:rsidRPr="00257907">
        <w:rPr>
          <w:rFonts w:ascii="Times New Roman" w:eastAsia="Times New Roman" w:hAnsi="Times New Roman" w:cs="Times New Roman"/>
          <w:sz w:val="24"/>
          <w:szCs w:val="24"/>
        </w:rPr>
        <w:t xml:space="preserve"> repertoire of PNS-myelin-specific T cell clones was compared to the repertoire obtained from T cell populations directly isolated </w:t>
      </w:r>
      <w:r w:rsidRPr="00257907">
        <w:rPr>
          <w:rFonts w:ascii="Times New Roman" w:eastAsia="Times New Roman" w:hAnsi="Times New Roman" w:cs="Times New Roman"/>
          <w:i/>
          <w:sz w:val="24"/>
          <w:szCs w:val="24"/>
        </w:rPr>
        <w:t>ex vivo</w:t>
      </w:r>
      <w:r w:rsidRPr="00257907">
        <w:rPr>
          <w:rFonts w:ascii="Times New Roman" w:eastAsia="Times New Roman" w:hAnsi="Times New Roman" w:cs="Times New Roman"/>
          <w:sz w:val="24"/>
          <w:szCs w:val="24"/>
        </w:rPr>
        <w:t xml:space="preserve"> from PBMCs or expanded from CSF or nerve biopsy to obtain information on their frequency </w:t>
      </w:r>
      <w:r w:rsidRPr="00257907">
        <w:rPr>
          <w:rFonts w:ascii="Times New Roman" w:eastAsia="Times New Roman" w:hAnsi="Times New Roman" w:cs="Times New Roman"/>
          <w:i/>
          <w:iCs/>
          <w:sz w:val="24"/>
          <w:szCs w:val="24"/>
        </w:rPr>
        <w:t>in vivo</w:t>
      </w:r>
      <w:r w:rsidRPr="00257907">
        <w:rPr>
          <w:rFonts w:ascii="Times New Roman" w:eastAsia="Times New Roman" w:hAnsi="Times New Roman" w:cs="Times New Roman"/>
          <w:sz w:val="24"/>
          <w:szCs w:val="24"/>
        </w:rPr>
        <w:t xml:space="preserve"> in the blood and on the potential existence of shared autoreactive T cells in GBS patients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3AFB6D4" w14:textId="77777777" w:rsidR="002C6147" w:rsidRPr="00257907" w:rsidRDefault="002C6147" w:rsidP="002C614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7059897" w14:textId="77777777" w:rsidR="002C6147" w:rsidRPr="00257907" w:rsidRDefault="002C6147" w:rsidP="002C614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CBBADD4" w14:textId="77777777" w:rsidR="002C6147" w:rsidRDefault="002C6147" w:rsidP="002C614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170850BF" w14:textId="77777777" w:rsidR="002C6147" w:rsidRPr="00257907" w:rsidRDefault="002C6147" w:rsidP="002C61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837E3">
        <w:rPr>
          <w:rFonts w:ascii="Times New Roman" w:hAnsi="Times New Roman" w:cs="Times New Roman"/>
          <w:b/>
          <w:bCs/>
          <w:sz w:val="24"/>
          <w:szCs w:val="24"/>
          <w:lang w:val="fr-CH"/>
        </w:rPr>
        <w:lastRenderedPageBreak/>
        <w:t>Súkeníková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>et al, Extended Data Figure 2.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350E61BD" w14:textId="77777777" w:rsidR="002C6147" w:rsidRPr="00257907" w:rsidRDefault="002C6147" w:rsidP="002C61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57907"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426A0E29" wp14:editId="79AE20B8">
            <wp:extent cx="4782312" cy="3794760"/>
            <wp:effectExtent l="0" t="0" r="0" b="0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2312" cy="379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86BE7" w14:textId="77777777" w:rsidR="002C6147" w:rsidRPr="00257907" w:rsidRDefault="002C6147" w:rsidP="002C61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>Extended Data Figure 2.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>Overview of autoreactive memory CD4</w:t>
      </w:r>
      <w:r w:rsidRPr="00257907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 cell response in GBS patients with respect to disease stage and prior SARS-CoV-2 infection. (a)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Graphical representation of autoreactive response detected based on total number of responding GBS patients (</w:t>
      </w:r>
      <w:r w:rsidRPr="00257907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 = 15, </w:t>
      </w:r>
      <w:r w:rsidRPr="00257907">
        <w:rPr>
          <w:rFonts w:ascii="Times New Roman" w:hAnsi="Times New Roman" w:cs="Times New Roman"/>
          <w:i/>
          <w:sz w:val="24"/>
          <w:szCs w:val="24"/>
          <w:lang w:val="en-GB"/>
        </w:rPr>
        <w:t>y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axis) to P0, P2 and PMP22 myelin antigens (x axis) and disease phase where autoreactivity was detected. 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>(b-c)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Number and percentage of GBS patients showing an autoreactive CD4</w:t>
      </w:r>
      <w:r w:rsidRPr="002579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T cells response divided with respect to prior SARS-CoV-2 infection (post-COVID-19, </w:t>
      </w:r>
      <w:r w:rsidRPr="00257907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 = 5 and non-COVID-19, </w:t>
      </w:r>
      <w:r w:rsidRPr="00257907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 = 10). 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(b) 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Reactivity to either one, two, three, or none of the PNS-myelin autoantigens tested and 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(c) 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>number of responders / non-responders GBS patients are shown with respect to P0, P2 and PMP22 myelin antigens.</w:t>
      </w:r>
    </w:p>
    <w:p w14:paraId="3AE02109" w14:textId="77777777" w:rsidR="002C6147" w:rsidRPr="00257907" w:rsidRDefault="002C6147" w:rsidP="002C614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43601EE0" w14:textId="77777777" w:rsidR="002C6147" w:rsidRPr="00257907" w:rsidRDefault="002C6147" w:rsidP="002C614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598D5196" w14:textId="77777777" w:rsidR="002C6147" w:rsidRDefault="002C6147" w:rsidP="002C614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1D7FDC02" w14:textId="77777777" w:rsidR="002C6147" w:rsidRPr="00257907" w:rsidRDefault="002C6147" w:rsidP="002C61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837E3">
        <w:rPr>
          <w:rFonts w:ascii="Times New Roman" w:hAnsi="Times New Roman" w:cs="Times New Roman"/>
          <w:b/>
          <w:bCs/>
          <w:sz w:val="24"/>
          <w:szCs w:val="24"/>
          <w:lang w:val="fr-CH"/>
        </w:rPr>
        <w:lastRenderedPageBreak/>
        <w:t xml:space="preserve">Súkeníková 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>et al, Extended Data Figure 3.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4D27FD83" w14:textId="77777777" w:rsidR="002C6147" w:rsidRPr="00257907" w:rsidRDefault="002C6147" w:rsidP="002C614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282A2D47" wp14:editId="7517CF23">
            <wp:extent cx="5532120" cy="7275576"/>
            <wp:effectExtent l="0" t="0" r="0" b="1905"/>
            <wp:docPr id="17" name="Picture 17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Diagram, schematic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2120" cy="7275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55AB1" w14:textId="77777777" w:rsidR="002C6147" w:rsidRDefault="002C6147" w:rsidP="002C61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 xml:space="preserve">Extended Data Figure 3. </w:t>
      </w:r>
      <w:r w:rsidRPr="00257907">
        <w:rPr>
          <w:rFonts w:ascii="Times New Roman" w:hAnsi="Times New Roman" w:cs="Times New Roman"/>
          <w:b/>
          <w:i/>
          <w:iCs/>
          <w:sz w:val="24"/>
          <w:szCs w:val="24"/>
          <w:lang w:val="en-GB"/>
        </w:rPr>
        <w:t>Ex vivo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stimulation of memory CD8</w:t>
      </w:r>
      <w:r w:rsidRPr="00257907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T cells from blood of GBS patients and healthy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donors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>. (a)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Total memory CD8</w:t>
      </w:r>
      <w:r w:rsidRPr="002579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T cells from the blood of GBS patients and </w:t>
      </w:r>
      <w:r>
        <w:rPr>
          <w:rFonts w:ascii="Times New Roman" w:hAnsi="Times New Roman" w:cs="Times New Roman"/>
          <w:sz w:val="24"/>
          <w:szCs w:val="24"/>
          <w:lang w:val="en-GB"/>
        </w:rPr>
        <w:t>healthy donors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were </w:t>
      </w:r>
      <w:r w:rsidRPr="00257907">
        <w:rPr>
          <w:rFonts w:ascii="Times New Roman" w:hAnsi="Times New Roman" w:cs="Times New Roman"/>
          <w:sz w:val="24"/>
          <w:szCs w:val="24"/>
        </w:rPr>
        <w:t>labelled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with CFSE and cultured with autologous monocytes in the presence or absence of the PNS-myelin peptide pools (P0, P2, PMP22) and EBV/CMV HLA class I peptides as positive control. CFSE profiles from two representative patients (PT4, PT6) and one healthy donor (HD15) are shown. 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>(b)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Overview of the total number of screened GBS patients and </w:t>
      </w:r>
      <w:r>
        <w:rPr>
          <w:rFonts w:ascii="Times New Roman" w:hAnsi="Times New Roman" w:cs="Times New Roman"/>
          <w:sz w:val="24"/>
          <w:szCs w:val="24"/>
          <w:lang w:val="en-GB"/>
        </w:rPr>
        <w:t>HD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reactive to either one, two, three, or none of the PNS-myelin autoantigens tested. Positive response was considered as </w:t>
      </w:r>
      <w:r w:rsidRPr="00257907">
        <w:rPr>
          <w:rFonts w:ascii="Times New Roman" w:hAnsi="Times New Roman" w:cs="Times New Roman"/>
          <w:sz w:val="24"/>
          <w:szCs w:val="24"/>
        </w:rPr>
        <w:t>stimulation index ≥ 2 and a Δ value ≥ 1.5%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>. (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>c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>) Total number of GBS patients showing or not autoreactive CD8</w:t>
      </w:r>
      <w:r w:rsidRPr="002579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T cell response divided with respect to prior SARS-CoV-2 infection. 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>(d)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Scatterplot with pooled data from the GBS patients (PT, </w:t>
      </w:r>
      <w:r w:rsidRPr="00257907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 = 11 biologically independent samples, coloured dots) and </w:t>
      </w:r>
      <w:r>
        <w:rPr>
          <w:rFonts w:ascii="Times New Roman" w:hAnsi="Times New Roman" w:cs="Times New Roman"/>
          <w:sz w:val="24"/>
          <w:szCs w:val="24"/>
          <w:lang w:val="en-GB"/>
        </w:rPr>
        <w:t>healthy donors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(HD, </w:t>
      </w:r>
      <w:r w:rsidRPr="00257907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> = 11 biologically independent samples, white and grey dots) are shown as the percentage of proliferating CFSE</w:t>
      </w:r>
      <w:r w:rsidRPr="002579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low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cells. Each dot represents an individual donor and bar height indicates mean value with standard deviation. Data were analysed using Wilcoxon matched-pairs signed-rank test (P values are denoted: p &gt; 0.05, *p &lt; 0.05, **p &lt; 0.01 and ***p &lt; 0.001). 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>(e)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PNS-myelin specific memory CD8</w:t>
      </w:r>
      <w:r w:rsidRPr="002579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T cell clones were identified by individual stimulation with autologous B cells untreated (No Ag) or pulsed </w:t>
      </w:r>
      <w:r w:rsidRPr="00257907">
        <w:rPr>
          <w:rFonts w:ascii="Times New Roman" w:hAnsi="Times New Roman" w:cs="Times New Roman"/>
          <w:sz w:val="24"/>
          <w:szCs w:val="24"/>
        </w:rPr>
        <w:t>with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the indicated PNS-myelin peptide pools (P0, P2, PMP22). Proliferation of CD8</w:t>
      </w:r>
      <w:r w:rsidRPr="002579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T cell clones was measured on day 3 after a 16-h pulse with [</w:t>
      </w:r>
      <w:r w:rsidRPr="002579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>H]-thymidine and is expressed as counts per minute (c.p.m.). Total number of PNS-myelin specific CD8</w:t>
      </w:r>
      <w:r w:rsidRPr="002579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T cell clones isolated from all GBS patients (</w:t>
      </w:r>
      <w:r w:rsidRPr="00257907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 = 11) is indicated above each graph. 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>(f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>)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TCR V</w:t>
      </w:r>
      <w:r w:rsidRPr="00257907">
        <w:rPr>
          <w:rFonts w:ascii="Times New Roman" w:hAnsi="Times New Roman" w:cs="Times New Roman"/>
          <w:sz w:val="24"/>
          <w:szCs w:val="24"/>
        </w:rPr>
        <w:t>β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gene usage of P0-, P2-, PMP22-specific CD8</w:t>
      </w:r>
      <w:r w:rsidRPr="002579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T cell clones isolated from GBS patients (</w:t>
      </w:r>
      <w:r w:rsidRPr="00257907">
        <w:rPr>
          <w:rFonts w:ascii="Times New Roman" w:hAnsi="Times New Roman" w:cs="Times New Roman"/>
          <w:i/>
          <w:iCs/>
          <w:sz w:val="24"/>
          <w:szCs w:val="24"/>
          <w:lang w:val="en-GB"/>
        </w:rPr>
        <w:t>n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= 5) is shown as stacked bar chart. The </w:t>
      </w:r>
      <w:r w:rsidRPr="00257907">
        <w:rPr>
          <w:rFonts w:ascii="Times New Roman" w:hAnsi="Times New Roman" w:cs="Times New Roman"/>
          <w:i/>
          <w:sz w:val="24"/>
          <w:szCs w:val="24"/>
          <w:lang w:val="en-GB"/>
        </w:rPr>
        <w:t>y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axis indicates the number of unique autoreactive clonotypes carrying different CDR3</w:t>
      </w:r>
      <w:r w:rsidRPr="00257907">
        <w:rPr>
          <w:rFonts w:ascii="Times New Roman" w:hAnsi="Times New Roman" w:cs="Times New Roman"/>
          <w:sz w:val="24"/>
          <w:szCs w:val="24"/>
        </w:rPr>
        <w:t>β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sequences.</w:t>
      </w:r>
    </w:p>
    <w:p w14:paraId="23E4F272" w14:textId="77777777" w:rsidR="002C6147" w:rsidRDefault="002C6147" w:rsidP="002C6147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14:paraId="2135D775" w14:textId="77777777" w:rsidR="002C6147" w:rsidRPr="00257907" w:rsidRDefault="002C6147" w:rsidP="002C61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837E3">
        <w:rPr>
          <w:rFonts w:ascii="Times New Roman" w:hAnsi="Times New Roman" w:cs="Times New Roman"/>
          <w:b/>
          <w:bCs/>
          <w:sz w:val="24"/>
          <w:szCs w:val="24"/>
          <w:lang w:val="fr-CH"/>
        </w:rPr>
        <w:lastRenderedPageBreak/>
        <w:t xml:space="preserve">Súkeníková 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>et al, Extended Data Figure 4.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29976764" w14:textId="77777777" w:rsidR="002C6147" w:rsidRPr="00257907" w:rsidRDefault="002C6147" w:rsidP="002C61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noProof/>
          <w:sz w:val="24"/>
          <w:szCs w:val="24"/>
          <w:lang w:val="en-GB"/>
        </w:rPr>
        <w:drawing>
          <wp:inline distT="0" distB="0" distL="0" distR="0" wp14:anchorId="2D726375" wp14:editId="185E4F28">
            <wp:extent cx="4623816" cy="5071872"/>
            <wp:effectExtent l="0" t="0" r="5715" b="0"/>
            <wp:docPr id="18" name="Picture 1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3816" cy="5071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63089" w14:textId="77777777" w:rsidR="002C6147" w:rsidRPr="00257907" w:rsidRDefault="002C6147" w:rsidP="002C6147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>Extended Data Figure</w:t>
      </w:r>
      <w:r w:rsidRPr="0025790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4.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25790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Characterization of autoreactive T cell clones in GBS patients. (a)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>TCR V</w:t>
      </w:r>
      <w:r w:rsidRPr="00257907">
        <w:rPr>
          <w:rFonts w:ascii="Times New Roman" w:hAnsi="Times New Roman" w:cs="Times New Roman"/>
          <w:sz w:val="24"/>
          <w:szCs w:val="24"/>
        </w:rPr>
        <w:t>β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gene usage of P0-, P2-, PMP22-specific</w:t>
      </w:r>
      <w:r w:rsidRPr="00257907" w:rsidDel="00830ED2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clonotypes isolated from the indicated GBS patients. The </w:t>
      </w:r>
      <w:r w:rsidRPr="00257907">
        <w:rPr>
          <w:rFonts w:ascii="Times New Roman" w:hAnsi="Times New Roman" w:cs="Times New Roman"/>
          <w:i/>
          <w:color w:val="000000" w:themeColor="text1"/>
          <w:sz w:val="24"/>
          <w:szCs w:val="24"/>
          <w:lang w:val="en-GB"/>
        </w:rPr>
        <w:t>y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axis indicates the number of autoreactive clonotypes. </w:t>
      </w:r>
      <w:r w:rsidRPr="0025790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(b)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Heat map showing the percentage of clonotypes bearing the same 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>CDR3</w:t>
      </w:r>
      <w:r w:rsidRPr="00257907">
        <w:rPr>
          <w:rFonts w:ascii="Times New Roman" w:hAnsi="Times New Roman" w:cs="Times New Roman"/>
          <w:sz w:val="24"/>
          <w:szCs w:val="24"/>
        </w:rPr>
        <w:t>β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length defined by the number of nucleotides. 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>The CDR3</w:t>
      </w:r>
      <w:r w:rsidRPr="00257907">
        <w:rPr>
          <w:rFonts w:ascii="Times New Roman" w:hAnsi="Times New Roman" w:cs="Times New Roman"/>
          <w:sz w:val="24"/>
          <w:szCs w:val="24"/>
        </w:rPr>
        <w:t>β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lengths of PNS-myelin-specific CD4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 xml:space="preserve">+ 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T cells isolated from GBS patients are shown in the top raw (</w:t>
      </w:r>
      <w:r w:rsidRPr="00257907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GB"/>
        </w:rPr>
        <w:t>n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= 149 from 13 PT) and were compared to the 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>CDR3</w:t>
      </w:r>
      <w:r w:rsidRPr="00257907">
        <w:rPr>
          <w:rFonts w:ascii="Times New Roman" w:hAnsi="Times New Roman" w:cs="Times New Roman"/>
          <w:sz w:val="24"/>
          <w:szCs w:val="24"/>
        </w:rPr>
        <w:t>β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lengths of (i) SARS-CoV-2-specific CD4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 xml:space="preserve">+ 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T cell clones (virus-specific clonotypes, </w:t>
      </w:r>
      <w:r w:rsidRPr="00257907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GB"/>
        </w:rPr>
        <w:t>n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= 93 from 6 PT), (ii)  </w:t>
      </w:r>
      <w:r w:rsidRPr="00257907">
        <w:rPr>
          <w:rFonts w:ascii="Times New Roman" w:hAnsi="Times New Roman" w:cs="Times New Roman"/>
          <w:i/>
          <w:color w:val="000000" w:themeColor="text1"/>
          <w:sz w:val="24"/>
          <w:szCs w:val="24"/>
          <w:lang w:val="en-GB"/>
        </w:rPr>
        <w:t>ex vivo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memory CD4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T cells from the indicated GBS patients, or  patients with other autoimmune disorders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A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) or healthy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donors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C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and (iv) bacteria-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B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>) and viruses- (V) reactive CD4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+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T cell CFSE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  <w:lang w:val="en-GB"/>
        </w:rPr>
        <w:t>low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fractions enriched from </w:t>
      </w:r>
      <w:r w:rsidRPr="00257907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GB"/>
        </w:rPr>
        <w:t>in vitro</w:t>
      </w:r>
      <w:r w:rsidRPr="00257907"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 stimulation assay. </w:t>
      </w:r>
    </w:p>
    <w:p w14:paraId="5B60BD00" w14:textId="77777777" w:rsidR="002C6147" w:rsidRPr="00257907" w:rsidRDefault="002C6147" w:rsidP="002C6147">
      <w:pPr>
        <w:spacing w:line="360" w:lineRule="auto"/>
        <w:ind w:left="284" w:hanging="284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93FA2E9" w14:textId="77777777" w:rsidR="002C6147" w:rsidRDefault="002C6147" w:rsidP="002C614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09598C6E" w14:textId="77777777" w:rsidR="002C6147" w:rsidRDefault="002C6147" w:rsidP="002C61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837E3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Súkeníková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 xml:space="preserve">et al, Extended Data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Table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14:paraId="4B6D0BE3" w14:textId="77777777" w:rsidR="002C6147" w:rsidRDefault="002C6147" w:rsidP="002C6147">
      <w:pPr>
        <w:spacing w:before="36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A65C1">
        <w:rPr>
          <w:rFonts w:ascii="Times New Roman" w:hAnsi="Times New Roman" w:cs="Times New Roman"/>
          <w:sz w:val="24"/>
          <w:szCs w:val="24"/>
          <w:lang w:val="en-GB"/>
        </w:rPr>
        <w:t>N.A. not available; VZV, Varicella-zoster virus; CMV, Cytomegalovirus; IVIg, Intravenous immunoglobulin; PEX, Plasma Exchange</w:t>
      </w:r>
      <w:r>
        <w:rPr>
          <w:rFonts w:ascii="Times New Roman" w:hAnsi="Times New Roman" w:cs="Times New Roman"/>
          <w:sz w:val="24"/>
          <w:szCs w:val="24"/>
          <w:lang w:val="en-GB"/>
        </w:rPr>
        <w:t>; *days from disease onset</w:t>
      </w:r>
    </w:p>
    <w:tbl>
      <w:tblPr>
        <w:tblpPr w:leftFromText="180" w:rightFromText="180" w:vertAnchor="page" w:horzAnchor="margin" w:tblpY="2198"/>
        <w:tblW w:w="5200" w:type="pct"/>
        <w:tblLook w:val="04A0" w:firstRow="1" w:lastRow="0" w:firstColumn="1" w:lastColumn="0" w:noHBand="0" w:noVBand="1"/>
      </w:tblPr>
      <w:tblGrid>
        <w:gridCol w:w="728"/>
        <w:gridCol w:w="757"/>
        <w:gridCol w:w="500"/>
        <w:gridCol w:w="1359"/>
        <w:gridCol w:w="1179"/>
        <w:gridCol w:w="976"/>
        <w:gridCol w:w="1103"/>
        <w:gridCol w:w="801"/>
        <w:gridCol w:w="881"/>
        <w:gridCol w:w="720"/>
        <w:gridCol w:w="720"/>
      </w:tblGrid>
      <w:tr w:rsidR="002C6147" w:rsidRPr="005A65C1" w14:paraId="07A8F6A4" w14:textId="77777777" w:rsidTr="004A323E">
        <w:trPr>
          <w:cantSplit/>
          <w:trHeight w:val="526"/>
        </w:trPr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DD896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Patient ID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AB327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n-GB"/>
              </w:rPr>
              <w:t>Gender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7D601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Age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9C159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Diagnosis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B5D22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Prior </w:t>
            </w: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br/>
              <w:t>infection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670A71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Treatment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1AC7BB22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Anti-gangliosides antibody (serum)</w:t>
            </w:r>
          </w:p>
        </w:tc>
        <w:tc>
          <w:tcPr>
            <w:tcW w:w="41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2D8A5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Acute </w:t>
            </w: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br/>
              <w:t>blood sample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*</w:t>
            </w: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</w:p>
        </w:tc>
        <w:tc>
          <w:tcPr>
            <w:tcW w:w="45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E3538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Follow-up </w:t>
            </w: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br/>
              <w:t>blood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 </w:t>
            </w: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sample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*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C61D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 xml:space="preserve">CSF </w:t>
            </w: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br/>
              <w:t>sample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1327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n-GB"/>
              </w:rPr>
              <w:t>Nerve biopsy sample</w:t>
            </w:r>
          </w:p>
        </w:tc>
      </w:tr>
      <w:tr w:rsidR="002C6147" w:rsidRPr="005A65C1" w14:paraId="63F62552" w14:textId="77777777" w:rsidTr="004A323E">
        <w:trPr>
          <w:cantSplit/>
          <w:trHeight w:val="432"/>
        </w:trPr>
        <w:tc>
          <w:tcPr>
            <w:tcW w:w="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AA01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PT1</w:t>
            </w:r>
          </w:p>
        </w:tc>
        <w:tc>
          <w:tcPr>
            <w:tcW w:w="3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D244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</w:t>
            </w:r>
          </w:p>
        </w:tc>
        <w:tc>
          <w:tcPr>
            <w:tcW w:w="2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62E14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74</w:t>
            </w:r>
          </w:p>
        </w:tc>
        <w:tc>
          <w:tcPr>
            <w:tcW w:w="69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2B77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B62AE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VZV</w:t>
            </w:r>
          </w:p>
        </w:tc>
        <w:tc>
          <w:tcPr>
            <w:tcW w:w="5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998AE1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None</w:t>
            </w:r>
          </w:p>
        </w:tc>
        <w:tc>
          <w:tcPr>
            <w:tcW w:w="56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71D034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Negative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D1508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CD24F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201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D0B05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CB55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0BB085DD" w14:textId="77777777" w:rsidTr="004A323E">
        <w:trPr>
          <w:cantSplit/>
          <w:trHeight w:val="877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29CA4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PT2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04854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35EA9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31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35051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5CE9E6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CMV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85F86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None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97EEDF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Anti-GD1a IgG Positive</w:t>
            </w:r>
          </w:p>
          <w:p w14:paraId="79B3BE38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Anti-GD1b IgG Positive</w:t>
            </w: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br/>
              <w:t>Anti-GM1 IgG Positive</w:t>
            </w: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br/>
              <w:t>Anti-GM2 IgM Positive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5690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5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BD132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180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52AE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CB60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0BA5FAF2" w14:textId="77777777" w:rsidTr="004A323E">
        <w:trPr>
          <w:cantSplit/>
          <w:trHeight w:val="432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C15C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PT3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D1AE4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D3FE6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52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90E55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67A591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 xml:space="preserve">CMV 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475CDF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 xml:space="preserve">IVIg 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C280C9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Negative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37B54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 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F292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136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B46C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78A0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0339E28F" w14:textId="77777777" w:rsidTr="004A323E">
        <w:trPr>
          <w:cantSplit/>
          <w:trHeight w:val="432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8BA53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10CFE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C5C71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75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331BF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9825EE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F4087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 xml:space="preserve">IVIg 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F63B89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Negative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6E359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15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C7905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235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B6452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47DC6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6F5F203E" w14:textId="77777777" w:rsidTr="004A323E">
        <w:trPr>
          <w:cantSplit/>
          <w:trHeight w:val="432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54251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PT5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E0A5F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F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0D367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65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AD7AF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911011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223E8F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None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C6BA62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Negative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9118E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36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320C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314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DEC07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4B20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788D070A" w14:textId="77777777" w:rsidTr="004A323E">
        <w:trPr>
          <w:cantSplit/>
          <w:trHeight w:val="432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4D8F8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PT6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4720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7E291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30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BB4F6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1A048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2B991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None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DB5B2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Negative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01E12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15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E590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350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B30A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53487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084FAF24" w14:textId="77777777" w:rsidTr="004A323E">
        <w:trPr>
          <w:cantSplit/>
          <w:trHeight w:val="432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40F54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PT7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CFDB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EBE34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80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3D7D6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0C0BD5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2E8ABF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IVIg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8DAD37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ABE2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0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E5163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223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524A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CAEE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1FBA4E3B" w14:textId="77777777" w:rsidTr="004A323E">
        <w:trPr>
          <w:cantSplit/>
          <w:trHeight w:val="432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EA0E9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PT8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00AA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F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458E5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61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30895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CD093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Pyelonephritis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E7F2C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 xml:space="preserve">IVIg 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58932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326F9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13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B0197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241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8BD3F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0E6F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479BB8A3" w14:textId="77777777" w:rsidTr="004A323E">
        <w:trPr>
          <w:cantSplit/>
          <w:trHeight w:val="432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7EA8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PT9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C0BC3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C1AD2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64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DC21A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C5B28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5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1BCB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IVIg</w:t>
            </w:r>
          </w:p>
        </w:tc>
        <w:tc>
          <w:tcPr>
            <w:tcW w:w="5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262C5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Negative</w:t>
            </w:r>
          </w:p>
        </w:tc>
        <w:tc>
          <w:tcPr>
            <w:tcW w:w="4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3FDA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8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7B515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428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ABB4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03631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605B2FFA" w14:textId="77777777" w:rsidTr="004A323E">
        <w:trPr>
          <w:cantSplit/>
          <w:trHeight w:val="432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71FF4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PT10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1AC34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F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83B8E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71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18961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F0436E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5789B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None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4BC2A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Negative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77FE0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4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824B6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  N.A.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5246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Yes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12A93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2121266F" w14:textId="77777777" w:rsidTr="004A323E">
        <w:trPr>
          <w:cantSplit/>
          <w:trHeight w:val="432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C7D36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PT11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C4FF8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49E49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54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90B0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Post-COVID-19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9A28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SARS-CoV-2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CBEBD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IVIg and PEX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404D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Negative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B064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20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D690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135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3F096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Yes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194AA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651304DC" w14:textId="77777777" w:rsidTr="004A323E">
        <w:trPr>
          <w:cantSplit/>
          <w:trHeight w:val="432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C40BA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PT12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BCF3A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9ABA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49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A04DF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Post-COVID-19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9C0A5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SARS-CoV-2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0476A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 xml:space="preserve">IVIg 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0A6AA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Negative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6BD06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E4CFF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147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CA6D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Yes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9FFB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23FC9645" w14:textId="77777777" w:rsidTr="004A323E">
        <w:trPr>
          <w:cantSplit/>
          <w:trHeight w:val="432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E6AE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PT13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8DB5E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F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473C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48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954F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Post-COVID-19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DFEE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SARS-CoV-2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9602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 xml:space="preserve">IVIg 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0994E7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Negative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21D56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9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C47A8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509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5C296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6C412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7F711BF9" w14:textId="77777777" w:rsidTr="004A323E">
        <w:trPr>
          <w:cantSplit/>
          <w:trHeight w:val="432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DA398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PT14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9BF7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3B38A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49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B9783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Post-COVID-19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06963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SARS-CoV-2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7CAE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None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04594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Negative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A1F0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12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5F8D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138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8E02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CC011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3147BD24" w14:textId="77777777" w:rsidTr="004A323E">
        <w:trPr>
          <w:cantSplit/>
          <w:trHeight w:val="432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B0A75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PT15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CECA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01E83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53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F3884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Post-COVID-19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8113E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SARS-CoV-2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A69F1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None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F040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Anti-GM2 IgM Positive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AC407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6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F3CEC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188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117A7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54D6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</w:tr>
      <w:tr w:rsidR="002C6147" w:rsidRPr="005A65C1" w14:paraId="2F22729E" w14:textId="77777777" w:rsidTr="004A323E">
        <w:trPr>
          <w:cantSplit/>
          <w:trHeight w:val="432"/>
        </w:trPr>
        <w:tc>
          <w:tcPr>
            <w:tcW w:w="37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FDB8E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PT16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6A962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>M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CE36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66</w:t>
            </w:r>
          </w:p>
        </w:tc>
        <w:tc>
          <w:tcPr>
            <w:tcW w:w="69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DA9BD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Non-COVID-19 AIDP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F562A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sz w:val="16"/>
                <w:szCs w:val="16"/>
                <w:lang w:val="en-GB" w:eastAsia="en-GB"/>
              </w:rPr>
              <w:t xml:space="preserve">VZV </w:t>
            </w:r>
          </w:p>
        </w:tc>
        <w:tc>
          <w:tcPr>
            <w:tcW w:w="5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D71E00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 xml:space="preserve">PEX and IVIg 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A6C4C8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Negative</w:t>
            </w:r>
          </w:p>
        </w:tc>
        <w:tc>
          <w:tcPr>
            <w:tcW w:w="41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8243E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31</w:t>
            </w:r>
          </w:p>
        </w:tc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33477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  N.A. 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0A02E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N.A.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DF4BB" w14:textId="77777777" w:rsidR="002C6147" w:rsidRPr="005A65C1" w:rsidRDefault="002C6147" w:rsidP="004A3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</w:pPr>
            <w:r w:rsidRPr="005A65C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n-GB"/>
              </w:rPr>
              <w:t>Yes</w:t>
            </w:r>
          </w:p>
        </w:tc>
      </w:tr>
    </w:tbl>
    <w:p w14:paraId="5793D237" w14:textId="77777777" w:rsidR="002C6147" w:rsidRPr="00257907" w:rsidRDefault="002C6147" w:rsidP="002C61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5CF4785F" w14:textId="77777777" w:rsidR="002C6147" w:rsidRDefault="002C6147" w:rsidP="002C614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29BAC009" w14:textId="77777777" w:rsidR="002C6147" w:rsidRDefault="002C6147" w:rsidP="002C614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br w:type="page"/>
      </w:r>
    </w:p>
    <w:p w14:paraId="7C65E5D8" w14:textId="77777777" w:rsidR="002C6147" w:rsidRPr="00257907" w:rsidRDefault="002C6147" w:rsidP="002C614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837E3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Súkeníková</w:t>
      </w:r>
      <w:r w:rsidRPr="0025790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 xml:space="preserve">et al, Extended Data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Table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2</w:t>
      </w:r>
      <w:r w:rsidRPr="00257907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25790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tbl>
      <w:tblPr>
        <w:tblStyle w:val="TableGrid"/>
        <w:tblpPr w:leftFromText="180" w:rightFromText="180" w:horzAnchor="margin" w:tblpXSpec="center" w:tblpY="611"/>
        <w:tblW w:w="5013" w:type="pct"/>
        <w:tblLayout w:type="fixed"/>
        <w:tblLook w:val="04A0" w:firstRow="1" w:lastRow="0" w:firstColumn="1" w:lastColumn="0" w:noHBand="0" w:noVBand="1"/>
      </w:tblPr>
      <w:tblGrid>
        <w:gridCol w:w="658"/>
        <w:gridCol w:w="1022"/>
        <w:gridCol w:w="1110"/>
        <w:gridCol w:w="1103"/>
        <w:gridCol w:w="1090"/>
        <w:gridCol w:w="9"/>
        <w:gridCol w:w="1133"/>
        <w:gridCol w:w="9"/>
        <w:gridCol w:w="998"/>
        <w:gridCol w:w="1137"/>
        <w:gridCol w:w="1110"/>
      </w:tblGrid>
      <w:tr w:rsidR="002C6147" w:rsidRPr="00A9356D" w14:paraId="222FED74" w14:textId="77777777" w:rsidTr="004A323E">
        <w:trPr>
          <w:trHeight w:val="315"/>
        </w:trPr>
        <w:tc>
          <w:tcPr>
            <w:tcW w:w="350" w:type="pct"/>
            <w:tcBorders>
              <w:top w:val="nil"/>
              <w:left w:val="nil"/>
            </w:tcBorders>
            <w:noWrap/>
            <w:hideMark/>
          </w:tcPr>
          <w:p w14:paraId="6C2F81BB" w14:textId="77777777" w:rsidR="002C6147" w:rsidRPr="00A9356D" w:rsidRDefault="002C6147" w:rsidP="004A323E">
            <w:pPr>
              <w:tabs>
                <w:tab w:val="left" w:pos="393"/>
              </w:tabs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11" w:type="pct"/>
            <w:gridSpan w:val="5"/>
            <w:vAlign w:val="center"/>
            <w:hideMark/>
          </w:tcPr>
          <w:p w14:paraId="7590E348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Memory CD4</w:t>
            </w: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GB"/>
              </w:rPr>
              <w:t>+</w:t>
            </w: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 T cells from blood</w:t>
            </w:r>
          </w:p>
        </w:tc>
        <w:tc>
          <w:tcPr>
            <w:tcW w:w="609" w:type="pct"/>
            <w:gridSpan w:val="2"/>
            <w:vAlign w:val="center"/>
          </w:tcPr>
          <w:p w14:paraId="526C4734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Total CD4</w:t>
            </w: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GB"/>
              </w:rPr>
              <w:t>+</w:t>
            </w: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 T cells from CFS</w:t>
            </w:r>
          </w:p>
        </w:tc>
        <w:tc>
          <w:tcPr>
            <w:tcW w:w="1731" w:type="pct"/>
            <w:gridSpan w:val="3"/>
            <w:vAlign w:val="center"/>
            <w:hideMark/>
          </w:tcPr>
          <w:p w14:paraId="1EF46E15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Memory CD8</w:t>
            </w: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GB"/>
              </w:rPr>
              <w:t>+</w:t>
            </w: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 T cells from blood</w:t>
            </w:r>
          </w:p>
        </w:tc>
      </w:tr>
      <w:tr w:rsidR="002C6147" w:rsidRPr="00A9356D" w14:paraId="082E6D8E" w14:textId="77777777" w:rsidTr="004A323E">
        <w:trPr>
          <w:trHeight w:val="751"/>
        </w:trPr>
        <w:tc>
          <w:tcPr>
            <w:tcW w:w="350" w:type="pct"/>
            <w:noWrap/>
            <w:hideMark/>
          </w:tcPr>
          <w:p w14:paraId="23B53C1B" w14:textId="77777777" w:rsidR="002C6147" w:rsidRPr="00A9356D" w:rsidRDefault="002C6147" w:rsidP="004A323E">
            <w:pPr>
              <w:ind w:hanging="112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PT (ID)</w:t>
            </w:r>
          </w:p>
        </w:tc>
        <w:tc>
          <w:tcPr>
            <w:tcW w:w="545" w:type="pct"/>
            <w:hideMark/>
          </w:tcPr>
          <w:p w14:paraId="7ACF9DCA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Ex vivo screening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*</w:t>
            </w:r>
          </w:p>
        </w:tc>
        <w:tc>
          <w:tcPr>
            <w:tcW w:w="592" w:type="pct"/>
            <w:hideMark/>
          </w:tcPr>
          <w:p w14:paraId="09E54140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PNS-myelin reactivity</w:t>
            </w:r>
          </w:p>
        </w:tc>
        <w:tc>
          <w:tcPr>
            <w:tcW w:w="588" w:type="pct"/>
            <w:hideMark/>
          </w:tcPr>
          <w:p w14:paraId="3B04F942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Isolation of PNS-myelin specific clones</w:t>
            </w:r>
          </w:p>
        </w:tc>
        <w:tc>
          <w:tcPr>
            <w:tcW w:w="581" w:type="pct"/>
            <w:hideMark/>
          </w:tcPr>
          <w:p w14:paraId="48DB3DFB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High Throughput TCR</w:t>
            </w:r>
            <w:r w:rsidRPr="00A9356D">
              <w:rPr>
                <w:rFonts w:ascii="Symbol" w:hAnsi="Symbol" w:cs="Times New Roman"/>
                <w:b/>
                <w:bCs/>
                <w:sz w:val="16"/>
                <w:szCs w:val="16"/>
                <w:lang w:val="en-GB"/>
              </w:rPr>
              <w:t>b</w:t>
            </w: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 sequencing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*</w:t>
            </w:r>
          </w:p>
        </w:tc>
        <w:tc>
          <w:tcPr>
            <w:tcW w:w="609" w:type="pct"/>
            <w:gridSpan w:val="2"/>
          </w:tcPr>
          <w:p w14:paraId="1DE59A55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High Throughput TCR</w:t>
            </w:r>
            <w:r w:rsidRPr="00A9356D">
              <w:rPr>
                <w:rFonts w:ascii="Symbol" w:hAnsi="Symbol" w:cs="Times New Roman"/>
                <w:b/>
                <w:bCs/>
                <w:sz w:val="16"/>
                <w:szCs w:val="16"/>
                <w:lang w:val="en-GB"/>
              </w:rPr>
              <w:t>b</w:t>
            </w: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 xml:space="preserve"> sequencing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*</w:t>
            </w:r>
          </w:p>
        </w:tc>
        <w:tc>
          <w:tcPr>
            <w:tcW w:w="537" w:type="pct"/>
            <w:gridSpan w:val="2"/>
            <w:hideMark/>
          </w:tcPr>
          <w:p w14:paraId="0C5E61AF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Ex vivo screening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*</w:t>
            </w:r>
          </w:p>
        </w:tc>
        <w:tc>
          <w:tcPr>
            <w:tcW w:w="606" w:type="pct"/>
            <w:hideMark/>
          </w:tcPr>
          <w:p w14:paraId="1BD62FE6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PNS-myelin reactivity</w:t>
            </w:r>
          </w:p>
        </w:tc>
        <w:tc>
          <w:tcPr>
            <w:tcW w:w="593" w:type="pct"/>
            <w:hideMark/>
          </w:tcPr>
          <w:p w14:paraId="02F83C50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</w:pPr>
            <w:r w:rsidRPr="00A9356D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GB"/>
              </w:rPr>
              <w:t>Isolation of PNS-myelin specific clones</w:t>
            </w:r>
          </w:p>
        </w:tc>
      </w:tr>
      <w:tr w:rsidR="002C6147" w:rsidRPr="00A9356D" w14:paraId="0E13446C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782DA5AB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PT1</w:t>
            </w:r>
          </w:p>
        </w:tc>
        <w:tc>
          <w:tcPr>
            <w:tcW w:w="545" w:type="pct"/>
            <w:noWrap/>
            <w:hideMark/>
          </w:tcPr>
          <w:p w14:paraId="0A399417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592" w:type="pct"/>
            <w:noWrap/>
            <w:hideMark/>
          </w:tcPr>
          <w:p w14:paraId="5DF2EE2D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8" w:type="pct"/>
            <w:noWrap/>
            <w:hideMark/>
          </w:tcPr>
          <w:p w14:paraId="4BA81A8D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1" w:type="pct"/>
            <w:noWrap/>
            <w:hideMark/>
          </w:tcPr>
          <w:p w14:paraId="0B0F63C6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 + REC</w:t>
            </w:r>
          </w:p>
        </w:tc>
        <w:tc>
          <w:tcPr>
            <w:tcW w:w="609" w:type="pct"/>
            <w:gridSpan w:val="2"/>
          </w:tcPr>
          <w:p w14:paraId="68736085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37" w:type="pct"/>
            <w:gridSpan w:val="2"/>
            <w:noWrap/>
            <w:hideMark/>
          </w:tcPr>
          <w:p w14:paraId="2D4AB3FF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606" w:type="pct"/>
            <w:noWrap/>
            <w:hideMark/>
          </w:tcPr>
          <w:p w14:paraId="25E803C6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93" w:type="pct"/>
            <w:noWrap/>
            <w:hideMark/>
          </w:tcPr>
          <w:p w14:paraId="50E57701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</w:tr>
      <w:tr w:rsidR="002C6147" w:rsidRPr="00A9356D" w14:paraId="1EC904F3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14349BA9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PT2</w:t>
            </w:r>
          </w:p>
        </w:tc>
        <w:tc>
          <w:tcPr>
            <w:tcW w:w="545" w:type="pct"/>
            <w:noWrap/>
            <w:hideMark/>
          </w:tcPr>
          <w:p w14:paraId="41444D41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592" w:type="pct"/>
            <w:noWrap/>
            <w:hideMark/>
          </w:tcPr>
          <w:p w14:paraId="74548C8E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8" w:type="pct"/>
            <w:noWrap/>
            <w:hideMark/>
          </w:tcPr>
          <w:p w14:paraId="6AA10A89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1" w:type="pct"/>
            <w:noWrap/>
            <w:hideMark/>
          </w:tcPr>
          <w:p w14:paraId="3F1E19CA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609" w:type="pct"/>
            <w:gridSpan w:val="2"/>
          </w:tcPr>
          <w:p w14:paraId="00D02311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37" w:type="pct"/>
            <w:gridSpan w:val="2"/>
            <w:noWrap/>
            <w:hideMark/>
          </w:tcPr>
          <w:p w14:paraId="4BDDFDFE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REC</w:t>
            </w:r>
          </w:p>
        </w:tc>
        <w:tc>
          <w:tcPr>
            <w:tcW w:w="606" w:type="pct"/>
            <w:noWrap/>
            <w:hideMark/>
          </w:tcPr>
          <w:p w14:paraId="1E65E9AB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93" w:type="pct"/>
            <w:noWrap/>
            <w:hideMark/>
          </w:tcPr>
          <w:p w14:paraId="46C215BE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</w:tr>
      <w:tr w:rsidR="002C6147" w:rsidRPr="00A9356D" w14:paraId="6C7D5CE1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20CF9979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PT3</w:t>
            </w:r>
          </w:p>
        </w:tc>
        <w:tc>
          <w:tcPr>
            <w:tcW w:w="545" w:type="pct"/>
            <w:noWrap/>
            <w:hideMark/>
          </w:tcPr>
          <w:p w14:paraId="573F7D77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REC</w:t>
            </w:r>
          </w:p>
        </w:tc>
        <w:tc>
          <w:tcPr>
            <w:tcW w:w="592" w:type="pct"/>
            <w:noWrap/>
            <w:hideMark/>
          </w:tcPr>
          <w:p w14:paraId="39BD1526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8" w:type="pct"/>
            <w:noWrap/>
            <w:hideMark/>
          </w:tcPr>
          <w:p w14:paraId="25E12142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1" w:type="pct"/>
            <w:noWrap/>
            <w:hideMark/>
          </w:tcPr>
          <w:p w14:paraId="48C59B45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609" w:type="pct"/>
            <w:gridSpan w:val="2"/>
          </w:tcPr>
          <w:p w14:paraId="5FE28C0B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37" w:type="pct"/>
            <w:gridSpan w:val="2"/>
            <w:noWrap/>
            <w:hideMark/>
          </w:tcPr>
          <w:p w14:paraId="11236401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606" w:type="pct"/>
            <w:noWrap/>
            <w:hideMark/>
          </w:tcPr>
          <w:p w14:paraId="15C04452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93" w:type="pct"/>
            <w:noWrap/>
            <w:hideMark/>
          </w:tcPr>
          <w:p w14:paraId="0C09BBFC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</w:tr>
      <w:tr w:rsidR="002C6147" w:rsidRPr="00A9356D" w14:paraId="13016A8D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206115A2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PT4</w:t>
            </w:r>
          </w:p>
        </w:tc>
        <w:tc>
          <w:tcPr>
            <w:tcW w:w="545" w:type="pct"/>
            <w:noWrap/>
            <w:hideMark/>
          </w:tcPr>
          <w:p w14:paraId="47879EEC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592" w:type="pct"/>
            <w:noWrap/>
            <w:hideMark/>
          </w:tcPr>
          <w:p w14:paraId="38E8B0FB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8" w:type="pct"/>
            <w:noWrap/>
            <w:hideMark/>
          </w:tcPr>
          <w:p w14:paraId="51DA6094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1" w:type="pct"/>
            <w:noWrap/>
            <w:hideMark/>
          </w:tcPr>
          <w:p w14:paraId="41B7EDF9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REC</w:t>
            </w:r>
          </w:p>
        </w:tc>
        <w:tc>
          <w:tcPr>
            <w:tcW w:w="609" w:type="pct"/>
            <w:gridSpan w:val="2"/>
          </w:tcPr>
          <w:p w14:paraId="48314BFD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37" w:type="pct"/>
            <w:gridSpan w:val="2"/>
            <w:noWrap/>
            <w:hideMark/>
          </w:tcPr>
          <w:p w14:paraId="263CFD48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REC</w:t>
            </w:r>
          </w:p>
        </w:tc>
        <w:tc>
          <w:tcPr>
            <w:tcW w:w="606" w:type="pct"/>
            <w:noWrap/>
            <w:hideMark/>
          </w:tcPr>
          <w:p w14:paraId="0CCD7ADE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93" w:type="pct"/>
            <w:noWrap/>
            <w:hideMark/>
          </w:tcPr>
          <w:p w14:paraId="41EF439B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</w:tr>
      <w:tr w:rsidR="002C6147" w:rsidRPr="00A9356D" w14:paraId="0FE28760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38616383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PT5</w:t>
            </w:r>
          </w:p>
        </w:tc>
        <w:tc>
          <w:tcPr>
            <w:tcW w:w="545" w:type="pct"/>
            <w:noWrap/>
            <w:hideMark/>
          </w:tcPr>
          <w:p w14:paraId="0B336C97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592" w:type="pct"/>
            <w:noWrap/>
            <w:hideMark/>
          </w:tcPr>
          <w:p w14:paraId="4ED981B8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8" w:type="pct"/>
            <w:noWrap/>
            <w:hideMark/>
          </w:tcPr>
          <w:p w14:paraId="095257C6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1" w:type="pct"/>
            <w:noWrap/>
            <w:hideMark/>
          </w:tcPr>
          <w:p w14:paraId="36FDF7EF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 + REC</w:t>
            </w:r>
          </w:p>
        </w:tc>
        <w:tc>
          <w:tcPr>
            <w:tcW w:w="609" w:type="pct"/>
            <w:gridSpan w:val="2"/>
          </w:tcPr>
          <w:p w14:paraId="481D5DB8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37" w:type="pct"/>
            <w:gridSpan w:val="2"/>
            <w:noWrap/>
            <w:hideMark/>
          </w:tcPr>
          <w:p w14:paraId="29A14A24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606" w:type="pct"/>
            <w:noWrap/>
            <w:hideMark/>
          </w:tcPr>
          <w:p w14:paraId="2BA608F1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93" w:type="pct"/>
            <w:noWrap/>
            <w:hideMark/>
          </w:tcPr>
          <w:p w14:paraId="1BB1D26E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</w:tr>
      <w:tr w:rsidR="002C6147" w:rsidRPr="00A9356D" w14:paraId="1AA4ABA5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0070374F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PT6</w:t>
            </w:r>
          </w:p>
        </w:tc>
        <w:tc>
          <w:tcPr>
            <w:tcW w:w="545" w:type="pct"/>
            <w:noWrap/>
            <w:hideMark/>
          </w:tcPr>
          <w:p w14:paraId="6C068579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592" w:type="pct"/>
            <w:noWrap/>
            <w:hideMark/>
          </w:tcPr>
          <w:p w14:paraId="513B6081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8" w:type="pct"/>
            <w:noWrap/>
            <w:hideMark/>
          </w:tcPr>
          <w:p w14:paraId="6DF2094E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1" w:type="pct"/>
            <w:noWrap/>
            <w:hideMark/>
          </w:tcPr>
          <w:p w14:paraId="795BEA5F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609" w:type="pct"/>
            <w:gridSpan w:val="2"/>
          </w:tcPr>
          <w:p w14:paraId="563B3439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37" w:type="pct"/>
            <w:gridSpan w:val="2"/>
            <w:noWrap/>
            <w:hideMark/>
          </w:tcPr>
          <w:p w14:paraId="384F5655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606" w:type="pct"/>
            <w:noWrap/>
            <w:hideMark/>
          </w:tcPr>
          <w:p w14:paraId="56AFDCBC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93" w:type="pct"/>
            <w:noWrap/>
            <w:hideMark/>
          </w:tcPr>
          <w:p w14:paraId="33B3FAAE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</w:tr>
      <w:tr w:rsidR="002C6147" w:rsidRPr="00A9356D" w14:paraId="43EC91FC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3A59A8E4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PT7</w:t>
            </w:r>
          </w:p>
        </w:tc>
        <w:tc>
          <w:tcPr>
            <w:tcW w:w="545" w:type="pct"/>
            <w:noWrap/>
            <w:hideMark/>
          </w:tcPr>
          <w:p w14:paraId="1CB10567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592" w:type="pct"/>
            <w:noWrap/>
            <w:hideMark/>
          </w:tcPr>
          <w:p w14:paraId="4E28FA56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8" w:type="pct"/>
            <w:noWrap/>
            <w:hideMark/>
          </w:tcPr>
          <w:p w14:paraId="15189EBF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1" w:type="pct"/>
            <w:noWrap/>
            <w:hideMark/>
          </w:tcPr>
          <w:p w14:paraId="6C8EAF45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 + REC</w:t>
            </w:r>
          </w:p>
        </w:tc>
        <w:tc>
          <w:tcPr>
            <w:tcW w:w="609" w:type="pct"/>
            <w:gridSpan w:val="2"/>
          </w:tcPr>
          <w:p w14:paraId="38E6D883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37" w:type="pct"/>
            <w:gridSpan w:val="2"/>
            <w:noWrap/>
            <w:hideMark/>
          </w:tcPr>
          <w:p w14:paraId="0B0CE98B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REC</w:t>
            </w:r>
          </w:p>
        </w:tc>
        <w:tc>
          <w:tcPr>
            <w:tcW w:w="606" w:type="pct"/>
            <w:noWrap/>
            <w:hideMark/>
          </w:tcPr>
          <w:p w14:paraId="096825B5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93" w:type="pct"/>
            <w:noWrap/>
            <w:hideMark/>
          </w:tcPr>
          <w:p w14:paraId="7B7B4AAC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</w:tr>
      <w:tr w:rsidR="002C6147" w:rsidRPr="00A9356D" w14:paraId="6F8D323C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65A940CB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PT8</w:t>
            </w:r>
          </w:p>
        </w:tc>
        <w:tc>
          <w:tcPr>
            <w:tcW w:w="545" w:type="pct"/>
            <w:noWrap/>
            <w:hideMark/>
          </w:tcPr>
          <w:p w14:paraId="29279A31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592" w:type="pct"/>
            <w:noWrap/>
            <w:hideMark/>
          </w:tcPr>
          <w:p w14:paraId="6F531999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8" w:type="pct"/>
            <w:noWrap/>
            <w:hideMark/>
          </w:tcPr>
          <w:p w14:paraId="6209ED94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1" w:type="pct"/>
            <w:noWrap/>
            <w:hideMark/>
          </w:tcPr>
          <w:p w14:paraId="31EC2F4B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609" w:type="pct"/>
            <w:gridSpan w:val="2"/>
          </w:tcPr>
          <w:p w14:paraId="4CDF12A2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37" w:type="pct"/>
            <w:gridSpan w:val="2"/>
            <w:noWrap/>
            <w:hideMark/>
          </w:tcPr>
          <w:p w14:paraId="24DAA825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606" w:type="pct"/>
            <w:noWrap/>
            <w:hideMark/>
          </w:tcPr>
          <w:p w14:paraId="73715E5E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93" w:type="pct"/>
            <w:noWrap/>
            <w:hideMark/>
          </w:tcPr>
          <w:p w14:paraId="5F3E2E90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</w:tr>
      <w:tr w:rsidR="002C6147" w:rsidRPr="00A9356D" w14:paraId="6CBB9CC9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16CD2588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PT9</w:t>
            </w:r>
          </w:p>
        </w:tc>
        <w:tc>
          <w:tcPr>
            <w:tcW w:w="545" w:type="pct"/>
            <w:noWrap/>
            <w:hideMark/>
          </w:tcPr>
          <w:p w14:paraId="57257E17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592" w:type="pct"/>
            <w:noWrap/>
            <w:hideMark/>
          </w:tcPr>
          <w:p w14:paraId="54630E39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8" w:type="pct"/>
            <w:noWrap/>
            <w:hideMark/>
          </w:tcPr>
          <w:p w14:paraId="772580B0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1" w:type="pct"/>
            <w:noWrap/>
            <w:hideMark/>
          </w:tcPr>
          <w:p w14:paraId="74C6D3EC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REC</w:t>
            </w:r>
          </w:p>
        </w:tc>
        <w:tc>
          <w:tcPr>
            <w:tcW w:w="609" w:type="pct"/>
            <w:gridSpan w:val="2"/>
          </w:tcPr>
          <w:p w14:paraId="0ABD0BD5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37" w:type="pct"/>
            <w:gridSpan w:val="2"/>
            <w:noWrap/>
            <w:hideMark/>
          </w:tcPr>
          <w:p w14:paraId="117BB10A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REC</w:t>
            </w:r>
          </w:p>
        </w:tc>
        <w:tc>
          <w:tcPr>
            <w:tcW w:w="606" w:type="pct"/>
            <w:noWrap/>
            <w:hideMark/>
          </w:tcPr>
          <w:p w14:paraId="51438B1F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93" w:type="pct"/>
            <w:noWrap/>
            <w:hideMark/>
          </w:tcPr>
          <w:p w14:paraId="273D10D6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</w:tr>
      <w:tr w:rsidR="002C6147" w:rsidRPr="00A9356D" w14:paraId="09266E6D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747AA9F3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PT10</w:t>
            </w:r>
          </w:p>
        </w:tc>
        <w:tc>
          <w:tcPr>
            <w:tcW w:w="545" w:type="pct"/>
            <w:noWrap/>
            <w:hideMark/>
          </w:tcPr>
          <w:p w14:paraId="20D6D4E0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92" w:type="pct"/>
            <w:noWrap/>
            <w:hideMark/>
          </w:tcPr>
          <w:p w14:paraId="6CB16A1E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8" w:type="pct"/>
            <w:noWrap/>
            <w:hideMark/>
          </w:tcPr>
          <w:p w14:paraId="6D40EB72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1" w:type="pct"/>
            <w:noWrap/>
            <w:hideMark/>
          </w:tcPr>
          <w:p w14:paraId="6E9559A4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609" w:type="pct"/>
            <w:gridSpan w:val="2"/>
          </w:tcPr>
          <w:p w14:paraId="729CD1B3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7" w:type="pct"/>
            <w:gridSpan w:val="2"/>
            <w:noWrap/>
            <w:hideMark/>
          </w:tcPr>
          <w:p w14:paraId="0525BA3D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606" w:type="pct"/>
            <w:noWrap/>
            <w:hideMark/>
          </w:tcPr>
          <w:p w14:paraId="13667388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93" w:type="pct"/>
            <w:noWrap/>
            <w:hideMark/>
          </w:tcPr>
          <w:p w14:paraId="5C6AD2D0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</w:tr>
      <w:tr w:rsidR="002C6147" w:rsidRPr="00A9356D" w14:paraId="1A6ED6E1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2266FE8D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PT11</w:t>
            </w:r>
          </w:p>
        </w:tc>
        <w:tc>
          <w:tcPr>
            <w:tcW w:w="545" w:type="pct"/>
            <w:noWrap/>
            <w:hideMark/>
          </w:tcPr>
          <w:p w14:paraId="64402E7A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REC</w:t>
            </w:r>
          </w:p>
        </w:tc>
        <w:tc>
          <w:tcPr>
            <w:tcW w:w="592" w:type="pct"/>
            <w:noWrap/>
            <w:hideMark/>
          </w:tcPr>
          <w:p w14:paraId="0D43F490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8" w:type="pct"/>
            <w:noWrap/>
            <w:hideMark/>
          </w:tcPr>
          <w:p w14:paraId="0309DD8E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1" w:type="pct"/>
            <w:noWrap/>
            <w:hideMark/>
          </w:tcPr>
          <w:p w14:paraId="2C854EA1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609" w:type="pct"/>
            <w:gridSpan w:val="2"/>
          </w:tcPr>
          <w:p w14:paraId="11263941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7" w:type="pct"/>
            <w:gridSpan w:val="2"/>
            <w:noWrap/>
            <w:hideMark/>
          </w:tcPr>
          <w:p w14:paraId="026F3707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606" w:type="pct"/>
            <w:noWrap/>
            <w:hideMark/>
          </w:tcPr>
          <w:p w14:paraId="7F9EB4CC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93" w:type="pct"/>
            <w:noWrap/>
            <w:hideMark/>
          </w:tcPr>
          <w:p w14:paraId="068AEB3A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</w:tr>
      <w:tr w:rsidR="002C6147" w:rsidRPr="00A9356D" w14:paraId="3F3EA383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2936422B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PT12</w:t>
            </w:r>
          </w:p>
        </w:tc>
        <w:tc>
          <w:tcPr>
            <w:tcW w:w="545" w:type="pct"/>
            <w:noWrap/>
            <w:hideMark/>
          </w:tcPr>
          <w:p w14:paraId="21952997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592" w:type="pct"/>
            <w:noWrap/>
            <w:hideMark/>
          </w:tcPr>
          <w:p w14:paraId="726941A5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8" w:type="pct"/>
            <w:noWrap/>
            <w:hideMark/>
          </w:tcPr>
          <w:p w14:paraId="4B085532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1" w:type="pct"/>
            <w:noWrap/>
            <w:hideMark/>
          </w:tcPr>
          <w:p w14:paraId="19B93B8E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 + REC</w:t>
            </w:r>
          </w:p>
        </w:tc>
        <w:tc>
          <w:tcPr>
            <w:tcW w:w="609" w:type="pct"/>
            <w:gridSpan w:val="2"/>
          </w:tcPr>
          <w:p w14:paraId="722E68A3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37" w:type="pct"/>
            <w:gridSpan w:val="2"/>
            <w:noWrap/>
            <w:hideMark/>
          </w:tcPr>
          <w:p w14:paraId="79711BF0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606" w:type="pct"/>
            <w:noWrap/>
            <w:hideMark/>
          </w:tcPr>
          <w:p w14:paraId="0349C798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93" w:type="pct"/>
            <w:noWrap/>
            <w:hideMark/>
          </w:tcPr>
          <w:p w14:paraId="407ABA02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</w:tr>
      <w:tr w:rsidR="002C6147" w:rsidRPr="00A9356D" w14:paraId="696CF850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6113BFB1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PT13</w:t>
            </w:r>
          </w:p>
        </w:tc>
        <w:tc>
          <w:tcPr>
            <w:tcW w:w="545" w:type="pct"/>
            <w:noWrap/>
            <w:hideMark/>
          </w:tcPr>
          <w:p w14:paraId="4DADC0BE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92" w:type="pct"/>
            <w:noWrap/>
            <w:hideMark/>
          </w:tcPr>
          <w:p w14:paraId="1DC811E4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8" w:type="pct"/>
            <w:noWrap/>
            <w:hideMark/>
          </w:tcPr>
          <w:p w14:paraId="1F631BA4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1" w:type="pct"/>
            <w:noWrap/>
            <w:hideMark/>
          </w:tcPr>
          <w:p w14:paraId="382824D1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REC</w:t>
            </w:r>
          </w:p>
        </w:tc>
        <w:tc>
          <w:tcPr>
            <w:tcW w:w="609" w:type="pct"/>
            <w:gridSpan w:val="2"/>
          </w:tcPr>
          <w:p w14:paraId="77192F47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37" w:type="pct"/>
            <w:gridSpan w:val="2"/>
            <w:noWrap/>
            <w:hideMark/>
          </w:tcPr>
          <w:p w14:paraId="1C37B054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606" w:type="pct"/>
            <w:noWrap/>
            <w:hideMark/>
          </w:tcPr>
          <w:p w14:paraId="1F7451F9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93" w:type="pct"/>
            <w:noWrap/>
            <w:hideMark/>
          </w:tcPr>
          <w:p w14:paraId="4C796D90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</w:tr>
      <w:tr w:rsidR="002C6147" w:rsidRPr="00A9356D" w14:paraId="6696679D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147F0E73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PT14</w:t>
            </w:r>
          </w:p>
        </w:tc>
        <w:tc>
          <w:tcPr>
            <w:tcW w:w="545" w:type="pct"/>
            <w:noWrap/>
            <w:hideMark/>
          </w:tcPr>
          <w:p w14:paraId="695A0F24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592" w:type="pct"/>
            <w:noWrap/>
            <w:hideMark/>
          </w:tcPr>
          <w:p w14:paraId="3F03CF37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8" w:type="pct"/>
            <w:noWrap/>
            <w:hideMark/>
          </w:tcPr>
          <w:p w14:paraId="1031437B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1" w:type="pct"/>
            <w:noWrap/>
            <w:hideMark/>
          </w:tcPr>
          <w:p w14:paraId="4CF678A2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609" w:type="pct"/>
            <w:gridSpan w:val="2"/>
          </w:tcPr>
          <w:p w14:paraId="267ECC79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37" w:type="pct"/>
            <w:gridSpan w:val="2"/>
            <w:noWrap/>
            <w:hideMark/>
          </w:tcPr>
          <w:p w14:paraId="69770DD4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606" w:type="pct"/>
            <w:noWrap/>
            <w:hideMark/>
          </w:tcPr>
          <w:p w14:paraId="175A6FFC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93" w:type="pct"/>
            <w:noWrap/>
            <w:hideMark/>
          </w:tcPr>
          <w:p w14:paraId="0386D497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</w:tr>
      <w:tr w:rsidR="002C6147" w:rsidRPr="00A9356D" w14:paraId="188921F5" w14:textId="77777777" w:rsidTr="004A323E">
        <w:trPr>
          <w:trHeight w:val="300"/>
        </w:trPr>
        <w:tc>
          <w:tcPr>
            <w:tcW w:w="350" w:type="pct"/>
            <w:noWrap/>
            <w:hideMark/>
          </w:tcPr>
          <w:p w14:paraId="3311EC2B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PT15</w:t>
            </w:r>
          </w:p>
        </w:tc>
        <w:tc>
          <w:tcPr>
            <w:tcW w:w="545" w:type="pct"/>
            <w:noWrap/>
            <w:hideMark/>
          </w:tcPr>
          <w:p w14:paraId="519E0A4F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AC+REC</w:t>
            </w:r>
          </w:p>
        </w:tc>
        <w:tc>
          <w:tcPr>
            <w:tcW w:w="592" w:type="pct"/>
            <w:noWrap/>
            <w:hideMark/>
          </w:tcPr>
          <w:p w14:paraId="36FE46A0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8" w:type="pct"/>
            <w:noWrap/>
            <w:hideMark/>
          </w:tcPr>
          <w:p w14:paraId="53E83E5E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1" w:type="pct"/>
            <w:noWrap/>
            <w:hideMark/>
          </w:tcPr>
          <w:p w14:paraId="0FAD789D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609" w:type="pct"/>
            <w:gridSpan w:val="2"/>
          </w:tcPr>
          <w:p w14:paraId="0CF8D80F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37" w:type="pct"/>
            <w:gridSpan w:val="2"/>
            <w:noWrap/>
            <w:hideMark/>
          </w:tcPr>
          <w:p w14:paraId="418573B1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606" w:type="pct"/>
            <w:noWrap/>
            <w:hideMark/>
          </w:tcPr>
          <w:p w14:paraId="37B428A4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93" w:type="pct"/>
            <w:noWrap/>
            <w:hideMark/>
          </w:tcPr>
          <w:p w14:paraId="1587DF2B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</w:tr>
      <w:tr w:rsidR="002C6147" w:rsidRPr="00A9356D" w14:paraId="338375E6" w14:textId="77777777" w:rsidTr="004A323E">
        <w:trPr>
          <w:trHeight w:val="315"/>
        </w:trPr>
        <w:tc>
          <w:tcPr>
            <w:tcW w:w="350" w:type="pct"/>
            <w:noWrap/>
            <w:hideMark/>
          </w:tcPr>
          <w:p w14:paraId="5FE8635B" w14:textId="77777777" w:rsidR="002C6147" w:rsidRPr="00A9356D" w:rsidRDefault="002C6147" w:rsidP="004A323E">
            <w:pPr>
              <w:tabs>
                <w:tab w:val="left" w:pos="393"/>
              </w:tabs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PT16</w:t>
            </w:r>
          </w:p>
        </w:tc>
        <w:tc>
          <w:tcPr>
            <w:tcW w:w="545" w:type="pct"/>
            <w:noWrap/>
            <w:hideMark/>
          </w:tcPr>
          <w:p w14:paraId="71389277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AC (EM + CM)</w:t>
            </w:r>
          </w:p>
        </w:tc>
        <w:tc>
          <w:tcPr>
            <w:tcW w:w="592" w:type="pct"/>
            <w:noWrap/>
            <w:hideMark/>
          </w:tcPr>
          <w:p w14:paraId="2257DB77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588" w:type="pct"/>
            <w:noWrap/>
            <w:hideMark/>
          </w:tcPr>
          <w:p w14:paraId="1F8B1E01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581" w:type="pct"/>
            <w:noWrap/>
            <w:hideMark/>
          </w:tcPr>
          <w:p w14:paraId="370AC190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609" w:type="pct"/>
            <w:gridSpan w:val="2"/>
          </w:tcPr>
          <w:p w14:paraId="32B089CE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37" w:type="pct"/>
            <w:gridSpan w:val="2"/>
            <w:noWrap/>
            <w:hideMark/>
          </w:tcPr>
          <w:p w14:paraId="39A36B2B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606" w:type="pct"/>
            <w:noWrap/>
            <w:hideMark/>
          </w:tcPr>
          <w:p w14:paraId="4D532776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  <w:tc>
          <w:tcPr>
            <w:tcW w:w="593" w:type="pct"/>
            <w:noWrap/>
            <w:hideMark/>
          </w:tcPr>
          <w:p w14:paraId="0A1DC7B7" w14:textId="77777777" w:rsidR="002C6147" w:rsidRPr="00A9356D" w:rsidRDefault="002C6147" w:rsidP="004A323E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9356D">
              <w:rPr>
                <w:rFonts w:ascii="Times New Roman" w:hAnsi="Times New Roman" w:cs="Times New Roman"/>
                <w:sz w:val="16"/>
                <w:szCs w:val="16"/>
              </w:rPr>
              <w:t>N.D.</w:t>
            </w:r>
          </w:p>
        </w:tc>
      </w:tr>
    </w:tbl>
    <w:p w14:paraId="554EB7CB" w14:textId="77777777" w:rsidR="002C6147" w:rsidRPr="00D51D01" w:rsidRDefault="002C6147" w:rsidP="002C6147">
      <w:pPr>
        <w:spacing w:before="240"/>
        <w:ind w:left="14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N.D.</w:t>
      </w:r>
      <w:r w:rsidRPr="00D51D01">
        <w:rPr>
          <w:rFonts w:ascii="Times New Roman" w:hAnsi="Times New Roman" w:cs="Times New Roman"/>
          <w:sz w:val="20"/>
          <w:szCs w:val="20"/>
        </w:rPr>
        <w:t>: not done</w:t>
      </w:r>
      <w:r>
        <w:rPr>
          <w:rFonts w:ascii="Times New Roman" w:hAnsi="Times New Roman" w:cs="Times New Roman"/>
          <w:sz w:val="20"/>
          <w:szCs w:val="20"/>
        </w:rPr>
        <w:t>; *</w:t>
      </w:r>
      <w:r w:rsidRPr="005D44C1">
        <w:t xml:space="preserve"> </w:t>
      </w:r>
      <w:r w:rsidRPr="005D44C1">
        <w:rPr>
          <w:rFonts w:ascii="Times New Roman" w:hAnsi="Times New Roman" w:cs="Times New Roman"/>
          <w:sz w:val="20"/>
          <w:szCs w:val="20"/>
        </w:rPr>
        <w:t>disease stage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47EDCC46" w14:textId="77777777" w:rsidR="002C6147" w:rsidRDefault="002C6147" w:rsidP="002C614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020C53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147"/>
    <w:rsid w:val="002C6147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52D6CD"/>
  <w15:chartTrackingRefBased/>
  <w15:docId w15:val="{2337D882-BB9F-40DC-AFEE-36EBCA769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1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6147"/>
    <w:pPr>
      <w:spacing w:after="0" w:line="240" w:lineRule="auto"/>
    </w:pPr>
    <w:rPr>
      <w:lang w:val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1230</Words>
  <Characters>7016</Characters>
  <Application>Microsoft Office Word</Application>
  <DocSecurity>0</DocSecurity>
  <Lines>58</Lines>
  <Paragraphs>16</Paragraphs>
  <ScaleCrop>false</ScaleCrop>
  <Company>Springer Nature</Company>
  <LinksUpToDate>false</LinksUpToDate>
  <CharactersWithSpaces>8230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2023-07-11T06:41:00Z</dcterms:created>
  <dcterms:modified xsi:type="dcterms:W3CDTF">2023-07-11T06:41:00Z</dcterms:modified>
</cp:coreProperties>
</file>