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tLeast"/>
        <w:jc w:val="center"/>
        <w:textAlignment w:val="auto"/>
        <w:rPr>
          <w:rFonts w:hint="eastAsia"/>
          <w:kern w:val="2"/>
          <w:sz w:val="21"/>
          <w:szCs w:val="22"/>
          <w:lang w:val="en-US" w:eastAsia="zh-CN"/>
        </w:rPr>
      </w:pPr>
      <w:bookmarkStart w:id="0" w:name="_GoBack"/>
      <w:r>
        <w:rPr>
          <w:rFonts w:hint="eastAsia"/>
          <w:kern w:val="2"/>
          <w:sz w:val="21"/>
          <w:szCs w:val="22"/>
          <w:lang w:val="en-US" w:eastAsia="zh-CN"/>
        </w:rPr>
        <w:t>表1 GOKEGG分析</w:t>
      </w:r>
    </w:p>
    <w:bookmarkEnd w:id="0"/>
    <w:p>
      <w:pPr>
        <w:jc w:val="center"/>
        <w:rPr>
          <w:rFonts w:hint="eastAsia" w:eastAsia="宋体"/>
          <w:lang w:val="en-US" w:eastAsia="zh-CN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1588"/>
        <w:gridCol w:w="2575"/>
        <w:gridCol w:w="1150"/>
        <w:gridCol w:w="14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1576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Ontology</w:t>
            </w:r>
          </w:p>
        </w:tc>
        <w:tc>
          <w:tcPr>
            <w:tcW w:w="1588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ID</w:t>
            </w:r>
          </w:p>
        </w:tc>
        <w:tc>
          <w:tcPr>
            <w:tcW w:w="2575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15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GeneRatio</w:t>
            </w:r>
          </w:p>
        </w:tc>
        <w:tc>
          <w:tcPr>
            <w:tcW w:w="1401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pvalue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GO:2001056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positive regulation of cysteine-type endopeptidase activity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7/43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4.53e-08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GO:2000116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regulation of cysteine-type endopeptidase activity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8/43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6.32e-08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GO:0010950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positive regulation of endopeptidase activity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7/43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1.53e-07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GO:0101002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ficolin-1-rich granule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5/43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4.97e-05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GO:0042470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melanosome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4/43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8.29e-05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GO:0048770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pigment granule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4/43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8.29e-05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GO:0097110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scaffold protein binding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5/43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3.03e-07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GO:0002020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protease binding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4/43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2.59e-04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GO:0005243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gap junction channel activity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2/43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5.93e-04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hsa04657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IL-17 signaling pathway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6/35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2.62e-06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5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hsa04622</w:t>
            </w:r>
          </w:p>
        </w:tc>
        <w:tc>
          <w:tcPr>
            <w:tcW w:w="25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RIG-I-like receptor signaling pathway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5/35</w:t>
            </w:r>
          </w:p>
        </w:tc>
        <w:tc>
          <w:tcPr>
            <w:tcW w:w="14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1.12e-05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576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588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hsa04210</w:t>
            </w:r>
          </w:p>
        </w:tc>
        <w:tc>
          <w:tcPr>
            <w:tcW w:w="2575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Apoptosis</w:t>
            </w:r>
          </w:p>
        </w:tc>
        <w:tc>
          <w:tcPr>
            <w:tcW w:w="1150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6/35</w:t>
            </w:r>
          </w:p>
        </w:tc>
        <w:tc>
          <w:tcPr>
            <w:tcW w:w="140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2.22e-05</w:t>
            </w:r>
          </w:p>
        </w:tc>
      </w:tr>
    </w:tbl>
    <w:p>
      <w:pPr>
        <w:jc w:val="center"/>
        <w:rPr>
          <w:rFonts w:hint="default" w:eastAsia="宋体"/>
          <w:lang w:val="en-US" w:eastAsia="zh-CN"/>
        </w:rPr>
      </w:pP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Y2VlOTc3OTJhNjkzYmQ2NmVhZDZjZTY3MWQ4Nzk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293A5E29"/>
    <w:rsid w:val="6F04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星星</dc:creator>
  <cp:lastModifiedBy>星星</cp:lastModifiedBy>
  <dcterms:modified xsi:type="dcterms:W3CDTF">2022-08-10T01:33:08Z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76FA7D6B862548E39D1103AADA80B5E8</vt:lpwstr>
  </property>
</Properties>
</file>