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Online resource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1</w:t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Location of the sampling site. A: University; B: industrial parks; C: farms; D: residences. Red triangles represent sampling site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drawing>
          <wp:inline distT="0" distB="0" distL="0" distR="0">
            <wp:extent cx="5749925" cy="2847340"/>
            <wp:effectExtent l="0" t="0" r="3175" b="1016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he main wind flowing to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sampling site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is the westerly and northwesterly winds in the spring, autumn, and winter season and the southeasterly and southwesterly winds in the summer season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. The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eastAsia="ko-KR" w:bidi="ar"/>
        </w:rPr>
        <w:t>Annual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wind direction is mainly 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orthwest wind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westerly wind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s.</w:t>
      </w:r>
    </w:p>
    <w:p>
      <w:pP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br w:type="page"/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Online resource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2</w:t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Lipid contents in dry weight information of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>Pinus tabulaeformis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and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>Abies holophylla.</w:t>
      </w:r>
    </w:p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2156"/>
        <w:gridCol w:w="46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Species</w:t>
            </w:r>
          </w:p>
        </w:tc>
        <w:tc>
          <w:tcPr>
            <w:tcW w:w="21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Year</w:t>
            </w:r>
          </w:p>
        </w:tc>
        <w:tc>
          <w:tcPr>
            <w:tcW w:w="46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Lipid content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(g g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(n = 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Pinus tabulaeformis</w:t>
            </w:r>
          </w:p>
        </w:tc>
        <w:tc>
          <w:tcPr>
            <w:tcW w:w="2156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4647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0.0860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4647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Abies holophylla</w:t>
            </w:r>
          </w:p>
        </w:tc>
        <w:tc>
          <w:tcPr>
            <w:tcW w:w="2156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2016</w:t>
            </w:r>
          </w:p>
        </w:tc>
        <w:tc>
          <w:tcPr>
            <w:tcW w:w="4647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0.2746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464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0.2881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6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2011</w:t>
            </w:r>
          </w:p>
        </w:tc>
        <w:tc>
          <w:tcPr>
            <w:tcW w:w="4647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0.2747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0.0137</w:t>
            </w:r>
          </w:p>
        </w:tc>
      </w:tr>
    </w:tbl>
    <w:p>
      <w:pPr>
        <w:widowControl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br w:type="page"/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Online resource 3</w:t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bookmarkStart w:id="0" w:name="OLE_LINK1"/>
      <w:r>
        <w:rPr>
          <w:rFonts w:ascii="Times New Roman" w:hAnsi="Times New Roman" w:cs="Times New Roman"/>
          <w:sz w:val="24"/>
        </w:rPr>
        <w:t>Air pollutant emission</w:t>
      </w:r>
      <w:bookmarkEnd w:id="0"/>
      <w:r>
        <w:rPr>
          <w:rFonts w:ascii="Times New Roman" w:hAnsi="Times New Roman" w:cs="Times New Roman"/>
          <w:sz w:val="24"/>
        </w:rPr>
        <w:t xml:space="preserve"> parameters registered in the period 2011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t>–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2016. Data from Jilin Province Statistics Bureau Data Management Center 2020.</w:t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991"/>
        <w:gridCol w:w="991"/>
        <w:gridCol w:w="992"/>
        <w:gridCol w:w="991"/>
        <w:gridCol w:w="991"/>
        <w:gridCol w:w="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Air pollutant emission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parameters </w:t>
            </w:r>
          </w:p>
        </w:tc>
        <w:tc>
          <w:tcPr>
            <w:tcW w:w="5948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Year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2011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11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Coal (10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tons)</w:t>
            </w:r>
          </w:p>
        </w:tc>
        <w:tc>
          <w:tcPr>
            <w:tcW w:w="99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1030</w:t>
            </w:r>
          </w:p>
        </w:tc>
        <w:tc>
          <w:tcPr>
            <w:tcW w:w="99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1431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99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751</w:t>
            </w:r>
          </w:p>
        </w:tc>
        <w:tc>
          <w:tcPr>
            <w:tcW w:w="99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Electricity consumption (MKH)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114640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127800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100767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116234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113246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Trucks (units)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32095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29892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32300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34603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33491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Industrial Sulfur Emissions (tons)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25100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22840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23807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23789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24386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Industrial Nitrogen Oxide Emissions (tons)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28492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26255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27640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25917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Vehicle number (units)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77168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79867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60397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71346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117331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122320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Industrial gaseous pollutant emissions (tons)</w:t>
            </w:r>
          </w:p>
        </w:tc>
        <w:tc>
          <w:tcPr>
            <w:tcW w:w="991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19900</w:t>
            </w:r>
          </w:p>
        </w:tc>
        <w:tc>
          <w:tcPr>
            <w:tcW w:w="991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18851</w:t>
            </w:r>
          </w:p>
        </w:tc>
        <w:tc>
          <w:tcPr>
            <w:tcW w:w="992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21218</w:t>
            </w:r>
          </w:p>
        </w:tc>
        <w:tc>
          <w:tcPr>
            <w:tcW w:w="991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35685</w:t>
            </w:r>
          </w:p>
        </w:tc>
        <w:tc>
          <w:tcPr>
            <w:tcW w:w="991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35744</w:t>
            </w:r>
          </w:p>
        </w:tc>
        <w:tc>
          <w:tcPr>
            <w:tcW w:w="992" w:type="dxa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Generating capacity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(KW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46.84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45.9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46.05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sectPr>
      <w:pgSz w:w="11906" w:h="16838"/>
      <w:pgMar w:top="1559" w:right="1417" w:bottom="1559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hyphenationZone w:val="283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E2"/>
    <w:rsid w:val="00200A2C"/>
    <w:rsid w:val="0053046D"/>
    <w:rsid w:val="005E2A0F"/>
    <w:rsid w:val="006640DB"/>
    <w:rsid w:val="00836352"/>
    <w:rsid w:val="009C63C9"/>
    <w:rsid w:val="00B835E2"/>
    <w:rsid w:val="00EE44B3"/>
    <w:rsid w:val="00F214BE"/>
    <w:rsid w:val="00F913A4"/>
    <w:rsid w:val="017E3D20"/>
    <w:rsid w:val="03124B00"/>
    <w:rsid w:val="09BA626E"/>
    <w:rsid w:val="0A411CE5"/>
    <w:rsid w:val="0BBE21BB"/>
    <w:rsid w:val="0BDA5108"/>
    <w:rsid w:val="0D6B4732"/>
    <w:rsid w:val="0F77090A"/>
    <w:rsid w:val="108B7844"/>
    <w:rsid w:val="18EC29A1"/>
    <w:rsid w:val="218C7E72"/>
    <w:rsid w:val="326F4D0A"/>
    <w:rsid w:val="346E3C8B"/>
    <w:rsid w:val="3D65117D"/>
    <w:rsid w:val="45EE0963"/>
    <w:rsid w:val="55B5054C"/>
    <w:rsid w:val="5A5662C6"/>
    <w:rsid w:val="5AD32631"/>
    <w:rsid w:val="640D0589"/>
    <w:rsid w:val="64C21788"/>
    <w:rsid w:val="66D10904"/>
    <w:rsid w:val="71E605B0"/>
    <w:rsid w:val="73753E02"/>
    <w:rsid w:val="7A4F26A3"/>
    <w:rsid w:val="7A545F4E"/>
    <w:rsid w:val="7D4202E9"/>
    <w:rsid w:val="7DDC27F0"/>
    <w:rsid w:val="7F16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1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41"/>
    <w:basedOn w:val="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1251</Characters>
  <Lines>10</Lines>
  <Paragraphs>2</Paragraphs>
  <TotalTime>3</TotalTime>
  <ScaleCrop>false</ScaleCrop>
  <LinksUpToDate>false</LinksUpToDate>
  <CharactersWithSpaces>1468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2021-06-09T15:36:00Z</dcterms:created>
  <dc:creator>Administrator</dc:creator>
  <cp:lastModifiedBy>Author</cp:lastModifiedBy>
  <dcterms:modified xsi:type="dcterms:W3CDTF">2021-06-11T01:18:08Z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6FA648FE181F41EF8064905AF92FC7B9</vt:lpwstr>
  </property>
</Properties>
</file>