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18CE5" w14:textId="150A2DAE" w:rsidR="00BC3CB6" w:rsidRPr="00510DEA" w:rsidRDefault="00510DEA" w:rsidP="00510DEA">
      <w:pPr>
        <w:jc w:val="center"/>
        <w:rPr>
          <w:b/>
          <w:bCs/>
          <w:sz w:val="32"/>
          <w:szCs w:val="32"/>
        </w:rPr>
      </w:pPr>
      <w:r w:rsidRPr="00510DEA">
        <w:rPr>
          <w:b/>
          <w:bCs/>
          <w:sz w:val="32"/>
          <w:szCs w:val="32"/>
        </w:rPr>
        <w:t>Supplementary Material</w:t>
      </w:r>
    </w:p>
    <w:p w14:paraId="6E050459" w14:textId="5184AC30" w:rsidR="00510DEA" w:rsidRDefault="00510DEA"/>
    <w:p w14:paraId="3475F177" w14:textId="3AF4BD51" w:rsidR="00510DEA" w:rsidRPr="00B667AE" w:rsidRDefault="00880927" w:rsidP="00510DEA">
      <w:pPr>
        <w:spacing w:line="360" w:lineRule="auto"/>
        <w:jc w:val="both"/>
        <w:rPr>
          <w:b/>
          <w:bCs/>
        </w:rPr>
      </w:pPr>
      <w:proofErr w:type="gramStart"/>
      <w:r>
        <w:rPr>
          <w:b/>
          <w:bCs/>
        </w:rPr>
        <w:t>A</w:t>
      </w:r>
      <w:proofErr w:type="gramEnd"/>
      <w:r>
        <w:rPr>
          <w:b/>
          <w:bCs/>
        </w:rPr>
        <w:t xml:space="preserve"> </w:t>
      </w:r>
      <w:r w:rsidR="00510DEA" w:rsidRPr="00B667AE">
        <w:rPr>
          <w:b/>
          <w:bCs/>
        </w:rPr>
        <w:t>Appendix</w:t>
      </w:r>
      <w:r>
        <w:rPr>
          <w:b/>
          <w:bCs/>
        </w:rPr>
        <w:t xml:space="preserve">. </w:t>
      </w:r>
      <w:r w:rsidR="00510DEA">
        <w:rPr>
          <w:b/>
          <w:bCs/>
        </w:rPr>
        <w:t>Plasma reactions</w:t>
      </w:r>
    </w:p>
    <w:p w14:paraId="2BBD29F0" w14:textId="7686A966" w:rsidR="00510DEA" w:rsidRDefault="00510DEA" w:rsidP="00510DEA">
      <w:pPr>
        <w:autoSpaceDE w:val="0"/>
        <w:autoSpaceDN w:val="0"/>
        <w:adjustRightInd w:val="0"/>
        <w:spacing w:after="120" w:line="360" w:lineRule="auto"/>
        <w:jc w:val="both"/>
        <w:rPr>
          <w:rFonts w:ascii="Calibri" w:hAnsi="Calibri" w:cs="Calibri"/>
        </w:rPr>
      </w:pPr>
      <w:r w:rsidRPr="00EC427A">
        <w:rPr>
          <w:rFonts w:ascii="Calibri" w:hAnsi="Calibri" w:cs="Calibri"/>
        </w:rPr>
        <w:t xml:space="preserve">The elementary reactions for </w:t>
      </w:r>
      <w:r>
        <w:rPr>
          <w:rFonts w:ascii="Calibri" w:hAnsi="Calibri" w:cs="Calibri"/>
        </w:rPr>
        <w:t>a</w:t>
      </w:r>
      <w:r w:rsidRPr="00EC427A">
        <w:rPr>
          <w:rFonts w:ascii="Calibri" w:hAnsi="Calibri" w:cs="Calibri"/>
        </w:rPr>
        <w:t>rgon</w:t>
      </w:r>
      <w:r>
        <w:rPr>
          <w:rFonts w:ascii="Calibri" w:hAnsi="Calibri" w:cs="Calibri"/>
        </w:rPr>
        <w:fldChar w:fldCharType="begin"/>
      </w:r>
      <w:r w:rsidR="00880927">
        <w:rPr>
          <w:rFonts w:ascii="Calibri" w:hAnsi="Calibri" w:cs="Calibri"/>
        </w:rPr>
        <w:instrText xml:space="preserve"> ADDIN EN.CITE &lt;EndNote&gt;&lt;Cite&gt;&lt;Author&gt;Rafatov&lt;/Author&gt;&lt;Year&gt;2012&lt;/Year&gt;&lt;RecNum&gt;19&lt;/RecNum&gt;&lt;DisplayText&gt;&lt;style face="superscript"&gt;1&lt;/style&gt;&lt;/DisplayText&gt;&lt;record&gt;&lt;rec-number&gt;19&lt;/rec-number&gt;&lt;foreign-keys&gt;&lt;key app="EN" db-id="faszsf0vktrsfketxtyxva94favss9rvdve2" timestamp="1676387732"&gt;19&lt;/key&gt;&lt;/foreign-keys&gt;&lt;ref-type name="Journal Article"&gt;17&lt;/ref-type&gt;&lt;contributors&gt;&lt;authors&gt;&lt;author&gt;I. Rafatov&lt;/author&gt;&lt;author&gt;E. A. Bogdanov&lt;/author&gt;&lt;author&gt;A. A. Kudryavtsev&lt;/author&gt;&lt;/authors&gt;&lt;/contributors&gt;&lt;titles&gt;&lt;title&gt;On the accuracy and reliability of different fluid models of the direct current glow discharge&lt;/title&gt;&lt;secondary-title&gt;Phys. Plasmas&lt;/secondary-title&gt;&lt;/titles&gt;&lt;periodical&gt;&lt;full-title&gt;Phys. Plasmas&lt;/full-title&gt;&lt;/periodical&gt;&lt;pages&gt;033502&lt;/pages&gt;&lt;volume&gt;19&lt;/volume&gt;&lt;number&gt;3&lt;/number&gt;&lt;dates&gt;&lt;year&gt;2012&lt;/year&gt;&lt;/dates&gt;&lt;urls&gt;&lt;related-urls&gt;&lt;url&gt;https://aip.scitation.org/doi/abs/10.1063/1.3688875&lt;/url&gt;&lt;/related-urls&gt;&lt;/urls&gt;&lt;electronic-resource-num&gt;10.1063/1.3688875&lt;/electronic-resource-num&gt;&lt;/record&gt;&lt;/Cite&gt;&lt;/EndNote&gt;</w:instrText>
      </w:r>
      <w:r>
        <w:rPr>
          <w:rFonts w:ascii="Calibri" w:hAnsi="Calibri" w:cs="Calibri"/>
        </w:rPr>
        <w:fldChar w:fldCharType="separate"/>
      </w:r>
      <w:r w:rsidR="00880927" w:rsidRPr="00880927">
        <w:rPr>
          <w:rFonts w:ascii="Calibri" w:hAnsi="Calibri" w:cs="Calibri"/>
          <w:noProof/>
          <w:vertAlign w:val="superscript"/>
        </w:rPr>
        <w:t>1</w:t>
      </w:r>
      <w:r>
        <w:rPr>
          <w:rFonts w:ascii="Calibri" w:hAnsi="Calibri" w:cs="Calibri"/>
        </w:rPr>
        <w:fldChar w:fldCharType="end"/>
      </w:r>
      <w:r w:rsidRPr="00EC427A">
        <w:rPr>
          <w:rFonts w:ascii="Calibri" w:hAnsi="Calibri" w:cs="Calibri"/>
        </w:rPr>
        <w:t xml:space="preserve"> are shown in </w:t>
      </w:r>
      <w:r w:rsidRPr="00EC427A">
        <w:rPr>
          <w:rFonts w:ascii="Calibri" w:hAnsi="Calibri" w:cs="Calibri"/>
          <w:b/>
          <w:bCs/>
        </w:rPr>
        <w:t xml:space="preserve">Table </w:t>
      </w:r>
      <w:r>
        <w:rPr>
          <w:rFonts w:ascii="Calibri" w:hAnsi="Calibri" w:cs="Calibri"/>
          <w:b/>
          <w:bCs/>
        </w:rPr>
        <w:t>A</w:t>
      </w:r>
      <w:r w:rsidRPr="00EC427A">
        <w:rPr>
          <w:rFonts w:ascii="Calibri" w:hAnsi="Calibri" w:cs="Calibri"/>
          <w:b/>
          <w:bCs/>
        </w:rPr>
        <w:t>1</w:t>
      </w:r>
      <w:r>
        <w:rPr>
          <w:rFonts w:ascii="Calibri" w:hAnsi="Calibri" w:cs="Calibri"/>
          <w:b/>
          <w:bCs/>
        </w:rPr>
        <w:t xml:space="preserve">. </w:t>
      </w:r>
    </w:p>
    <w:p w14:paraId="12FEAF83" w14:textId="77777777" w:rsidR="00510DEA" w:rsidRDefault="00510DEA" w:rsidP="00510DEA">
      <w:pPr>
        <w:autoSpaceDE w:val="0"/>
        <w:autoSpaceDN w:val="0"/>
        <w:adjustRightInd w:val="0"/>
        <w:spacing w:after="120" w:line="360" w:lineRule="auto"/>
        <w:jc w:val="center"/>
        <w:rPr>
          <w:rFonts w:ascii="Calibri" w:hAnsi="Calibri" w:cs="Calibri"/>
          <w:b/>
        </w:rPr>
      </w:pPr>
    </w:p>
    <w:p w14:paraId="4F9FE777" w14:textId="351DDA5B" w:rsidR="00510DEA" w:rsidRPr="00E208D1" w:rsidRDefault="00510DEA" w:rsidP="00510DEA">
      <w:pPr>
        <w:autoSpaceDE w:val="0"/>
        <w:autoSpaceDN w:val="0"/>
        <w:adjustRightInd w:val="0"/>
        <w:spacing w:after="120" w:line="360" w:lineRule="auto"/>
        <w:jc w:val="center"/>
        <w:rPr>
          <w:rFonts w:ascii="Calibri" w:hAnsi="Calibri" w:cs="Calibri"/>
          <w:b/>
        </w:rPr>
      </w:pPr>
      <w:r w:rsidRPr="00E208D1">
        <w:rPr>
          <w:rFonts w:ascii="Calibri" w:hAnsi="Calibri" w:cs="Calibri"/>
          <w:b/>
        </w:rPr>
        <w:t xml:space="preserve">Table </w:t>
      </w:r>
      <w:r w:rsidR="00880927">
        <w:rPr>
          <w:rFonts w:ascii="Calibri" w:hAnsi="Calibri" w:cs="Calibri"/>
          <w:b/>
        </w:rPr>
        <w:t>A</w:t>
      </w:r>
      <w:r w:rsidRPr="00E208D1">
        <w:rPr>
          <w:rFonts w:ascii="Calibri" w:hAnsi="Calibri" w:cs="Calibri"/>
          <w:b/>
        </w:rPr>
        <w:t>1</w:t>
      </w:r>
      <w:r>
        <w:rPr>
          <w:rFonts w:ascii="Calibri" w:hAnsi="Calibri" w:cs="Calibri"/>
          <w:b/>
        </w:rPr>
        <w:t>.</w:t>
      </w:r>
      <w:r w:rsidRPr="00E208D1">
        <w:rPr>
          <w:rFonts w:ascii="Calibri" w:hAnsi="Calibri" w:cs="Calibri"/>
          <w:b/>
        </w:rPr>
        <w:t xml:space="preserve"> Elementary Argon</w:t>
      </w:r>
      <w:r>
        <w:rPr>
          <w:rFonts w:ascii="Calibri" w:hAnsi="Calibri" w:cs="Calibri"/>
          <w:b/>
        </w:rPr>
        <w:t xml:space="preserve"> plasma reactions</w:t>
      </w:r>
    </w:p>
    <w:tbl>
      <w:tblPr>
        <w:tblStyle w:val="TableGrid"/>
        <w:tblW w:w="805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2455"/>
        <w:gridCol w:w="2056"/>
        <w:gridCol w:w="1060"/>
        <w:gridCol w:w="1659"/>
      </w:tblGrid>
      <w:tr w:rsidR="00510DEA" w:rsidRPr="00EC427A" w14:paraId="232D80AC" w14:textId="77777777" w:rsidTr="00F95EB3">
        <w:trPr>
          <w:jc w:val="center"/>
        </w:trPr>
        <w:tc>
          <w:tcPr>
            <w:tcW w:w="827" w:type="dxa"/>
            <w:tcBorders>
              <w:top w:val="single" w:sz="4" w:space="0" w:color="auto"/>
              <w:bottom w:val="single" w:sz="4" w:space="0" w:color="auto"/>
            </w:tcBorders>
          </w:tcPr>
          <w:p w14:paraId="447FA6E2" w14:textId="77777777" w:rsidR="00510DEA" w:rsidRPr="00EC427A" w:rsidRDefault="00510DEA" w:rsidP="00F95EB3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Calibri" w:hAnsi="Calibri" w:cs="Calibri"/>
              </w:rPr>
            </w:pPr>
            <w:r w:rsidRPr="00EC427A">
              <w:rPr>
                <w:rFonts w:ascii="Calibri" w:hAnsi="Calibri" w:cs="Calibri"/>
              </w:rPr>
              <w:t>Index</w:t>
            </w:r>
          </w:p>
        </w:tc>
        <w:tc>
          <w:tcPr>
            <w:tcW w:w="2455" w:type="dxa"/>
            <w:tcBorders>
              <w:top w:val="single" w:sz="4" w:space="0" w:color="auto"/>
              <w:bottom w:val="single" w:sz="4" w:space="0" w:color="auto"/>
            </w:tcBorders>
          </w:tcPr>
          <w:p w14:paraId="70320018" w14:textId="77777777" w:rsidR="00510DEA" w:rsidRPr="00EC427A" w:rsidRDefault="00510DEA" w:rsidP="00F95EB3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Calibri" w:hAnsi="Calibri" w:cs="Calibri"/>
              </w:rPr>
            </w:pPr>
            <w:r w:rsidRPr="00EC427A">
              <w:rPr>
                <w:rFonts w:ascii="Calibri" w:hAnsi="Calibri" w:cs="Calibri"/>
              </w:rPr>
              <w:t>Reaction</w:t>
            </w:r>
          </w:p>
        </w:tc>
        <w:tc>
          <w:tcPr>
            <w:tcW w:w="2056" w:type="dxa"/>
            <w:tcBorders>
              <w:top w:val="single" w:sz="4" w:space="0" w:color="auto"/>
              <w:bottom w:val="single" w:sz="4" w:space="0" w:color="auto"/>
            </w:tcBorders>
          </w:tcPr>
          <w:p w14:paraId="493A8A4F" w14:textId="77777777" w:rsidR="00510DEA" w:rsidRPr="00EC427A" w:rsidRDefault="00510DEA" w:rsidP="00F95EB3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Calibri" w:hAnsi="Calibri" w:cs="Calibri"/>
              </w:rPr>
            </w:pPr>
            <w:r w:rsidRPr="00EC427A">
              <w:rPr>
                <w:rFonts w:ascii="Calibri" w:hAnsi="Calibri" w:cs="Calibri"/>
              </w:rPr>
              <w:t>Type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14:paraId="65D8E09F" w14:textId="77777777" w:rsidR="00510DEA" w:rsidRPr="00EC427A" w:rsidRDefault="00510DEA" w:rsidP="00F95EB3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Calibri" w:hAnsi="Calibri" w:cs="Calibri"/>
              </w:rPr>
            </w:pPr>
            <w:r w:rsidRPr="00EC427A">
              <w:rPr>
                <w:rFonts w:ascii="Calibri" w:hAnsi="Calibri" w:cs="Calibri"/>
              </w:rPr>
              <w:t>ΔE (eV)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</w:tcPr>
          <w:p w14:paraId="4C2E317E" w14:textId="77777777" w:rsidR="00510DEA" w:rsidRPr="00EC427A" w:rsidRDefault="00510DEA" w:rsidP="00F95EB3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Calibri" w:hAnsi="Calibri" w:cs="Calibri"/>
              </w:rPr>
            </w:pPr>
            <w:r w:rsidRPr="00EC427A">
              <w:rPr>
                <w:rFonts w:ascii="Calibri" w:hAnsi="Calibri" w:cs="Calibri"/>
              </w:rPr>
              <w:t>Constant</w:t>
            </w:r>
          </w:p>
        </w:tc>
      </w:tr>
      <w:tr w:rsidR="00510DEA" w:rsidRPr="00EC427A" w14:paraId="393E5F35" w14:textId="77777777" w:rsidTr="00F95EB3">
        <w:trPr>
          <w:jc w:val="center"/>
        </w:trPr>
        <w:tc>
          <w:tcPr>
            <w:tcW w:w="827" w:type="dxa"/>
            <w:tcBorders>
              <w:top w:val="single" w:sz="4" w:space="0" w:color="auto"/>
            </w:tcBorders>
          </w:tcPr>
          <w:p w14:paraId="23AE0E6B" w14:textId="77777777" w:rsidR="00510DEA" w:rsidRPr="00EC427A" w:rsidRDefault="00510DEA" w:rsidP="00F95EB3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Calibri" w:hAnsi="Calibri" w:cs="Calibri"/>
              </w:rPr>
            </w:pPr>
            <w:r w:rsidRPr="00EC427A">
              <w:rPr>
                <w:rFonts w:ascii="Calibri" w:hAnsi="Calibri" w:cs="Calibri"/>
              </w:rPr>
              <w:t>1</w:t>
            </w:r>
          </w:p>
        </w:tc>
        <w:tc>
          <w:tcPr>
            <w:tcW w:w="2455" w:type="dxa"/>
            <w:tcBorders>
              <w:top w:val="single" w:sz="4" w:space="0" w:color="auto"/>
            </w:tcBorders>
          </w:tcPr>
          <w:p w14:paraId="676BE0BB" w14:textId="77777777" w:rsidR="00510DEA" w:rsidRPr="00EC427A" w:rsidRDefault="00510DEA" w:rsidP="00F95EB3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Calibri" w:hAnsi="Calibri" w:cs="Calibri"/>
              </w:rPr>
            </w:pPr>
            <m:oMathPara>
              <m:oMath>
                <m:r>
                  <w:rPr>
                    <w:rFonts w:ascii="Cambria Math" w:hAnsi="Cambria Math" w:cs="Calibri"/>
                  </w:rPr>
                  <m:t>e+Ar→e+Ar</m:t>
                </m:r>
              </m:oMath>
            </m:oMathPara>
          </w:p>
        </w:tc>
        <w:tc>
          <w:tcPr>
            <w:tcW w:w="2056" w:type="dxa"/>
            <w:tcBorders>
              <w:top w:val="single" w:sz="4" w:space="0" w:color="auto"/>
            </w:tcBorders>
          </w:tcPr>
          <w:p w14:paraId="3099592D" w14:textId="77777777" w:rsidR="00510DEA" w:rsidRPr="00EC427A" w:rsidRDefault="00510DEA" w:rsidP="00F95EB3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Calibri" w:hAnsi="Calibri" w:cs="Calibri"/>
              </w:rPr>
            </w:pPr>
            <w:r w:rsidRPr="00EC427A">
              <w:rPr>
                <w:rFonts w:ascii="Calibri" w:hAnsi="Calibri" w:cs="Calibri"/>
              </w:rPr>
              <w:t>Elastic collision</w:t>
            </w:r>
          </w:p>
        </w:tc>
        <w:tc>
          <w:tcPr>
            <w:tcW w:w="1060" w:type="dxa"/>
            <w:tcBorders>
              <w:top w:val="single" w:sz="4" w:space="0" w:color="auto"/>
            </w:tcBorders>
          </w:tcPr>
          <w:p w14:paraId="05FED4C4" w14:textId="77777777" w:rsidR="00510DEA" w:rsidRPr="00EC427A" w:rsidRDefault="00510DEA" w:rsidP="00F95EB3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Calibri" w:hAnsi="Calibri" w:cs="Calibri"/>
              </w:rPr>
            </w:pPr>
            <w:r w:rsidRPr="00EC427A">
              <w:rPr>
                <w:rFonts w:ascii="Calibri" w:hAnsi="Calibri" w:cs="Calibri"/>
              </w:rPr>
              <w:t>0</w:t>
            </w:r>
          </w:p>
        </w:tc>
        <w:tc>
          <w:tcPr>
            <w:tcW w:w="1659" w:type="dxa"/>
            <w:tcBorders>
              <w:top w:val="single" w:sz="4" w:space="0" w:color="auto"/>
            </w:tcBorders>
          </w:tcPr>
          <w:p w14:paraId="1C350646" w14:textId="77777777" w:rsidR="00510DEA" w:rsidRPr="00EC427A" w:rsidRDefault="00510DEA" w:rsidP="00F95EB3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Calibri" w:hAnsi="Calibri" w:cs="Calibri"/>
              </w:rPr>
            </w:pPr>
          </w:p>
        </w:tc>
      </w:tr>
      <w:tr w:rsidR="00510DEA" w:rsidRPr="00EC427A" w14:paraId="0AE1CD86" w14:textId="77777777" w:rsidTr="00F95EB3">
        <w:trPr>
          <w:jc w:val="center"/>
        </w:trPr>
        <w:tc>
          <w:tcPr>
            <w:tcW w:w="827" w:type="dxa"/>
          </w:tcPr>
          <w:p w14:paraId="28D73B70" w14:textId="77777777" w:rsidR="00510DEA" w:rsidRPr="00EC427A" w:rsidRDefault="00510DEA" w:rsidP="00F95EB3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Calibri" w:hAnsi="Calibri" w:cs="Calibri"/>
              </w:rPr>
            </w:pPr>
            <w:r w:rsidRPr="00EC427A">
              <w:rPr>
                <w:rFonts w:ascii="Calibri" w:hAnsi="Calibri" w:cs="Calibri"/>
              </w:rPr>
              <w:t>2</w:t>
            </w:r>
          </w:p>
        </w:tc>
        <w:tc>
          <w:tcPr>
            <w:tcW w:w="2455" w:type="dxa"/>
          </w:tcPr>
          <w:p w14:paraId="64100097" w14:textId="77777777" w:rsidR="00510DEA" w:rsidRPr="00EC427A" w:rsidRDefault="00510DEA" w:rsidP="00F95EB3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Calibri" w:hAnsi="Calibri" w:cs="Calibri"/>
              </w:rPr>
            </w:pPr>
            <m:oMathPara>
              <m:oMath>
                <m:r>
                  <w:rPr>
                    <w:rFonts w:ascii="Cambria Math" w:hAnsi="Cambria Math" w:cs="Calibri"/>
                  </w:rPr>
                  <m:t>e+Ar→2e+</m:t>
                </m:r>
                <m:sSup>
                  <m:sSupPr>
                    <m:ctrlPr>
                      <w:rPr>
                        <w:rFonts w:ascii="Cambria Math" w:hAnsi="Cambria Math" w:cs="Calibri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Calibri"/>
                      </w:rPr>
                      <m:t>Ar</m:t>
                    </m:r>
                  </m:e>
                  <m:sup>
                    <m:r>
                      <w:rPr>
                        <w:rFonts w:ascii="Cambria Math" w:hAnsi="Cambria Math" w:cs="Calibri"/>
                      </w:rPr>
                      <m:t>+</m:t>
                    </m:r>
                  </m:sup>
                </m:sSup>
              </m:oMath>
            </m:oMathPara>
          </w:p>
        </w:tc>
        <w:tc>
          <w:tcPr>
            <w:tcW w:w="2056" w:type="dxa"/>
          </w:tcPr>
          <w:p w14:paraId="54F396F1" w14:textId="77777777" w:rsidR="00510DEA" w:rsidRPr="00EC427A" w:rsidRDefault="00510DEA" w:rsidP="00F95EB3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Calibri" w:hAnsi="Calibri" w:cs="Calibri"/>
              </w:rPr>
            </w:pPr>
            <w:r w:rsidRPr="00EC427A">
              <w:rPr>
                <w:rFonts w:ascii="Calibri" w:hAnsi="Calibri" w:cs="Calibri"/>
              </w:rPr>
              <w:t>Direct ionization</w:t>
            </w:r>
          </w:p>
        </w:tc>
        <w:tc>
          <w:tcPr>
            <w:tcW w:w="1060" w:type="dxa"/>
          </w:tcPr>
          <w:p w14:paraId="1FF27F95" w14:textId="77777777" w:rsidR="00510DEA" w:rsidRPr="00EC427A" w:rsidRDefault="00510DEA" w:rsidP="00F95EB3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Calibri" w:hAnsi="Calibri" w:cs="Calibri"/>
              </w:rPr>
            </w:pPr>
            <w:r w:rsidRPr="00EC427A">
              <w:rPr>
                <w:rFonts w:ascii="Calibri" w:hAnsi="Calibri" w:cs="Calibri"/>
              </w:rPr>
              <w:t>15.8</w:t>
            </w:r>
          </w:p>
        </w:tc>
        <w:tc>
          <w:tcPr>
            <w:tcW w:w="1659" w:type="dxa"/>
          </w:tcPr>
          <w:p w14:paraId="35153D6A" w14:textId="77777777" w:rsidR="00510DEA" w:rsidRPr="00EC427A" w:rsidRDefault="00510DEA" w:rsidP="00F95EB3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Calibri" w:hAnsi="Calibri" w:cs="Calibri"/>
              </w:rPr>
            </w:pPr>
          </w:p>
        </w:tc>
      </w:tr>
      <w:tr w:rsidR="00510DEA" w:rsidRPr="00EC427A" w14:paraId="75B10CD1" w14:textId="77777777" w:rsidTr="00F95EB3">
        <w:trPr>
          <w:jc w:val="center"/>
        </w:trPr>
        <w:tc>
          <w:tcPr>
            <w:tcW w:w="827" w:type="dxa"/>
          </w:tcPr>
          <w:p w14:paraId="13964222" w14:textId="77777777" w:rsidR="00510DEA" w:rsidRPr="00EC427A" w:rsidRDefault="00510DEA" w:rsidP="00F95EB3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Calibri" w:hAnsi="Calibri" w:cs="Calibri"/>
              </w:rPr>
            </w:pPr>
            <w:r w:rsidRPr="00EC427A">
              <w:rPr>
                <w:rFonts w:ascii="Calibri" w:hAnsi="Calibri" w:cs="Calibri"/>
              </w:rPr>
              <w:t>3</w:t>
            </w:r>
          </w:p>
        </w:tc>
        <w:tc>
          <w:tcPr>
            <w:tcW w:w="2455" w:type="dxa"/>
          </w:tcPr>
          <w:p w14:paraId="0673CB87" w14:textId="77777777" w:rsidR="00510DEA" w:rsidRPr="00EC427A" w:rsidRDefault="00510DEA" w:rsidP="00F95EB3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Calibri" w:hAnsi="Calibri" w:cs="Calibri"/>
              </w:rPr>
            </w:pPr>
            <m:oMathPara>
              <m:oMath>
                <m:r>
                  <w:rPr>
                    <w:rFonts w:ascii="Cambria Math" w:hAnsi="Cambria Math" w:cs="Calibri"/>
                  </w:rPr>
                  <m:t>e+Ar→e+</m:t>
                </m:r>
                <m:sSup>
                  <m:sSupPr>
                    <m:ctrlPr>
                      <w:rPr>
                        <w:rFonts w:ascii="Cambria Math" w:hAnsi="Cambria Math" w:cs="Calibri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Calibri"/>
                      </w:rPr>
                      <m:t>Ar</m:t>
                    </m:r>
                  </m:e>
                  <m:sup>
                    <m:r>
                      <w:rPr>
                        <w:rFonts w:ascii="Cambria Math" w:hAnsi="Cambria Math" w:cs="Calibri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2056" w:type="dxa"/>
          </w:tcPr>
          <w:p w14:paraId="23539DDC" w14:textId="77777777" w:rsidR="00510DEA" w:rsidRPr="00EC427A" w:rsidRDefault="00510DEA" w:rsidP="00F95EB3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Calibri" w:hAnsi="Calibri" w:cs="Calibri"/>
              </w:rPr>
            </w:pPr>
            <w:r w:rsidRPr="00EC427A">
              <w:rPr>
                <w:rFonts w:ascii="Calibri" w:hAnsi="Calibri" w:cs="Calibri"/>
              </w:rPr>
              <w:t>Excitation</w:t>
            </w:r>
          </w:p>
        </w:tc>
        <w:tc>
          <w:tcPr>
            <w:tcW w:w="1060" w:type="dxa"/>
          </w:tcPr>
          <w:p w14:paraId="59DBD404" w14:textId="77777777" w:rsidR="00510DEA" w:rsidRPr="00EC427A" w:rsidRDefault="00510DEA" w:rsidP="00F95EB3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Calibri" w:hAnsi="Calibri" w:cs="Calibri"/>
              </w:rPr>
            </w:pPr>
            <w:r w:rsidRPr="00EC427A">
              <w:rPr>
                <w:rFonts w:ascii="Calibri" w:hAnsi="Calibri" w:cs="Calibri"/>
              </w:rPr>
              <w:t>11.4</w:t>
            </w:r>
          </w:p>
        </w:tc>
        <w:tc>
          <w:tcPr>
            <w:tcW w:w="1659" w:type="dxa"/>
          </w:tcPr>
          <w:p w14:paraId="61618826" w14:textId="77777777" w:rsidR="00510DEA" w:rsidRPr="00EC427A" w:rsidRDefault="00510DEA" w:rsidP="00F95EB3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Calibri" w:hAnsi="Calibri" w:cs="Calibri"/>
              </w:rPr>
            </w:pPr>
          </w:p>
        </w:tc>
      </w:tr>
      <w:tr w:rsidR="00510DEA" w:rsidRPr="00EC427A" w14:paraId="1947C5FF" w14:textId="77777777" w:rsidTr="00F95EB3">
        <w:trPr>
          <w:jc w:val="center"/>
        </w:trPr>
        <w:tc>
          <w:tcPr>
            <w:tcW w:w="827" w:type="dxa"/>
          </w:tcPr>
          <w:p w14:paraId="2445A729" w14:textId="77777777" w:rsidR="00510DEA" w:rsidRPr="00EC427A" w:rsidRDefault="00510DEA" w:rsidP="00F95EB3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Calibri" w:hAnsi="Calibri" w:cs="Calibri"/>
              </w:rPr>
            </w:pPr>
            <w:r w:rsidRPr="00EC427A">
              <w:rPr>
                <w:rFonts w:ascii="Calibri" w:hAnsi="Calibri" w:cs="Calibri"/>
              </w:rPr>
              <w:t>4</w:t>
            </w:r>
          </w:p>
        </w:tc>
        <w:tc>
          <w:tcPr>
            <w:tcW w:w="2455" w:type="dxa"/>
          </w:tcPr>
          <w:p w14:paraId="1F2AA5D7" w14:textId="77777777" w:rsidR="00510DEA" w:rsidRPr="00EC427A" w:rsidRDefault="00510DEA" w:rsidP="00F95EB3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Calibri" w:hAnsi="Calibri" w:cs="Calibri"/>
              </w:rPr>
            </w:pPr>
            <m:oMathPara>
              <m:oMath>
                <m:r>
                  <w:rPr>
                    <w:rFonts w:ascii="Cambria Math" w:hAnsi="Cambria Math" w:cs="Calibri"/>
                  </w:rPr>
                  <m:t>e+Ar→e+Ar</m:t>
                </m:r>
              </m:oMath>
            </m:oMathPara>
          </w:p>
        </w:tc>
        <w:tc>
          <w:tcPr>
            <w:tcW w:w="2056" w:type="dxa"/>
          </w:tcPr>
          <w:p w14:paraId="4228E9B2" w14:textId="77777777" w:rsidR="00510DEA" w:rsidRPr="00EC427A" w:rsidRDefault="00510DEA" w:rsidP="00F95EB3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Calibri" w:hAnsi="Calibri" w:cs="Calibri"/>
              </w:rPr>
            </w:pPr>
            <w:r w:rsidRPr="00EC427A">
              <w:rPr>
                <w:rFonts w:ascii="Calibri" w:hAnsi="Calibri" w:cs="Calibri"/>
              </w:rPr>
              <w:t>Excitation</w:t>
            </w:r>
          </w:p>
        </w:tc>
        <w:tc>
          <w:tcPr>
            <w:tcW w:w="1060" w:type="dxa"/>
          </w:tcPr>
          <w:p w14:paraId="369A1B2B" w14:textId="77777777" w:rsidR="00510DEA" w:rsidRPr="00EC427A" w:rsidRDefault="00510DEA" w:rsidP="00F95EB3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Calibri" w:hAnsi="Calibri" w:cs="Calibri"/>
              </w:rPr>
            </w:pPr>
            <w:r w:rsidRPr="00EC427A">
              <w:rPr>
                <w:rFonts w:ascii="Calibri" w:hAnsi="Calibri" w:cs="Calibri"/>
              </w:rPr>
              <w:t>13.1</w:t>
            </w:r>
          </w:p>
        </w:tc>
        <w:tc>
          <w:tcPr>
            <w:tcW w:w="1659" w:type="dxa"/>
          </w:tcPr>
          <w:p w14:paraId="511121BA" w14:textId="77777777" w:rsidR="00510DEA" w:rsidRPr="00EC427A" w:rsidRDefault="00510DEA" w:rsidP="00F95EB3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Calibri" w:hAnsi="Calibri" w:cs="Calibri"/>
              </w:rPr>
            </w:pPr>
          </w:p>
        </w:tc>
      </w:tr>
      <w:tr w:rsidR="00510DEA" w:rsidRPr="00EC427A" w14:paraId="5CBE98D4" w14:textId="77777777" w:rsidTr="00F95EB3">
        <w:trPr>
          <w:jc w:val="center"/>
        </w:trPr>
        <w:tc>
          <w:tcPr>
            <w:tcW w:w="827" w:type="dxa"/>
          </w:tcPr>
          <w:p w14:paraId="718390EA" w14:textId="77777777" w:rsidR="00510DEA" w:rsidRPr="00EC427A" w:rsidRDefault="00510DEA" w:rsidP="00F95EB3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Calibri" w:hAnsi="Calibri" w:cs="Calibri"/>
              </w:rPr>
            </w:pPr>
            <w:r w:rsidRPr="00EC427A">
              <w:rPr>
                <w:rFonts w:ascii="Calibri" w:hAnsi="Calibri" w:cs="Calibri"/>
              </w:rPr>
              <w:t>5</w:t>
            </w:r>
          </w:p>
        </w:tc>
        <w:tc>
          <w:tcPr>
            <w:tcW w:w="2455" w:type="dxa"/>
          </w:tcPr>
          <w:p w14:paraId="5F5B5392" w14:textId="77777777" w:rsidR="00510DEA" w:rsidRPr="00EC427A" w:rsidRDefault="00510DEA" w:rsidP="00F95EB3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Calibri" w:hAnsi="Calibri" w:cs="Calibri"/>
              </w:rPr>
            </w:pPr>
            <m:oMathPara>
              <m:oMath>
                <m:r>
                  <w:rPr>
                    <w:rFonts w:ascii="Cambria Math" w:hAnsi="Cambria Math" w:cs="Calibri"/>
                  </w:rPr>
                  <m:t>e+</m:t>
                </m:r>
                <m:sSup>
                  <m:sSupPr>
                    <m:ctrlPr>
                      <w:rPr>
                        <w:rFonts w:ascii="Cambria Math" w:hAnsi="Cambria Math" w:cs="Calibri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Calibri"/>
                      </w:rPr>
                      <m:t>Ar</m:t>
                    </m:r>
                  </m:e>
                  <m:sup>
                    <m:r>
                      <w:rPr>
                        <w:rFonts w:ascii="Cambria Math" w:hAnsi="Cambria Math" w:cs="Calibri"/>
                      </w:rPr>
                      <m:t>*</m:t>
                    </m:r>
                  </m:sup>
                </m:sSup>
                <m:r>
                  <w:rPr>
                    <w:rFonts w:ascii="Cambria Math" w:hAnsi="Cambria Math" w:cs="Calibri"/>
                  </w:rPr>
                  <m:t>→2e+</m:t>
                </m:r>
                <m:sSup>
                  <m:sSupPr>
                    <m:ctrlPr>
                      <w:rPr>
                        <w:rFonts w:ascii="Cambria Math" w:hAnsi="Cambria Math" w:cs="Calibri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Calibri"/>
                      </w:rPr>
                      <m:t>Ar</m:t>
                    </m:r>
                  </m:e>
                  <m:sup>
                    <m:r>
                      <w:rPr>
                        <w:rFonts w:ascii="Cambria Math" w:hAnsi="Cambria Math" w:cs="Calibri"/>
                      </w:rPr>
                      <m:t>+</m:t>
                    </m:r>
                  </m:sup>
                </m:sSup>
              </m:oMath>
            </m:oMathPara>
          </w:p>
        </w:tc>
        <w:tc>
          <w:tcPr>
            <w:tcW w:w="2056" w:type="dxa"/>
          </w:tcPr>
          <w:p w14:paraId="4DA1FDE7" w14:textId="77777777" w:rsidR="00510DEA" w:rsidRPr="00EC427A" w:rsidRDefault="00510DEA" w:rsidP="00F95EB3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Calibri" w:hAnsi="Calibri" w:cs="Calibri"/>
              </w:rPr>
            </w:pPr>
            <w:r w:rsidRPr="00EC427A">
              <w:rPr>
                <w:rFonts w:ascii="Calibri" w:hAnsi="Calibri" w:cs="Calibri"/>
              </w:rPr>
              <w:t>Stepwise ionization</w:t>
            </w:r>
          </w:p>
        </w:tc>
        <w:tc>
          <w:tcPr>
            <w:tcW w:w="1060" w:type="dxa"/>
          </w:tcPr>
          <w:p w14:paraId="5A96560A" w14:textId="77777777" w:rsidR="00510DEA" w:rsidRPr="00EC427A" w:rsidRDefault="00510DEA" w:rsidP="00F95EB3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Calibri" w:hAnsi="Calibri" w:cs="Calibri"/>
              </w:rPr>
            </w:pPr>
            <w:r w:rsidRPr="00EC427A">
              <w:rPr>
                <w:rFonts w:ascii="Calibri" w:hAnsi="Calibri" w:cs="Calibri"/>
              </w:rPr>
              <w:t>4.4</w:t>
            </w:r>
          </w:p>
        </w:tc>
        <w:tc>
          <w:tcPr>
            <w:tcW w:w="1659" w:type="dxa"/>
          </w:tcPr>
          <w:p w14:paraId="546FB6A4" w14:textId="77777777" w:rsidR="00510DEA" w:rsidRPr="00EC427A" w:rsidRDefault="00510DEA" w:rsidP="00F95EB3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Calibri" w:hAnsi="Calibri" w:cs="Calibri"/>
              </w:rPr>
            </w:pPr>
          </w:p>
        </w:tc>
      </w:tr>
      <w:tr w:rsidR="00510DEA" w:rsidRPr="00EC427A" w14:paraId="4DCEF158" w14:textId="77777777" w:rsidTr="00F95EB3">
        <w:trPr>
          <w:jc w:val="center"/>
        </w:trPr>
        <w:tc>
          <w:tcPr>
            <w:tcW w:w="827" w:type="dxa"/>
          </w:tcPr>
          <w:p w14:paraId="16F9E265" w14:textId="77777777" w:rsidR="00510DEA" w:rsidRPr="00EC427A" w:rsidRDefault="00510DEA" w:rsidP="00F95EB3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Calibri" w:hAnsi="Calibri" w:cs="Calibri"/>
              </w:rPr>
            </w:pPr>
            <w:r w:rsidRPr="00EC427A">
              <w:rPr>
                <w:rFonts w:ascii="Calibri" w:hAnsi="Calibri" w:cs="Calibri"/>
              </w:rPr>
              <w:t>6</w:t>
            </w:r>
          </w:p>
        </w:tc>
        <w:tc>
          <w:tcPr>
            <w:tcW w:w="2455" w:type="dxa"/>
          </w:tcPr>
          <w:p w14:paraId="0B6F0D51" w14:textId="77777777" w:rsidR="00510DEA" w:rsidRPr="00EC427A" w:rsidRDefault="00510DEA" w:rsidP="00F95EB3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Calibri" w:hAnsi="Calibri" w:cs="Calibri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Calibri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Calibri"/>
                      </w:rPr>
                      <m:t>2Ar</m:t>
                    </m:r>
                  </m:e>
                  <m:sup>
                    <m:r>
                      <w:rPr>
                        <w:rFonts w:ascii="Cambria Math" w:hAnsi="Cambria Math" w:cs="Calibri"/>
                      </w:rPr>
                      <m:t>*</m:t>
                    </m:r>
                  </m:sup>
                </m:sSup>
                <m:r>
                  <w:rPr>
                    <w:rFonts w:ascii="Cambria Math" w:hAnsi="Cambria Math" w:cs="Calibri"/>
                  </w:rPr>
                  <m:t>→e+</m:t>
                </m:r>
                <m:sSup>
                  <m:sSupPr>
                    <m:ctrlPr>
                      <w:rPr>
                        <w:rFonts w:ascii="Cambria Math" w:hAnsi="Cambria Math" w:cs="Calibri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Calibri"/>
                      </w:rPr>
                      <m:t>Ar</m:t>
                    </m:r>
                  </m:e>
                  <m:sup>
                    <m:r>
                      <w:rPr>
                        <w:rFonts w:ascii="Cambria Math" w:hAnsi="Cambria Math" w:cs="Calibri"/>
                      </w:rPr>
                      <m:t>*</m:t>
                    </m:r>
                  </m:sup>
                </m:sSup>
                <m:r>
                  <w:rPr>
                    <w:rFonts w:ascii="Cambria Math" w:hAnsi="Cambria Math" w:cs="Calibri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Calibri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Calibri"/>
                      </w:rPr>
                      <m:t>Ar</m:t>
                    </m:r>
                  </m:e>
                  <m:sup>
                    <m:r>
                      <w:rPr>
                        <w:rFonts w:ascii="Cambria Math" w:hAnsi="Cambria Math" w:cs="Calibri"/>
                      </w:rPr>
                      <m:t>+</m:t>
                    </m:r>
                  </m:sup>
                </m:sSup>
              </m:oMath>
            </m:oMathPara>
          </w:p>
        </w:tc>
        <w:tc>
          <w:tcPr>
            <w:tcW w:w="2056" w:type="dxa"/>
          </w:tcPr>
          <w:p w14:paraId="3E5EA0FC" w14:textId="77777777" w:rsidR="00510DEA" w:rsidRPr="00EC427A" w:rsidRDefault="00510DEA" w:rsidP="00F95EB3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Calibri" w:hAnsi="Calibri" w:cs="Calibri"/>
              </w:rPr>
            </w:pPr>
            <w:r w:rsidRPr="00EC427A">
              <w:rPr>
                <w:rFonts w:ascii="Calibri" w:hAnsi="Calibri" w:cs="Calibri"/>
              </w:rPr>
              <w:t>Penning ionization</w:t>
            </w:r>
          </w:p>
        </w:tc>
        <w:tc>
          <w:tcPr>
            <w:tcW w:w="1060" w:type="dxa"/>
          </w:tcPr>
          <w:p w14:paraId="4F52C51A" w14:textId="77777777" w:rsidR="00510DEA" w:rsidRPr="00EC427A" w:rsidRDefault="00510DEA" w:rsidP="00F95EB3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659" w:type="dxa"/>
          </w:tcPr>
          <w:p w14:paraId="35606351" w14:textId="77777777" w:rsidR="00510DEA" w:rsidRPr="00EC427A" w:rsidRDefault="00510DEA" w:rsidP="00F95EB3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Calibri" w:hAnsi="Calibri" w:cs="Calibri"/>
              </w:rPr>
            </w:pPr>
            <w:r w:rsidRPr="00EC427A">
              <w:rPr>
                <w:rFonts w:ascii="Calibri" w:hAnsi="Calibri" w:cs="Calibri"/>
              </w:rPr>
              <w:t>6.2x10</w:t>
            </w:r>
            <w:r w:rsidRPr="00EC427A">
              <w:rPr>
                <w:rFonts w:ascii="Calibri" w:hAnsi="Calibri" w:cs="Calibri"/>
                <w:vertAlign w:val="superscript"/>
              </w:rPr>
              <w:t>-10</w:t>
            </w:r>
            <w:r w:rsidRPr="00EC427A">
              <w:rPr>
                <w:rFonts w:ascii="Calibri" w:hAnsi="Calibri" w:cs="Calibri"/>
              </w:rPr>
              <w:t>cm</w:t>
            </w:r>
            <w:r w:rsidRPr="00EC427A">
              <w:rPr>
                <w:rFonts w:ascii="Calibri" w:hAnsi="Calibri" w:cs="Calibri"/>
                <w:vertAlign w:val="superscript"/>
              </w:rPr>
              <w:t>3</w:t>
            </w:r>
            <w:r w:rsidRPr="00EC427A">
              <w:rPr>
                <w:rFonts w:ascii="Calibri" w:hAnsi="Calibri" w:cs="Calibri"/>
              </w:rPr>
              <w:t>s</w:t>
            </w:r>
            <w:r w:rsidRPr="00EC427A">
              <w:rPr>
                <w:rFonts w:ascii="Calibri" w:hAnsi="Calibri" w:cs="Calibri"/>
                <w:vertAlign w:val="superscript"/>
              </w:rPr>
              <w:t>-1</w:t>
            </w:r>
          </w:p>
        </w:tc>
      </w:tr>
      <w:tr w:rsidR="00510DEA" w:rsidRPr="00EC427A" w14:paraId="30F146C1" w14:textId="77777777" w:rsidTr="00F95EB3">
        <w:trPr>
          <w:jc w:val="center"/>
        </w:trPr>
        <w:tc>
          <w:tcPr>
            <w:tcW w:w="827" w:type="dxa"/>
            <w:tcBorders>
              <w:bottom w:val="single" w:sz="4" w:space="0" w:color="auto"/>
            </w:tcBorders>
          </w:tcPr>
          <w:p w14:paraId="170D8B6C" w14:textId="77777777" w:rsidR="00510DEA" w:rsidRPr="00EC427A" w:rsidRDefault="00510DEA" w:rsidP="00F95EB3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Calibri" w:hAnsi="Calibri" w:cs="Calibri"/>
              </w:rPr>
            </w:pPr>
            <w:r w:rsidRPr="00EC427A">
              <w:rPr>
                <w:rFonts w:ascii="Calibri" w:hAnsi="Calibri" w:cs="Calibri"/>
              </w:rPr>
              <w:t>7</w:t>
            </w:r>
          </w:p>
        </w:tc>
        <w:tc>
          <w:tcPr>
            <w:tcW w:w="2455" w:type="dxa"/>
            <w:tcBorders>
              <w:bottom w:val="single" w:sz="4" w:space="0" w:color="auto"/>
            </w:tcBorders>
          </w:tcPr>
          <w:p w14:paraId="7DAA6886" w14:textId="77777777" w:rsidR="00510DEA" w:rsidRPr="00EC427A" w:rsidRDefault="00510DEA" w:rsidP="00F95EB3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Calibri" w:hAnsi="Calibri" w:cs="Calibri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Calibri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Calibri"/>
                      </w:rPr>
                      <m:t>Ar</m:t>
                    </m:r>
                  </m:e>
                  <m:sup>
                    <m:r>
                      <w:rPr>
                        <w:rFonts w:ascii="Cambria Math" w:hAnsi="Cambria Math" w:cs="Calibri"/>
                      </w:rPr>
                      <m:t>*</m:t>
                    </m:r>
                  </m:sup>
                </m:sSup>
                <m:r>
                  <w:rPr>
                    <w:rFonts w:ascii="Cambria Math" w:hAnsi="Cambria Math" w:cs="Calibri"/>
                  </w:rPr>
                  <m:t>→hv+Ar</m:t>
                </m:r>
              </m:oMath>
            </m:oMathPara>
          </w:p>
        </w:tc>
        <w:tc>
          <w:tcPr>
            <w:tcW w:w="2056" w:type="dxa"/>
            <w:tcBorders>
              <w:bottom w:val="single" w:sz="4" w:space="0" w:color="auto"/>
            </w:tcBorders>
          </w:tcPr>
          <w:p w14:paraId="0D78E906" w14:textId="77777777" w:rsidR="00510DEA" w:rsidRPr="00EC427A" w:rsidRDefault="00510DEA" w:rsidP="00F95EB3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Calibri" w:hAnsi="Calibri" w:cs="Calibri"/>
              </w:rPr>
            </w:pPr>
            <w:r w:rsidRPr="00EC427A">
              <w:rPr>
                <w:rFonts w:ascii="Calibri" w:hAnsi="Calibri" w:cs="Calibri"/>
              </w:rPr>
              <w:t>Radiation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729046E5" w14:textId="77777777" w:rsidR="00510DEA" w:rsidRPr="00EC427A" w:rsidRDefault="00510DEA" w:rsidP="00F95EB3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659" w:type="dxa"/>
            <w:tcBorders>
              <w:bottom w:val="single" w:sz="4" w:space="0" w:color="auto"/>
            </w:tcBorders>
          </w:tcPr>
          <w:p w14:paraId="23FCB67B" w14:textId="77777777" w:rsidR="00510DEA" w:rsidRPr="00EC427A" w:rsidRDefault="00510DEA" w:rsidP="00F95EB3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Calibri" w:hAnsi="Calibri" w:cs="Calibri"/>
              </w:rPr>
            </w:pPr>
            <w:r w:rsidRPr="00EC427A">
              <w:rPr>
                <w:rFonts w:ascii="Calibri" w:hAnsi="Calibri" w:cs="Calibri"/>
              </w:rPr>
              <w:t>1.0x107s</w:t>
            </w:r>
            <w:r w:rsidRPr="00EC427A">
              <w:rPr>
                <w:rFonts w:ascii="Calibri" w:hAnsi="Calibri" w:cs="Calibri"/>
                <w:vertAlign w:val="superscript"/>
              </w:rPr>
              <w:t>-1</w:t>
            </w:r>
          </w:p>
        </w:tc>
      </w:tr>
    </w:tbl>
    <w:p w14:paraId="33342B30" w14:textId="77777777" w:rsidR="00510DEA" w:rsidRPr="00751F57" w:rsidRDefault="00510DEA" w:rsidP="00510DEA">
      <w:pPr>
        <w:autoSpaceDE w:val="0"/>
        <w:autoSpaceDN w:val="0"/>
        <w:adjustRightInd w:val="0"/>
        <w:spacing w:after="120" w:line="360" w:lineRule="auto"/>
        <w:rPr>
          <w:rFonts w:ascii="Calibri" w:hAnsi="Calibri" w:cs="Calibri"/>
        </w:rPr>
      </w:pPr>
    </w:p>
    <w:p w14:paraId="73699871" w14:textId="77777777" w:rsidR="00510DEA" w:rsidRDefault="00510DEA" w:rsidP="00510DEA">
      <w:pPr>
        <w:autoSpaceDE w:val="0"/>
        <w:autoSpaceDN w:val="0"/>
        <w:adjustRightInd w:val="0"/>
        <w:spacing w:after="120" w:line="360" w:lineRule="auto"/>
        <w:jc w:val="both"/>
        <w:rPr>
          <w:rFonts w:ascii="Calibri" w:hAnsi="Calibri" w:cs="Calibri"/>
          <w:b/>
          <w:bCs/>
        </w:rPr>
      </w:pPr>
    </w:p>
    <w:p w14:paraId="350A163F" w14:textId="77777777" w:rsidR="00510DEA" w:rsidRPr="00CE7042" w:rsidRDefault="00510DEA" w:rsidP="00510DEA">
      <w:pPr>
        <w:autoSpaceDE w:val="0"/>
        <w:autoSpaceDN w:val="0"/>
        <w:adjustRightInd w:val="0"/>
        <w:spacing w:after="120"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Figure</w:t>
      </w:r>
      <w:r w:rsidRPr="00CE7042">
        <w:rPr>
          <w:rFonts w:ascii="Calibri" w:hAnsi="Calibri" w:cs="Calibri"/>
          <w:b/>
          <w:bCs/>
        </w:rPr>
        <w:t xml:space="preserve"> A1 </w:t>
      </w:r>
      <w:r w:rsidRPr="00CE7042">
        <w:rPr>
          <w:rFonts w:ascii="Calibri" w:hAnsi="Calibri" w:cs="Calibri"/>
        </w:rPr>
        <w:t>shows the corresponding cross-section profiles with respect to electron energy.</w:t>
      </w:r>
    </w:p>
    <w:p w14:paraId="5F0437A4" w14:textId="77777777" w:rsidR="00510DEA" w:rsidRPr="00751F57" w:rsidRDefault="00510DEA" w:rsidP="00510DEA">
      <w:pPr>
        <w:autoSpaceDE w:val="0"/>
        <w:autoSpaceDN w:val="0"/>
        <w:adjustRightInd w:val="0"/>
        <w:spacing w:after="120" w:line="360" w:lineRule="auto"/>
        <w:jc w:val="center"/>
        <w:rPr>
          <w:rFonts w:ascii="Calibri" w:hAnsi="Calibri" w:cs="Calibri"/>
        </w:rPr>
      </w:pPr>
      <w:r w:rsidRPr="00751F57">
        <w:rPr>
          <w:rFonts w:ascii="Calibri" w:hAnsi="Calibri" w:cs="Calibri"/>
          <w:noProof/>
        </w:rPr>
        <w:drawing>
          <wp:inline distT="0" distB="0" distL="0" distR="0" wp14:anchorId="6906C77E" wp14:editId="44202B1A">
            <wp:extent cx="2935224" cy="2200656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5224" cy="2200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776BB" w14:textId="77777777" w:rsidR="00510DEA" w:rsidRPr="00CE7042" w:rsidRDefault="00510DEA" w:rsidP="00510DEA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Figure</w:t>
      </w:r>
      <w:r w:rsidRPr="00CE7042">
        <w:rPr>
          <w:rFonts w:ascii="Calibri" w:hAnsi="Calibri" w:cs="Calibri"/>
          <w:b/>
          <w:bCs/>
          <w:sz w:val="18"/>
          <w:szCs w:val="18"/>
        </w:rPr>
        <w:t xml:space="preserve"> A1. Electron cross sections for plasma reactions used in the model. Curve labels correspond to indices of corresponding processes in Table 1.</w:t>
      </w:r>
    </w:p>
    <w:p w14:paraId="47F2A9D7" w14:textId="77777777" w:rsidR="00510DEA" w:rsidRDefault="00510DEA" w:rsidP="00510DEA">
      <w:pPr>
        <w:spacing w:line="360" w:lineRule="auto"/>
        <w:jc w:val="both"/>
      </w:pPr>
    </w:p>
    <w:p w14:paraId="436A8901" w14:textId="3578A3EC" w:rsidR="00510DEA" w:rsidRPr="0011395B" w:rsidRDefault="00880927" w:rsidP="00510DEA">
      <w:pPr>
        <w:spacing w:line="360" w:lineRule="auto"/>
        <w:rPr>
          <w:b/>
          <w:bCs/>
          <w:i/>
          <w:iCs/>
        </w:rPr>
      </w:pPr>
      <w:r>
        <w:rPr>
          <w:b/>
          <w:bCs/>
        </w:rPr>
        <w:lastRenderedPageBreak/>
        <w:t xml:space="preserve">B </w:t>
      </w:r>
      <w:r w:rsidR="00510DEA" w:rsidRPr="0011395B">
        <w:rPr>
          <w:b/>
          <w:bCs/>
        </w:rPr>
        <w:t>Appendix</w:t>
      </w:r>
      <w:r>
        <w:rPr>
          <w:b/>
          <w:bCs/>
        </w:rPr>
        <w:t>.</w:t>
      </w:r>
      <w:r w:rsidR="00510DEA">
        <w:rPr>
          <w:b/>
          <w:bCs/>
        </w:rPr>
        <w:t xml:space="preserve"> Model validation</w:t>
      </w:r>
    </w:p>
    <w:p w14:paraId="6916B46B" w14:textId="4FCB557E" w:rsidR="00510DEA" w:rsidRPr="0059623A" w:rsidRDefault="00510DEA" w:rsidP="00510DEA">
      <w:pPr>
        <w:spacing w:line="360" w:lineRule="auto"/>
        <w:ind w:firstLine="567"/>
        <w:jc w:val="both"/>
        <w:rPr>
          <w:bCs/>
        </w:rPr>
      </w:pPr>
      <w:r>
        <w:rPr>
          <w:bCs/>
        </w:rPr>
        <w:t xml:space="preserve">We validate our model by comparing our non-pulsed DCM results with those reported by Costin </w:t>
      </w:r>
      <w:r w:rsidRPr="000439D2">
        <w:rPr>
          <w:bCs/>
          <w:i/>
          <w:iCs/>
        </w:rPr>
        <w:t>et al</w:t>
      </w:r>
      <w:r>
        <w:rPr>
          <w:bCs/>
        </w:rPr>
        <w:t>.</w:t>
      </w:r>
      <w:r>
        <w:rPr>
          <w:bCs/>
        </w:rPr>
        <w:fldChar w:fldCharType="begin"/>
      </w:r>
      <w:r w:rsidR="00880927">
        <w:rPr>
          <w:bCs/>
        </w:rPr>
        <w:instrText xml:space="preserve"> ADDIN EN.CITE &lt;EndNote&gt;&lt;Cite&gt;&lt;Author&gt;Costin&lt;/Author&gt;&lt;Year&gt;2005&lt;/Year&gt;&lt;RecNum&gt;3&lt;/RecNum&gt;&lt;DisplayText&gt;&lt;style face="superscript"&gt;2&lt;/style&gt;&lt;/DisplayText&gt;&lt;record&gt;&lt;rec-number&gt;3&lt;/rec-number&gt;&lt;foreign-keys&gt;&lt;key app="EN" db-id="faszsf0vktrsfketxtyxva94favss9rvdve2" timestamp="1676338389"&gt;3&lt;/key&gt;&lt;/foreign-keys&gt;&lt;ref-type name="Journal Article"&gt;17&lt;/ref-type&gt;&lt;contributors&gt;&lt;authors&gt;&lt;author&gt;Costin, C.&lt;/author&gt;&lt;author&gt;Marques, L.&lt;/author&gt;&lt;author&gt;Popa, G.&lt;/author&gt;&lt;author&gt;Gousset, G.&lt;/author&gt;&lt;/authors&gt;&lt;/contributors&gt;&lt;titles&gt;&lt;title&gt;Two-dimensional fluid approach to the dc magnetron discharge&lt;/title&gt;&lt;secondary-title&gt;Plasma Sources Sci. Technol.&lt;/secondary-title&gt;&lt;/titles&gt;&lt;periodical&gt;&lt;full-title&gt;Plasma Sources Sci. Technol.&lt;/full-title&gt;&lt;/periodical&gt;&lt;pages&gt;168&lt;/pages&gt;&lt;volume&gt;14&lt;/volume&gt;&lt;number&gt;1&lt;/number&gt;&lt;dates&gt;&lt;year&gt;2005&lt;/year&gt;&lt;pub-dates&gt;&lt;date&gt;2005/02/01&lt;/date&gt;&lt;/pub-dates&gt;&lt;/dates&gt;&lt;isbn&gt;0963-0252&lt;/isbn&gt;&lt;urls&gt;&lt;related-urls&gt;&lt;url&gt;https://dx.doi.org/10.1088/0963-0252/14/1/018&lt;/url&gt;&lt;/related-urls&gt;&lt;/urls&gt;&lt;electronic-resource-num&gt;10.1088/0963-0252/14/1/018&lt;/electronic-resource-num&gt;&lt;/record&gt;&lt;/Cite&gt;&lt;/EndNote&gt;</w:instrText>
      </w:r>
      <w:r>
        <w:rPr>
          <w:bCs/>
        </w:rPr>
        <w:fldChar w:fldCharType="separate"/>
      </w:r>
      <w:r w:rsidR="00880927" w:rsidRPr="00880927">
        <w:rPr>
          <w:bCs/>
          <w:noProof/>
          <w:vertAlign w:val="superscript"/>
        </w:rPr>
        <w:t>2</w:t>
      </w:r>
      <w:r>
        <w:rPr>
          <w:bCs/>
        </w:rPr>
        <w:fldChar w:fldCharType="end"/>
      </w:r>
      <w:r>
        <w:rPr>
          <w:bCs/>
          <w:color w:val="000000"/>
        </w:rPr>
        <w:t>,</w:t>
      </w:r>
      <w:r>
        <w:rPr>
          <w:bCs/>
        </w:rPr>
        <w:t xml:space="preserve"> also based on fluid model. Using the same</w:t>
      </w:r>
      <w:r w:rsidRPr="0059623A">
        <w:rPr>
          <w:bCs/>
        </w:rPr>
        <w:t xml:space="preserve"> geometry</w:t>
      </w:r>
      <w:r>
        <w:rPr>
          <w:bCs/>
        </w:rPr>
        <w:t xml:space="preserve"> and</w:t>
      </w:r>
      <w:r w:rsidRPr="0059623A">
        <w:rPr>
          <w:bCs/>
        </w:rPr>
        <w:t xml:space="preserve"> discharge operating condition</w:t>
      </w:r>
      <w:r>
        <w:rPr>
          <w:bCs/>
        </w:rPr>
        <w:t>, we</w:t>
      </w:r>
      <w:r w:rsidRPr="0059623A">
        <w:rPr>
          <w:bCs/>
        </w:rPr>
        <w:t xml:space="preserve"> </w:t>
      </w:r>
      <w:r>
        <w:rPr>
          <w:bCs/>
        </w:rPr>
        <w:t xml:space="preserve">model the </w:t>
      </w:r>
      <w:r w:rsidRPr="0059623A">
        <w:rPr>
          <w:bCs/>
        </w:rPr>
        <w:t xml:space="preserve">chamber </w:t>
      </w:r>
      <w:r>
        <w:rPr>
          <w:bCs/>
        </w:rPr>
        <w:t>as a cylinder with both</w:t>
      </w:r>
      <w:r w:rsidRPr="0059623A">
        <w:rPr>
          <w:bCs/>
        </w:rPr>
        <w:t xml:space="preserve"> radius and height </w:t>
      </w:r>
      <w:r>
        <w:rPr>
          <w:bCs/>
        </w:rPr>
        <w:t>equal to</w:t>
      </w:r>
      <w:r w:rsidRPr="0059623A">
        <w:rPr>
          <w:bCs/>
        </w:rPr>
        <w:t xml:space="preserve"> 26.95 mm</w:t>
      </w:r>
      <w:r>
        <w:rPr>
          <w:bCs/>
        </w:rPr>
        <w:t>, which carries</w:t>
      </w:r>
      <w:r w:rsidRPr="0059623A">
        <w:rPr>
          <w:bCs/>
        </w:rPr>
        <w:t xml:space="preserve"> argon gas at temperature of 350</w:t>
      </w:r>
      <w:r w:rsidRPr="0059623A">
        <w:rPr>
          <w:bCs/>
          <w:vertAlign w:val="superscript"/>
        </w:rPr>
        <w:t xml:space="preserve">0 </w:t>
      </w:r>
      <w:r w:rsidRPr="0059623A">
        <w:rPr>
          <w:bCs/>
        </w:rPr>
        <w:t xml:space="preserve">K and pressure of 20 </w:t>
      </w:r>
      <w:proofErr w:type="spellStart"/>
      <w:r w:rsidRPr="0059623A">
        <w:rPr>
          <w:bCs/>
        </w:rPr>
        <w:t>m</w:t>
      </w:r>
      <w:r>
        <w:rPr>
          <w:bCs/>
        </w:rPr>
        <w:t>T</w:t>
      </w:r>
      <w:r w:rsidRPr="0059623A">
        <w:rPr>
          <w:bCs/>
        </w:rPr>
        <w:t>orr</w:t>
      </w:r>
      <w:proofErr w:type="spellEnd"/>
      <w:r>
        <w:rPr>
          <w:bCs/>
        </w:rPr>
        <w:t xml:space="preserve"> (</w:t>
      </w:r>
      <w:r w:rsidRPr="0059623A">
        <w:rPr>
          <w:b/>
        </w:rPr>
        <w:t xml:space="preserve">Fig. </w:t>
      </w:r>
      <w:r>
        <w:rPr>
          <w:b/>
        </w:rPr>
        <w:t>B1a</w:t>
      </w:r>
      <w:r w:rsidRPr="00B22E78">
        <w:rPr>
          <w:bCs/>
        </w:rPr>
        <w:t>)</w:t>
      </w:r>
      <w:r w:rsidRPr="0059623A">
        <w:rPr>
          <w:bCs/>
        </w:rPr>
        <w:t xml:space="preserve">. </w:t>
      </w:r>
      <w:r>
        <w:rPr>
          <w:bCs/>
        </w:rPr>
        <w:t>A</w:t>
      </w:r>
      <w:r w:rsidRPr="0059623A">
        <w:rPr>
          <w:bCs/>
        </w:rPr>
        <w:t xml:space="preserve"> constant </w:t>
      </w:r>
      <w:r>
        <w:rPr>
          <w:bCs/>
        </w:rPr>
        <w:t>potential</w:t>
      </w:r>
      <w:r w:rsidRPr="0059623A">
        <w:rPr>
          <w:bCs/>
        </w:rPr>
        <w:t xml:space="preserve"> of -550</w:t>
      </w:r>
      <w:r>
        <w:rPr>
          <w:bCs/>
        </w:rPr>
        <w:t xml:space="preserve"> </w:t>
      </w:r>
      <w:r w:rsidRPr="0059623A">
        <w:rPr>
          <w:bCs/>
        </w:rPr>
        <w:t>V</w:t>
      </w:r>
      <w:r>
        <w:rPr>
          <w:bCs/>
        </w:rPr>
        <w:t xml:space="preserve"> is applied to t</w:t>
      </w:r>
      <w:r w:rsidRPr="0059623A">
        <w:rPr>
          <w:bCs/>
        </w:rPr>
        <w:t xml:space="preserve">he </w:t>
      </w:r>
      <w:r>
        <w:rPr>
          <w:bCs/>
        </w:rPr>
        <w:t xml:space="preserve">lower target </w:t>
      </w:r>
      <w:r w:rsidRPr="0059623A">
        <w:rPr>
          <w:bCs/>
        </w:rPr>
        <w:t xml:space="preserve">cathode </w:t>
      </w:r>
      <w:r>
        <w:rPr>
          <w:bCs/>
        </w:rPr>
        <w:t xml:space="preserve">of </w:t>
      </w:r>
      <w:r w:rsidRPr="0059623A">
        <w:rPr>
          <w:bCs/>
        </w:rPr>
        <w:t>radius 16.5 mm</w:t>
      </w:r>
      <w:r>
        <w:rPr>
          <w:bCs/>
        </w:rPr>
        <w:t>; elsewhere, all other boundaries</w:t>
      </w:r>
      <w:r w:rsidRPr="0059623A">
        <w:rPr>
          <w:bCs/>
        </w:rPr>
        <w:t xml:space="preserve"> are grounded. </w:t>
      </w:r>
      <w:r>
        <w:rPr>
          <w:bCs/>
        </w:rPr>
        <w:t>Conc</w:t>
      </w:r>
      <w:r w:rsidRPr="0059623A">
        <w:rPr>
          <w:bCs/>
        </w:rPr>
        <w:t xml:space="preserve">entric magnets </w:t>
      </w:r>
      <w:r>
        <w:rPr>
          <w:bCs/>
        </w:rPr>
        <w:t xml:space="preserve">are positioned </w:t>
      </w:r>
      <w:r w:rsidRPr="0059623A">
        <w:rPr>
          <w:bCs/>
        </w:rPr>
        <w:t>below the cathode,</w:t>
      </w:r>
      <w:r>
        <w:rPr>
          <w:bCs/>
        </w:rPr>
        <w:t xml:space="preserve"> and they</w:t>
      </w:r>
      <w:r w:rsidRPr="0059623A">
        <w:rPr>
          <w:bCs/>
        </w:rPr>
        <w:t xml:space="preserve"> generate a magnetic field with </w:t>
      </w:r>
      <w:r>
        <w:rPr>
          <w:bCs/>
        </w:rPr>
        <w:t xml:space="preserve">field </w:t>
      </w:r>
      <w:r w:rsidRPr="0059623A">
        <w:rPr>
          <w:bCs/>
        </w:rPr>
        <w:t>strength of 750 G on the cathode surface at the radial location of 9.5 mm</w:t>
      </w:r>
      <w:r>
        <w:rPr>
          <w:bCs/>
        </w:rPr>
        <w:t>, which focuses electrons as a spotlight about 6 mm away at radial position of 9.35 mm (</w:t>
      </w:r>
      <w:r w:rsidRPr="0059623A">
        <w:rPr>
          <w:b/>
        </w:rPr>
        <w:t xml:space="preserve">Fig. </w:t>
      </w:r>
      <w:r>
        <w:rPr>
          <w:b/>
        </w:rPr>
        <w:t>B1a</w:t>
      </w:r>
      <w:r w:rsidRPr="00B22E78">
        <w:rPr>
          <w:bCs/>
        </w:rPr>
        <w:t>)</w:t>
      </w:r>
      <w:r w:rsidRPr="0059623A">
        <w:rPr>
          <w:bCs/>
        </w:rPr>
        <w:t>.</w:t>
      </w:r>
      <w:r>
        <w:rPr>
          <w:bCs/>
        </w:rPr>
        <w:t xml:space="preserve"> Taking cross sections at radial position of 9.35 mm, we compare the </w:t>
      </w:r>
      <w:r w:rsidRPr="0059623A">
        <w:rPr>
          <w:bCs/>
        </w:rPr>
        <w:t>electron density (n</w:t>
      </w:r>
      <w:r w:rsidRPr="0059623A">
        <w:rPr>
          <w:bCs/>
          <w:vertAlign w:val="subscript"/>
        </w:rPr>
        <w:t>e</w:t>
      </w:r>
      <w:r w:rsidRPr="0059623A">
        <w:rPr>
          <w:bCs/>
        </w:rPr>
        <w:t>) and argon ion density (</w:t>
      </w:r>
      <w:proofErr w:type="spellStart"/>
      <w:r w:rsidRPr="0059623A">
        <w:rPr>
          <w:bCs/>
        </w:rPr>
        <w:t>n</w:t>
      </w:r>
      <w:r w:rsidRPr="0059623A">
        <w:rPr>
          <w:bCs/>
          <w:vertAlign w:val="subscript"/>
        </w:rPr>
        <w:t>i</w:t>
      </w:r>
      <w:proofErr w:type="spellEnd"/>
      <w:r w:rsidRPr="0059623A">
        <w:rPr>
          <w:bCs/>
        </w:rPr>
        <w:t xml:space="preserve">) </w:t>
      </w:r>
      <w:r>
        <w:rPr>
          <w:bCs/>
        </w:rPr>
        <w:t xml:space="preserve">with Costin </w:t>
      </w:r>
      <w:r w:rsidRPr="000439D2">
        <w:rPr>
          <w:bCs/>
          <w:i/>
          <w:iCs/>
        </w:rPr>
        <w:t>et al</w:t>
      </w:r>
      <w:r>
        <w:rPr>
          <w:bCs/>
        </w:rPr>
        <w:t>.</w:t>
      </w:r>
      <w:r>
        <w:rPr>
          <w:bCs/>
        </w:rPr>
        <w:fldChar w:fldCharType="begin"/>
      </w:r>
      <w:r w:rsidR="00880927">
        <w:rPr>
          <w:bCs/>
        </w:rPr>
        <w:instrText xml:space="preserve"> ADDIN EN.CITE &lt;EndNote&gt;&lt;Cite&gt;&lt;Author&gt;Costin&lt;/Author&gt;&lt;Year&gt;2005&lt;/Year&gt;&lt;RecNum&gt;3&lt;/RecNum&gt;&lt;DisplayText&gt;&lt;style face="superscript"&gt;2&lt;/style&gt;&lt;/DisplayText&gt;&lt;record&gt;&lt;rec-number&gt;3&lt;/rec-number&gt;&lt;foreign-keys&gt;&lt;key app="EN" db-id="faszsf0vktrsfketxtyxva94favss9rvdve2" timestamp="1676338389"&gt;3&lt;/key&gt;&lt;/foreign-keys&gt;&lt;ref-type name="Journal Article"&gt;17&lt;/ref-type&gt;&lt;contributors&gt;&lt;authors&gt;&lt;author&gt;Costin, C.&lt;/author&gt;&lt;author&gt;Marques, L.&lt;/author&gt;&lt;author&gt;Popa, G.&lt;/author&gt;&lt;author&gt;Gousset, G.&lt;/author&gt;&lt;/authors&gt;&lt;/contributors&gt;&lt;titles&gt;&lt;title&gt;Two-dimensional fluid approach to the dc magnetron discharge&lt;/title&gt;&lt;secondary-title&gt;Plasma Sources Sci. Technol.&lt;/secondary-title&gt;&lt;/titles&gt;&lt;periodical&gt;&lt;full-title&gt;Plasma Sources Sci. Technol.&lt;/full-title&gt;&lt;/periodical&gt;&lt;pages&gt;168&lt;/pages&gt;&lt;volume&gt;14&lt;/volume&gt;&lt;number&gt;1&lt;/number&gt;&lt;dates&gt;&lt;year&gt;2005&lt;/year&gt;&lt;pub-dates&gt;&lt;date&gt;2005/02/01&lt;/date&gt;&lt;/pub-dates&gt;&lt;/dates&gt;&lt;isbn&gt;0963-0252&lt;/isbn&gt;&lt;urls&gt;&lt;related-urls&gt;&lt;url&gt;https://dx.doi.org/10.1088/0963-0252/14/1/018&lt;/url&gt;&lt;/related-urls&gt;&lt;/urls&gt;&lt;electronic-resource-num&gt;10.1088/0963-0252/14/1/018&lt;/electronic-resource-num&gt;&lt;/record&gt;&lt;/Cite&gt;&lt;/EndNote&gt;</w:instrText>
      </w:r>
      <w:r>
        <w:rPr>
          <w:bCs/>
        </w:rPr>
        <w:fldChar w:fldCharType="separate"/>
      </w:r>
      <w:r w:rsidR="00880927" w:rsidRPr="00880927">
        <w:rPr>
          <w:bCs/>
          <w:noProof/>
          <w:vertAlign w:val="superscript"/>
        </w:rPr>
        <w:t>2</w:t>
      </w:r>
      <w:r>
        <w:rPr>
          <w:bCs/>
        </w:rPr>
        <w:fldChar w:fldCharType="end"/>
      </w:r>
      <w:r>
        <w:rPr>
          <w:bCs/>
        </w:rPr>
        <w:t xml:space="preserve"> </w:t>
      </w:r>
      <w:r>
        <w:rPr>
          <w:bCs/>
          <w:color w:val="000000"/>
        </w:rPr>
        <w:t xml:space="preserve">and found good agreement in the results, with peak values of </w:t>
      </w:r>
      <w:r w:rsidRPr="0059623A">
        <w:rPr>
          <w:bCs/>
        </w:rPr>
        <w:t>2.5x10</w:t>
      </w:r>
      <w:r w:rsidRPr="0059623A">
        <w:rPr>
          <w:bCs/>
          <w:vertAlign w:val="superscript"/>
        </w:rPr>
        <w:t>16</w:t>
      </w:r>
      <w:r>
        <w:rPr>
          <w:bCs/>
          <w:vertAlign w:val="superscript"/>
        </w:rPr>
        <w:t xml:space="preserve"> </w:t>
      </w:r>
      <w:r w:rsidRPr="0059623A">
        <w:rPr>
          <w:bCs/>
        </w:rPr>
        <w:t>m</w:t>
      </w:r>
      <w:r w:rsidRPr="0059623A">
        <w:rPr>
          <w:bCs/>
          <w:vertAlign w:val="superscript"/>
        </w:rPr>
        <w:t>-3</w:t>
      </w:r>
      <w:r w:rsidRPr="0059623A">
        <w:rPr>
          <w:bCs/>
        </w:rPr>
        <w:t xml:space="preserve"> at z-location </w:t>
      </w:r>
      <w:r>
        <w:rPr>
          <w:bCs/>
        </w:rPr>
        <w:t>of</w:t>
      </w:r>
      <w:r w:rsidRPr="0059623A">
        <w:rPr>
          <w:bCs/>
        </w:rPr>
        <w:t xml:space="preserve"> 5 mm</w:t>
      </w:r>
      <w:r>
        <w:rPr>
          <w:bCs/>
        </w:rPr>
        <w:t xml:space="preserve">, as shown in </w:t>
      </w:r>
      <w:r w:rsidRPr="0059623A">
        <w:rPr>
          <w:b/>
        </w:rPr>
        <w:t xml:space="preserve">Fig. </w:t>
      </w:r>
      <w:r>
        <w:rPr>
          <w:b/>
        </w:rPr>
        <w:t>B1b</w:t>
      </w:r>
      <w:r w:rsidRPr="0059623A">
        <w:rPr>
          <w:bCs/>
        </w:rPr>
        <w:t>.</w:t>
      </w:r>
    </w:p>
    <w:p w14:paraId="27144A89" w14:textId="77777777" w:rsidR="00510DEA" w:rsidRDefault="00510DEA" w:rsidP="00510DEA">
      <w:pPr>
        <w:spacing w:line="360" w:lineRule="auto"/>
        <w:jc w:val="center"/>
        <w:rPr>
          <w:i/>
        </w:rPr>
      </w:pPr>
      <w:r>
        <w:rPr>
          <w:i/>
          <w:noProof/>
        </w:rPr>
        <w:drawing>
          <wp:inline distT="0" distB="0" distL="0" distR="0" wp14:anchorId="212267BA" wp14:editId="3FF217E6">
            <wp:extent cx="4726800" cy="21924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6800" cy="219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7C1F31" w14:textId="3AD43535" w:rsidR="00510DEA" w:rsidRPr="00CE7042" w:rsidRDefault="00510DEA" w:rsidP="00510DEA">
      <w:pPr>
        <w:spacing w:line="360" w:lineRule="auto"/>
        <w:jc w:val="both"/>
        <w:rPr>
          <w:b/>
          <w:bCs/>
          <w:iCs/>
          <w:sz w:val="18"/>
          <w:szCs w:val="18"/>
        </w:rPr>
      </w:pPr>
      <w:r>
        <w:rPr>
          <w:b/>
          <w:bCs/>
          <w:iCs/>
          <w:sz w:val="18"/>
          <w:szCs w:val="18"/>
        </w:rPr>
        <w:t>Figure</w:t>
      </w:r>
      <w:r w:rsidRPr="00CE7042">
        <w:rPr>
          <w:b/>
          <w:bCs/>
          <w:iCs/>
          <w:sz w:val="18"/>
          <w:szCs w:val="18"/>
        </w:rPr>
        <w:t xml:space="preserve"> B1. (a) Modelled electron density distribution in indicated chamber geometry and discharge operating conditions. (b) Comparison between electron density (n</w:t>
      </w:r>
      <w:r w:rsidRPr="00CE7042">
        <w:rPr>
          <w:b/>
          <w:bCs/>
          <w:iCs/>
          <w:sz w:val="18"/>
          <w:szCs w:val="18"/>
          <w:vertAlign w:val="subscript"/>
        </w:rPr>
        <w:t>e</w:t>
      </w:r>
      <w:r w:rsidRPr="00CE7042">
        <w:rPr>
          <w:b/>
          <w:bCs/>
          <w:iCs/>
          <w:sz w:val="18"/>
          <w:szCs w:val="18"/>
        </w:rPr>
        <w:t>) and argon ion density (</w:t>
      </w:r>
      <w:proofErr w:type="spellStart"/>
      <w:r w:rsidRPr="00CE7042">
        <w:rPr>
          <w:b/>
          <w:bCs/>
          <w:iCs/>
          <w:sz w:val="18"/>
          <w:szCs w:val="18"/>
        </w:rPr>
        <w:t>n</w:t>
      </w:r>
      <w:r w:rsidRPr="00CE7042">
        <w:rPr>
          <w:b/>
          <w:bCs/>
          <w:iCs/>
          <w:sz w:val="18"/>
          <w:szCs w:val="18"/>
          <w:vertAlign w:val="subscript"/>
        </w:rPr>
        <w:t>i</w:t>
      </w:r>
      <w:proofErr w:type="spellEnd"/>
      <w:r w:rsidRPr="00CE7042">
        <w:rPr>
          <w:b/>
          <w:bCs/>
          <w:iCs/>
          <w:sz w:val="18"/>
          <w:szCs w:val="18"/>
        </w:rPr>
        <w:t xml:space="preserve">) along the z direction at radial position r = 9.35 mm with reported results from </w:t>
      </w:r>
      <w:r w:rsidRPr="00CE7042">
        <w:rPr>
          <w:b/>
          <w:bCs/>
          <w:sz w:val="18"/>
          <w:szCs w:val="18"/>
        </w:rPr>
        <w:t xml:space="preserve">Costin </w:t>
      </w:r>
      <w:r w:rsidRPr="000439D2">
        <w:rPr>
          <w:b/>
          <w:bCs/>
          <w:i/>
          <w:iCs/>
          <w:sz w:val="18"/>
          <w:szCs w:val="18"/>
        </w:rPr>
        <w:t>et al</w:t>
      </w:r>
      <w:r w:rsidRPr="00CE7042">
        <w:rPr>
          <w:b/>
          <w:bCs/>
          <w:sz w:val="18"/>
          <w:szCs w:val="18"/>
        </w:rPr>
        <w:t>.</w:t>
      </w:r>
      <w:r>
        <w:rPr>
          <w:b/>
          <w:bCs/>
          <w:sz w:val="18"/>
          <w:szCs w:val="18"/>
        </w:rPr>
        <w:fldChar w:fldCharType="begin"/>
      </w:r>
      <w:r w:rsidR="00880927">
        <w:rPr>
          <w:b/>
          <w:bCs/>
          <w:sz w:val="18"/>
          <w:szCs w:val="18"/>
        </w:rPr>
        <w:instrText xml:space="preserve"> ADDIN EN.CITE &lt;EndNote&gt;&lt;Cite&gt;&lt;Author&gt;Costin&lt;/Author&gt;&lt;Year&gt;2005&lt;/Year&gt;&lt;RecNum&gt;3&lt;/RecNum&gt;&lt;DisplayText&gt;&lt;style face="superscript"&gt;2&lt;/style&gt;&lt;/DisplayText&gt;&lt;record&gt;&lt;rec-number&gt;3&lt;/rec-number&gt;&lt;foreign-keys&gt;&lt;key app="EN" db-id="faszsf0vktrsfketxtyxva94favss9rvdve2" timestamp="1676338389"&gt;3&lt;/key&gt;&lt;/foreign-keys&gt;&lt;ref-type name="Journal Article"&gt;17&lt;/ref-type&gt;&lt;contributors&gt;&lt;authors&gt;&lt;author&gt;Costin, C.&lt;/author&gt;&lt;author&gt;Marques, L.&lt;/author&gt;&lt;author&gt;Popa, G.&lt;/author&gt;&lt;author&gt;Gousset, G.&lt;/author&gt;&lt;/authors&gt;&lt;/contributors&gt;&lt;titles&gt;&lt;title&gt;Two-dimensional fluid approach to the dc magnetron discharge&lt;/title&gt;&lt;secondary-title&gt;Plasma Sources Sci. Technol.&lt;/secondary-title&gt;&lt;/titles&gt;&lt;periodical&gt;&lt;full-title&gt;Plasma Sources Sci. Technol.&lt;/full-title&gt;&lt;/periodical&gt;&lt;pages&gt;168&lt;/pages&gt;&lt;volume&gt;14&lt;/volume&gt;&lt;number&gt;1&lt;/number&gt;&lt;dates&gt;&lt;year&gt;2005&lt;/year&gt;&lt;pub-dates&gt;&lt;date&gt;2005/02/01&lt;/date&gt;&lt;/pub-dates&gt;&lt;/dates&gt;&lt;isbn&gt;0963-0252&lt;/isbn&gt;&lt;urls&gt;&lt;related-urls&gt;&lt;url&gt;https://dx.doi.org/10.1088/0963-0252/14/1/018&lt;/url&gt;&lt;/related-urls&gt;&lt;/urls&gt;&lt;electronic-resource-num&gt;10.1088/0963-0252/14/1/018&lt;/electronic-resource-num&gt;&lt;/record&gt;&lt;/Cite&gt;&lt;/EndNote&gt;</w:instrText>
      </w:r>
      <w:r>
        <w:rPr>
          <w:b/>
          <w:bCs/>
          <w:sz w:val="18"/>
          <w:szCs w:val="18"/>
        </w:rPr>
        <w:fldChar w:fldCharType="separate"/>
      </w:r>
      <w:r w:rsidR="00880927" w:rsidRPr="00880927">
        <w:rPr>
          <w:b/>
          <w:bCs/>
          <w:noProof/>
          <w:sz w:val="18"/>
          <w:szCs w:val="18"/>
          <w:vertAlign w:val="superscript"/>
        </w:rPr>
        <w:t>2</w:t>
      </w:r>
      <w:r>
        <w:rPr>
          <w:b/>
          <w:bCs/>
          <w:sz w:val="18"/>
          <w:szCs w:val="18"/>
        </w:rPr>
        <w:fldChar w:fldCharType="end"/>
      </w:r>
      <w:r w:rsidRPr="00CE7042">
        <w:rPr>
          <w:b/>
          <w:bCs/>
          <w:color w:val="000000"/>
          <w:sz w:val="18"/>
          <w:szCs w:val="18"/>
        </w:rPr>
        <w:t>,</w:t>
      </w:r>
      <w:r w:rsidRPr="00CE7042">
        <w:rPr>
          <w:b/>
          <w:bCs/>
          <w:sz w:val="18"/>
          <w:szCs w:val="18"/>
        </w:rPr>
        <w:t xml:space="preserve"> also based on fluid model.</w:t>
      </w:r>
    </w:p>
    <w:p w14:paraId="44C58832" w14:textId="77777777" w:rsidR="00510DEA" w:rsidRDefault="00510DEA" w:rsidP="00510DEA">
      <w:pPr>
        <w:spacing w:line="360" w:lineRule="auto"/>
        <w:jc w:val="both"/>
      </w:pPr>
    </w:p>
    <w:p w14:paraId="6B5FAA57" w14:textId="77777777" w:rsidR="00880927" w:rsidRPr="00880927" w:rsidRDefault="00880927">
      <w:pPr>
        <w:rPr>
          <w:b/>
          <w:bCs/>
        </w:rPr>
      </w:pPr>
      <w:r w:rsidRPr="00880927">
        <w:rPr>
          <w:b/>
          <w:bCs/>
        </w:rPr>
        <w:t>References</w:t>
      </w:r>
    </w:p>
    <w:p w14:paraId="14BB1FC7" w14:textId="77777777" w:rsidR="00880927" w:rsidRDefault="00880927"/>
    <w:p w14:paraId="02C49DB6" w14:textId="77777777" w:rsidR="00880927" w:rsidRPr="00880927" w:rsidRDefault="00880927" w:rsidP="00880927">
      <w:pPr>
        <w:pStyle w:val="EndNoteBibliography"/>
        <w:spacing w:after="0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880927">
        <w:t>1</w:t>
      </w:r>
      <w:r w:rsidRPr="00880927">
        <w:tab/>
        <w:t xml:space="preserve">Rafatov, I., Bogdanov, E. A. &amp; Kudryavtsev, A. A. On the accuracy and reliability of different fluid models of the direct current glow discharge. </w:t>
      </w:r>
      <w:r w:rsidRPr="00880927">
        <w:rPr>
          <w:i/>
        </w:rPr>
        <w:t>Phys. Plasmas</w:t>
      </w:r>
      <w:r w:rsidRPr="00880927">
        <w:t xml:space="preserve"> </w:t>
      </w:r>
      <w:r w:rsidRPr="00880927">
        <w:rPr>
          <w:b/>
        </w:rPr>
        <w:t>19</w:t>
      </w:r>
      <w:r w:rsidRPr="00880927">
        <w:t>, 033502, doi:10.1063/1.3688875 (2012).</w:t>
      </w:r>
    </w:p>
    <w:p w14:paraId="04F745CE" w14:textId="77777777" w:rsidR="00880927" w:rsidRPr="00880927" w:rsidRDefault="00880927" w:rsidP="00880927">
      <w:pPr>
        <w:pStyle w:val="EndNoteBibliography"/>
        <w:ind w:left="720" w:hanging="720"/>
      </w:pPr>
      <w:r w:rsidRPr="00880927">
        <w:t>2</w:t>
      </w:r>
      <w:r w:rsidRPr="00880927">
        <w:tab/>
        <w:t xml:space="preserve">Costin, C., Marques, L., Popa, G. &amp; Gousset, G. Two-dimensional fluid approach to the dc magnetron discharge. </w:t>
      </w:r>
      <w:r w:rsidRPr="00880927">
        <w:rPr>
          <w:i/>
        </w:rPr>
        <w:t>Plasma Sources Sci. Technol.</w:t>
      </w:r>
      <w:r w:rsidRPr="00880927">
        <w:t xml:space="preserve"> </w:t>
      </w:r>
      <w:r w:rsidRPr="00880927">
        <w:rPr>
          <w:b/>
        </w:rPr>
        <w:t>14</w:t>
      </w:r>
      <w:r w:rsidRPr="00880927">
        <w:t>, 168, doi:10.1088/0963-0252/14/1/018 (2005).</w:t>
      </w:r>
    </w:p>
    <w:p w14:paraId="69CE8FF7" w14:textId="5F0CB136" w:rsidR="00510DEA" w:rsidRDefault="00880927">
      <w:r>
        <w:fldChar w:fldCharType="end"/>
      </w:r>
    </w:p>
    <w:sectPr w:rsidR="00510DEA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1CFAB" w14:textId="77777777" w:rsidR="00E348B6" w:rsidRDefault="00E348B6" w:rsidP="00510DEA">
      <w:pPr>
        <w:spacing w:after="0" w:line="240" w:lineRule="auto"/>
      </w:pPr>
      <w:r>
        <w:separator/>
      </w:r>
    </w:p>
  </w:endnote>
  <w:endnote w:type="continuationSeparator" w:id="0">
    <w:p w14:paraId="3717A03C" w14:textId="77777777" w:rsidR="00E348B6" w:rsidRDefault="00E348B6" w:rsidP="00510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511619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C51137" w14:textId="2F7C838A" w:rsidR="00D7387F" w:rsidRDefault="00D7387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CDB4F33" w14:textId="77777777" w:rsidR="00D7387F" w:rsidRDefault="00D738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53D87" w14:textId="77777777" w:rsidR="00E348B6" w:rsidRDefault="00E348B6" w:rsidP="00510DEA">
      <w:pPr>
        <w:spacing w:after="0" w:line="240" w:lineRule="auto"/>
      </w:pPr>
      <w:r>
        <w:separator/>
      </w:r>
    </w:p>
  </w:footnote>
  <w:footnote w:type="continuationSeparator" w:id="0">
    <w:p w14:paraId="7240628B" w14:textId="77777777" w:rsidR="00E348B6" w:rsidRDefault="00E348B6" w:rsidP="00510D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Nature Scientific Report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510DEA"/>
    <w:rsid w:val="000F156C"/>
    <w:rsid w:val="00510DEA"/>
    <w:rsid w:val="00880927"/>
    <w:rsid w:val="00BC3CB6"/>
    <w:rsid w:val="00D7387F"/>
    <w:rsid w:val="00E348B6"/>
    <w:rsid w:val="00EA2BF2"/>
    <w:rsid w:val="00ED4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D22F14"/>
  <w15:chartTrackingRefBased/>
  <w15:docId w15:val="{EAF7299B-85E1-47EC-89CC-716832A4A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DE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0D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880927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80927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880927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880927"/>
    <w:rPr>
      <w:rFonts w:ascii="Calibri" w:hAnsi="Calibri" w:cs="Calibri"/>
      <w:noProof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738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387F"/>
  </w:style>
  <w:style w:type="paragraph" w:styleId="Footer">
    <w:name w:val="footer"/>
    <w:basedOn w:val="Normal"/>
    <w:link w:val="FooterChar"/>
    <w:uiPriority w:val="99"/>
    <w:unhideWhenUsed/>
    <w:rsid w:val="00D738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38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1025</Words>
  <Characters>5844</Characters>
  <Application>Microsoft Office Word</Application>
  <DocSecurity>0</DocSecurity>
  <Lines>48</Lines>
  <Paragraphs>13</Paragraphs>
  <ScaleCrop>false</ScaleCrop>
  <Company/>
  <LinksUpToDate>false</LinksUpToDate>
  <CharactersWithSpaces>6856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365 Lifetime</dc:creator>
  <cp:keywords/>
  <dc:description/>
  <cp:lastModifiedBy>Office 365 Lifetime</cp:lastModifiedBy>
  <cp:revision>4</cp:revision>
  <dcterms:created xsi:type="dcterms:W3CDTF">2023-03-29T09:41:00Z</dcterms:created>
  <dcterms:modified xsi:type="dcterms:W3CDTF">2023-03-29T09:52:00Z</dcterms:modified>
</cp:coreProperties>
</file>