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28FCAD" w14:textId="77777777" w:rsidR="004A1DDC" w:rsidRDefault="004A1DDC" w:rsidP="004A1DDC">
      <w:pPr>
        <w:pStyle w:val="Caption"/>
        <w:keepNext/>
        <w:jc w:val="center"/>
      </w:pPr>
      <w:bookmarkStart w:id="0" w:name="_Ref128069264"/>
      <w:r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6</w:t>
      </w:r>
      <w:r>
        <w:fldChar w:fldCharType="end"/>
      </w:r>
      <w:bookmarkEnd w:id="0"/>
      <w:r>
        <w:t xml:space="preserve"> Deep Learning adjusted scores. </w:t>
      </w:r>
      <w:r>
        <w:rPr>
          <w:lang w:val="en-GB"/>
        </w:rPr>
        <w:t xml:space="preserve">Green cells are intentionally left without a percentage. To make the results more meaningful and unbiased regarding the highest correlation: In each row, we excluded the highest score, and the sum of 100% was distributed to the rest of the SDGs on a pro-rata basis. This adjustment helps in the interpretation of the results. It brings them in a comparable scale, thus making them more revealing; the semantic content included within the policy X reflects more clearly its semantic similarities to the indicator contents of the SDG Y and the variation among the different correlation scores is clearer.  </w:t>
      </w:r>
    </w:p>
    <w:tbl>
      <w:tblPr>
        <w:tblW w:w="934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75"/>
        <w:gridCol w:w="424"/>
        <w:gridCol w:w="424"/>
        <w:gridCol w:w="502"/>
        <w:gridCol w:w="423"/>
        <w:gridCol w:w="423"/>
        <w:gridCol w:w="502"/>
        <w:gridCol w:w="502"/>
        <w:gridCol w:w="502"/>
        <w:gridCol w:w="502"/>
        <w:gridCol w:w="477"/>
        <w:gridCol w:w="502"/>
        <w:gridCol w:w="502"/>
        <w:gridCol w:w="502"/>
        <w:gridCol w:w="502"/>
        <w:gridCol w:w="477"/>
        <w:gridCol w:w="502"/>
        <w:gridCol w:w="502"/>
      </w:tblGrid>
      <w:tr w:rsidR="004A1DDC" w14:paraId="5725D1CA" w14:textId="77777777" w:rsidTr="004A1DDC">
        <w:trPr>
          <w:trHeight w:val="20"/>
        </w:trPr>
        <w:tc>
          <w:tcPr>
            <w:tcW w:w="1174" w:type="dxa"/>
            <w:tcBorders>
              <w:top w:val="single" w:sz="6" w:space="0" w:color="5B9BD5"/>
              <w:left w:val="single" w:sz="6" w:space="0" w:color="5B9BD5"/>
              <w:bottom w:val="single" w:sz="6" w:space="0" w:color="5B9BD5"/>
              <w:right w:val="nil"/>
            </w:tcBorders>
            <w:shd w:val="clear" w:color="auto" w:fill="5B9BD5"/>
            <w:hideMark/>
          </w:tcPr>
          <w:p w14:paraId="0E724128" w14:textId="77777777" w:rsidR="004A1DDC" w:rsidRDefault="004A1DDC">
            <w:pPr>
              <w:spacing w:after="0"/>
              <w:jc w:val="both"/>
              <w:rPr>
                <w:rFonts w:ascii="Calibri" w:eastAsia="Calibri" w:hAnsi="Calibri" w:cs="Calibri"/>
                <w:b/>
                <w:bCs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bCs/>
                <w:sz w:val="16"/>
                <w:szCs w:val="16"/>
                <w:lang w:val="en-US"/>
              </w:rPr>
              <w:t> EGD Policies</w:t>
            </w:r>
            <w:r>
              <w:rPr>
                <w:rFonts w:ascii="Calibri" w:eastAsia="Calibri" w:hAnsi="Calibri" w:cs="Calibri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424" w:type="dxa"/>
            <w:tcBorders>
              <w:top w:val="single" w:sz="6" w:space="0" w:color="5B9BD5"/>
              <w:left w:val="nil"/>
              <w:bottom w:val="single" w:sz="6" w:space="0" w:color="5B9BD5"/>
              <w:right w:val="nil"/>
            </w:tcBorders>
            <w:shd w:val="clear" w:color="auto" w:fill="5B9BD5"/>
            <w:hideMark/>
          </w:tcPr>
          <w:p w14:paraId="503A59DF" w14:textId="77777777" w:rsidR="004A1DDC" w:rsidRDefault="004A1DDC">
            <w:pPr>
              <w:spacing w:after="0"/>
              <w:jc w:val="both"/>
              <w:rPr>
                <w:rFonts w:ascii="Calibri" w:eastAsia="Calibri" w:hAnsi="Calibri" w:cs="Calibri"/>
                <w:b/>
                <w:bCs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bCs/>
                <w:sz w:val="16"/>
                <w:szCs w:val="16"/>
                <w:lang w:val="en-US"/>
              </w:rPr>
              <w:t>SDG1</w:t>
            </w:r>
            <w:r>
              <w:rPr>
                <w:rFonts w:ascii="Calibri" w:eastAsia="Calibri" w:hAnsi="Calibri" w:cs="Calibri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424" w:type="dxa"/>
            <w:tcBorders>
              <w:top w:val="single" w:sz="6" w:space="0" w:color="5B9BD5"/>
              <w:left w:val="nil"/>
              <w:bottom w:val="single" w:sz="6" w:space="0" w:color="5B9BD5"/>
              <w:right w:val="nil"/>
            </w:tcBorders>
            <w:shd w:val="clear" w:color="auto" w:fill="5B9BD5"/>
            <w:hideMark/>
          </w:tcPr>
          <w:p w14:paraId="69969EA5" w14:textId="77777777" w:rsidR="004A1DDC" w:rsidRDefault="004A1DDC">
            <w:pPr>
              <w:spacing w:after="0"/>
              <w:jc w:val="both"/>
              <w:rPr>
                <w:rFonts w:ascii="Calibri" w:eastAsia="Calibri" w:hAnsi="Calibri" w:cs="Calibri"/>
                <w:b/>
                <w:bCs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bCs/>
                <w:sz w:val="16"/>
                <w:szCs w:val="16"/>
                <w:lang w:val="en-US"/>
              </w:rPr>
              <w:t>SDG2</w:t>
            </w:r>
            <w:r>
              <w:rPr>
                <w:rFonts w:ascii="Calibri" w:eastAsia="Calibri" w:hAnsi="Calibri" w:cs="Calibri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502" w:type="dxa"/>
            <w:tcBorders>
              <w:top w:val="single" w:sz="6" w:space="0" w:color="5B9BD5"/>
              <w:left w:val="nil"/>
              <w:bottom w:val="single" w:sz="6" w:space="0" w:color="5B9BD5"/>
              <w:right w:val="nil"/>
            </w:tcBorders>
            <w:shd w:val="clear" w:color="auto" w:fill="5B9BD5"/>
            <w:hideMark/>
          </w:tcPr>
          <w:p w14:paraId="52510997" w14:textId="77777777" w:rsidR="004A1DDC" w:rsidRDefault="004A1DDC">
            <w:pPr>
              <w:spacing w:after="0"/>
              <w:jc w:val="both"/>
              <w:rPr>
                <w:rFonts w:ascii="Calibri" w:eastAsia="Calibri" w:hAnsi="Calibri" w:cs="Calibri"/>
                <w:b/>
                <w:bCs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bCs/>
                <w:sz w:val="16"/>
                <w:szCs w:val="16"/>
                <w:lang w:val="en-US"/>
              </w:rPr>
              <w:t>SDG3</w:t>
            </w:r>
            <w:r>
              <w:rPr>
                <w:rFonts w:ascii="Calibri" w:eastAsia="Calibri" w:hAnsi="Calibri" w:cs="Calibri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423" w:type="dxa"/>
            <w:tcBorders>
              <w:top w:val="single" w:sz="6" w:space="0" w:color="5B9BD5"/>
              <w:left w:val="nil"/>
              <w:bottom w:val="single" w:sz="6" w:space="0" w:color="5B9BD5"/>
              <w:right w:val="nil"/>
            </w:tcBorders>
            <w:shd w:val="clear" w:color="auto" w:fill="5B9BD5"/>
            <w:hideMark/>
          </w:tcPr>
          <w:p w14:paraId="09E9C40B" w14:textId="77777777" w:rsidR="004A1DDC" w:rsidRDefault="004A1DDC">
            <w:pPr>
              <w:spacing w:after="0"/>
              <w:jc w:val="both"/>
              <w:rPr>
                <w:rFonts w:ascii="Calibri" w:eastAsia="Calibri" w:hAnsi="Calibri" w:cs="Calibri"/>
                <w:b/>
                <w:bCs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bCs/>
                <w:sz w:val="16"/>
                <w:szCs w:val="16"/>
                <w:lang w:val="en-US"/>
              </w:rPr>
              <w:t>SDG4</w:t>
            </w:r>
            <w:r>
              <w:rPr>
                <w:rFonts w:ascii="Calibri" w:eastAsia="Calibri" w:hAnsi="Calibri" w:cs="Calibri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423" w:type="dxa"/>
            <w:tcBorders>
              <w:top w:val="single" w:sz="6" w:space="0" w:color="5B9BD5"/>
              <w:left w:val="nil"/>
              <w:bottom w:val="single" w:sz="6" w:space="0" w:color="5B9BD5"/>
              <w:right w:val="nil"/>
            </w:tcBorders>
            <w:shd w:val="clear" w:color="auto" w:fill="5B9BD5"/>
            <w:hideMark/>
          </w:tcPr>
          <w:p w14:paraId="681299D5" w14:textId="77777777" w:rsidR="004A1DDC" w:rsidRDefault="004A1DDC">
            <w:pPr>
              <w:spacing w:after="0"/>
              <w:jc w:val="both"/>
              <w:rPr>
                <w:rFonts w:ascii="Calibri" w:eastAsia="Calibri" w:hAnsi="Calibri" w:cs="Calibri"/>
                <w:b/>
                <w:bCs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bCs/>
                <w:sz w:val="16"/>
                <w:szCs w:val="16"/>
                <w:lang w:val="en-US"/>
              </w:rPr>
              <w:t>SDG5</w:t>
            </w:r>
            <w:r>
              <w:rPr>
                <w:rFonts w:ascii="Calibri" w:eastAsia="Calibri" w:hAnsi="Calibri" w:cs="Calibri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502" w:type="dxa"/>
            <w:tcBorders>
              <w:top w:val="single" w:sz="6" w:space="0" w:color="5B9BD5"/>
              <w:left w:val="nil"/>
              <w:bottom w:val="single" w:sz="6" w:space="0" w:color="5B9BD5"/>
              <w:right w:val="nil"/>
            </w:tcBorders>
            <w:shd w:val="clear" w:color="auto" w:fill="5B9BD5"/>
            <w:hideMark/>
          </w:tcPr>
          <w:p w14:paraId="2CA4774B" w14:textId="77777777" w:rsidR="004A1DDC" w:rsidRDefault="004A1DDC">
            <w:pPr>
              <w:spacing w:after="0"/>
              <w:jc w:val="both"/>
              <w:rPr>
                <w:rFonts w:ascii="Calibri" w:eastAsia="Calibri" w:hAnsi="Calibri" w:cs="Calibri"/>
                <w:b/>
                <w:bCs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bCs/>
                <w:sz w:val="16"/>
                <w:szCs w:val="16"/>
                <w:lang w:val="en-US"/>
              </w:rPr>
              <w:t>SDG6</w:t>
            </w:r>
            <w:r>
              <w:rPr>
                <w:rFonts w:ascii="Calibri" w:eastAsia="Calibri" w:hAnsi="Calibri" w:cs="Calibri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502" w:type="dxa"/>
            <w:tcBorders>
              <w:top w:val="single" w:sz="6" w:space="0" w:color="5B9BD5"/>
              <w:left w:val="nil"/>
              <w:bottom w:val="single" w:sz="6" w:space="0" w:color="5B9BD5"/>
              <w:right w:val="nil"/>
            </w:tcBorders>
            <w:shd w:val="clear" w:color="auto" w:fill="5B9BD5"/>
            <w:hideMark/>
          </w:tcPr>
          <w:p w14:paraId="3C8135D6" w14:textId="77777777" w:rsidR="004A1DDC" w:rsidRDefault="004A1DDC">
            <w:pPr>
              <w:spacing w:after="0"/>
              <w:jc w:val="both"/>
              <w:rPr>
                <w:rFonts w:ascii="Calibri" w:eastAsia="Calibri" w:hAnsi="Calibri" w:cs="Calibri"/>
                <w:b/>
                <w:bCs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bCs/>
                <w:sz w:val="16"/>
                <w:szCs w:val="16"/>
                <w:lang w:val="en-US"/>
              </w:rPr>
              <w:t>SDG7</w:t>
            </w:r>
            <w:r>
              <w:rPr>
                <w:rFonts w:ascii="Calibri" w:eastAsia="Calibri" w:hAnsi="Calibri" w:cs="Calibri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502" w:type="dxa"/>
            <w:tcBorders>
              <w:top w:val="single" w:sz="6" w:space="0" w:color="5B9BD5"/>
              <w:left w:val="nil"/>
              <w:bottom w:val="single" w:sz="6" w:space="0" w:color="5B9BD5"/>
              <w:right w:val="nil"/>
            </w:tcBorders>
            <w:shd w:val="clear" w:color="auto" w:fill="5B9BD5"/>
            <w:hideMark/>
          </w:tcPr>
          <w:p w14:paraId="43FB386C" w14:textId="77777777" w:rsidR="004A1DDC" w:rsidRDefault="004A1DDC">
            <w:pPr>
              <w:spacing w:after="0"/>
              <w:jc w:val="both"/>
              <w:rPr>
                <w:rFonts w:ascii="Calibri" w:eastAsia="Calibri" w:hAnsi="Calibri" w:cs="Calibri"/>
                <w:b/>
                <w:bCs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bCs/>
                <w:sz w:val="16"/>
                <w:szCs w:val="16"/>
                <w:lang w:val="en-US"/>
              </w:rPr>
              <w:t>SDG8</w:t>
            </w:r>
            <w:r>
              <w:rPr>
                <w:rFonts w:ascii="Calibri" w:eastAsia="Calibri" w:hAnsi="Calibri" w:cs="Calibri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502" w:type="dxa"/>
            <w:tcBorders>
              <w:top w:val="single" w:sz="6" w:space="0" w:color="5B9BD5"/>
              <w:left w:val="nil"/>
              <w:bottom w:val="single" w:sz="6" w:space="0" w:color="5B9BD5"/>
              <w:right w:val="nil"/>
            </w:tcBorders>
            <w:shd w:val="clear" w:color="auto" w:fill="5B9BD5"/>
            <w:hideMark/>
          </w:tcPr>
          <w:p w14:paraId="17B04D5F" w14:textId="77777777" w:rsidR="004A1DDC" w:rsidRDefault="004A1DDC">
            <w:pPr>
              <w:spacing w:after="0"/>
              <w:jc w:val="both"/>
              <w:rPr>
                <w:rFonts w:ascii="Calibri" w:eastAsia="Calibri" w:hAnsi="Calibri" w:cs="Calibri"/>
                <w:b/>
                <w:bCs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bCs/>
                <w:sz w:val="16"/>
                <w:szCs w:val="16"/>
                <w:lang w:val="en-US"/>
              </w:rPr>
              <w:t>SDG9</w:t>
            </w:r>
            <w:r>
              <w:rPr>
                <w:rFonts w:ascii="Calibri" w:eastAsia="Calibri" w:hAnsi="Calibri" w:cs="Calibri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477" w:type="dxa"/>
            <w:tcBorders>
              <w:top w:val="single" w:sz="6" w:space="0" w:color="5B9BD5"/>
              <w:left w:val="nil"/>
              <w:bottom w:val="single" w:sz="6" w:space="0" w:color="5B9BD5"/>
              <w:right w:val="nil"/>
            </w:tcBorders>
            <w:shd w:val="clear" w:color="auto" w:fill="5B9BD5"/>
            <w:hideMark/>
          </w:tcPr>
          <w:p w14:paraId="6194E996" w14:textId="77777777" w:rsidR="004A1DDC" w:rsidRDefault="004A1DDC">
            <w:pPr>
              <w:spacing w:after="0"/>
              <w:jc w:val="both"/>
              <w:rPr>
                <w:rFonts w:ascii="Calibri" w:eastAsia="Calibri" w:hAnsi="Calibri" w:cs="Calibri"/>
                <w:b/>
                <w:bCs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bCs/>
                <w:sz w:val="16"/>
                <w:szCs w:val="16"/>
                <w:lang w:val="en-US"/>
              </w:rPr>
              <w:t>SDG10</w:t>
            </w:r>
            <w:r>
              <w:rPr>
                <w:rFonts w:ascii="Calibri" w:eastAsia="Calibri" w:hAnsi="Calibri" w:cs="Calibri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502" w:type="dxa"/>
            <w:tcBorders>
              <w:top w:val="single" w:sz="6" w:space="0" w:color="5B9BD5"/>
              <w:left w:val="nil"/>
              <w:bottom w:val="single" w:sz="6" w:space="0" w:color="5B9BD5"/>
              <w:right w:val="nil"/>
            </w:tcBorders>
            <w:shd w:val="clear" w:color="auto" w:fill="5B9BD5"/>
            <w:hideMark/>
          </w:tcPr>
          <w:p w14:paraId="28D2028D" w14:textId="77777777" w:rsidR="004A1DDC" w:rsidRDefault="004A1DDC">
            <w:pPr>
              <w:spacing w:after="0"/>
              <w:jc w:val="both"/>
              <w:rPr>
                <w:rFonts w:ascii="Calibri" w:eastAsia="Calibri" w:hAnsi="Calibri" w:cs="Calibri"/>
                <w:b/>
                <w:bCs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bCs/>
                <w:sz w:val="16"/>
                <w:szCs w:val="16"/>
                <w:lang w:val="en-US"/>
              </w:rPr>
              <w:t>SDG11</w:t>
            </w:r>
            <w:r>
              <w:rPr>
                <w:rFonts w:ascii="Calibri" w:eastAsia="Calibri" w:hAnsi="Calibri" w:cs="Calibri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502" w:type="dxa"/>
            <w:tcBorders>
              <w:top w:val="single" w:sz="6" w:space="0" w:color="5B9BD5"/>
              <w:left w:val="nil"/>
              <w:bottom w:val="single" w:sz="6" w:space="0" w:color="5B9BD5"/>
              <w:right w:val="nil"/>
            </w:tcBorders>
            <w:shd w:val="clear" w:color="auto" w:fill="5B9BD5"/>
            <w:hideMark/>
          </w:tcPr>
          <w:p w14:paraId="1BB893A5" w14:textId="77777777" w:rsidR="004A1DDC" w:rsidRDefault="004A1DDC">
            <w:pPr>
              <w:spacing w:after="0"/>
              <w:jc w:val="both"/>
              <w:rPr>
                <w:rFonts w:ascii="Calibri" w:eastAsia="Calibri" w:hAnsi="Calibri" w:cs="Calibri"/>
                <w:b/>
                <w:bCs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bCs/>
                <w:sz w:val="16"/>
                <w:szCs w:val="16"/>
                <w:lang w:val="en-US"/>
              </w:rPr>
              <w:t>SDG12</w:t>
            </w:r>
            <w:r>
              <w:rPr>
                <w:rFonts w:ascii="Calibri" w:eastAsia="Calibri" w:hAnsi="Calibri" w:cs="Calibri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502" w:type="dxa"/>
            <w:tcBorders>
              <w:top w:val="single" w:sz="6" w:space="0" w:color="5B9BD5"/>
              <w:left w:val="nil"/>
              <w:bottom w:val="single" w:sz="6" w:space="0" w:color="5B9BD5"/>
              <w:right w:val="nil"/>
            </w:tcBorders>
            <w:shd w:val="clear" w:color="auto" w:fill="5B9BD5"/>
            <w:hideMark/>
          </w:tcPr>
          <w:p w14:paraId="1304F22B" w14:textId="77777777" w:rsidR="004A1DDC" w:rsidRDefault="004A1DDC">
            <w:pPr>
              <w:spacing w:after="0"/>
              <w:jc w:val="both"/>
              <w:rPr>
                <w:rFonts w:ascii="Calibri" w:eastAsia="Calibri" w:hAnsi="Calibri" w:cs="Calibri"/>
                <w:b/>
                <w:bCs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bCs/>
                <w:sz w:val="16"/>
                <w:szCs w:val="16"/>
                <w:lang w:val="en-US"/>
              </w:rPr>
              <w:t>SDG13</w:t>
            </w:r>
            <w:r>
              <w:rPr>
                <w:rFonts w:ascii="Calibri" w:eastAsia="Calibri" w:hAnsi="Calibri" w:cs="Calibri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502" w:type="dxa"/>
            <w:tcBorders>
              <w:top w:val="single" w:sz="6" w:space="0" w:color="5B9BD5"/>
              <w:left w:val="nil"/>
              <w:bottom w:val="single" w:sz="6" w:space="0" w:color="5B9BD5"/>
              <w:right w:val="nil"/>
            </w:tcBorders>
            <w:shd w:val="clear" w:color="auto" w:fill="5B9BD5"/>
            <w:hideMark/>
          </w:tcPr>
          <w:p w14:paraId="3FCB0B33" w14:textId="77777777" w:rsidR="004A1DDC" w:rsidRDefault="004A1DDC">
            <w:pPr>
              <w:spacing w:after="0"/>
              <w:jc w:val="both"/>
              <w:rPr>
                <w:rFonts w:ascii="Calibri" w:eastAsia="Calibri" w:hAnsi="Calibri" w:cs="Calibri"/>
                <w:b/>
                <w:bCs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bCs/>
                <w:sz w:val="16"/>
                <w:szCs w:val="16"/>
                <w:lang w:val="en-US"/>
              </w:rPr>
              <w:t>SDG14</w:t>
            </w:r>
            <w:r>
              <w:rPr>
                <w:rFonts w:ascii="Calibri" w:eastAsia="Calibri" w:hAnsi="Calibri" w:cs="Calibri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477" w:type="dxa"/>
            <w:tcBorders>
              <w:top w:val="single" w:sz="6" w:space="0" w:color="5B9BD5"/>
              <w:left w:val="nil"/>
              <w:bottom w:val="single" w:sz="6" w:space="0" w:color="5B9BD5"/>
              <w:right w:val="nil"/>
            </w:tcBorders>
            <w:shd w:val="clear" w:color="auto" w:fill="5B9BD5"/>
            <w:hideMark/>
          </w:tcPr>
          <w:p w14:paraId="6B798A7A" w14:textId="77777777" w:rsidR="004A1DDC" w:rsidRDefault="004A1DDC">
            <w:pPr>
              <w:spacing w:after="0"/>
              <w:jc w:val="both"/>
              <w:rPr>
                <w:rFonts w:ascii="Calibri" w:eastAsia="Calibri" w:hAnsi="Calibri" w:cs="Calibri"/>
                <w:b/>
                <w:bCs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bCs/>
                <w:sz w:val="16"/>
                <w:szCs w:val="16"/>
                <w:lang w:val="en-US"/>
              </w:rPr>
              <w:t>SDG15</w:t>
            </w:r>
            <w:r>
              <w:rPr>
                <w:rFonts w:ascii="Calibri" w:eastAsia="Calibri" w:hAnsi="Calibri" w:cs="Calibri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502" w:type="dxa"/>
            <w:tcBorders>
              <w:top w:val="single" w:sz="6" w:space="0" w:color="5B9BD5"/>
              <w:left w:val="nil"/>
              <w:bottom w:val="single" w:sz="6" w:space="0" w:color="5B9BD5"/>
              <w:right w:val="nil"/>
            </w:tcBorders>
            <w:shd w:val="clear" w:color="auto" w:fill="5B9BD5"/>
            <w:hideMark/>
          </w:tcPr>
          <w:p w14:paraId="30C25A31" w14:textId="77777777" w:rsidR="004A1DDC" w:rsidRDefault="004A1DDC">
            <w:pPr>
              <w:spacing w:after="0"/>
              <w:jc w:val="both"/>
              <w:rPr>
                <w:rFonts w:ascii="Calibri" w:eastAsia="Calibri" w:hAnsi="Calibri" w:cs="Calibri"/>
                <w:b/>
                <w:bCs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bCs/>
                <w:sz w:val="16"/>
                <w:szCs w:val="16"/>
                <w:lang w:val="en-US"/>
              </w:rPr>
              <w:t>SDG16</w:t>
            </w:r>
            <w:r>
              <w:rPr>
                <w:rFonts w:ascii="Calibri" w:eastAsia="Calibri" w:hAnsi="Calibri" w:cs="Calibri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502" w:type="dxa"/>
            <w:tcBorders>
              <w:top w:val="single" w:sz="6" w:space="0" w:color="5B9BD5"/>
              <w:left w:val="nil"/>
              <w:bottom w:val="single" w:sz="6" w:space="0" w:color="5B9BD5"/>
              <w:right w:val="single" w:sz="6" w:space="0" w:color="5B9BD5"/>
            </w:tcBorders>
            <w:shd w:val="clear" w:color="auto" w:fill="5B9BD5"/>
            <w:hideMark/>
          </w:tcPr>
          <w:p w14:paraId="2B0AC49F" w14:textId="77777777" w:rsidR="004A1DDC" w:rsidRDefault="004A1DDC">
            <w:pPr>
              <w:spacing w:after="0"/>
              <w:jc w:val="both"/>
              <w:rPr>
                <w:rFonts w:ascii="Calibri" w:eastAsia="Calibri" w:hAnsi="Calibri" w:cs="Calibri"/>
                <w:b/>
                <w:bCs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bCs/>
                <w:sz w:val="16"/>
                <w:szCs w:val="16"/>
                <w:lang w:val="en-US"/>
              </w:rPr>
              <w:t>SDG17</w:t>
            </w:r>
            <w:r>
              <w:rPr>
                <w:rFonts w:ascii="Calibri" w:eastAsia="Calibri" w:hAnsi="Calibri" w:cs="Calibri"/>
                <w:b/>
                <w:bCs/>
                <w:sz w:val="16"/>
                <w:szCs w:val="16"/>
              </w:rPr>
              <w:t> </w:t>
            </w:r>
          </w:p>
        </w:tc>
      </w:tr>
      <w:tr w:rsidR="004A1DDC" w14:paraId="33263C80" w14:textId="77777777" w:rsidTr="004A1DDC">
        <w:trPr>
          <w:trHeight w:val="20"/>
        </w:trPr>
        <w:tc>
          <w:tcPr>
            <w:tcW w:w="1174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hideMark/>
          </w:tcPr>
          <w:p w14:paraId="60EE1DE7" w14:textId="77777777" w:rsidR="004A1DDC" w:rsidRDefault="004A1DDC">
            <w:pPr>
              <w:spacing w:after="0"/>
              <w:rPr>
                <w:rFonts w:ascii="Calibri" w:eastAsia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eastAsia="Calibri" w:hAnsi="Calibri" w:cs="Calibri"/>
                <w:sz w:val="14"/>
                <w:szCs w:val="14"/>
                <w:lang w:val="en-US"/>
              </w:rPr>
              <w:t>A New Industrial Strategy for Europe  </w:t>
            </w:r>
          </w:p>
        </w:tc>
        <w:tc>
          <w:tcPr>
            <w:tcW w:w="424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29FE19DC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0.54%</w:t>
            </w:r>
          </w:p>
        </w:tc>
        <w:tc>
          <w:tcPr>
            <w:tcW w:w="424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1432D8D4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4.04%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7DB4F090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2.31%</w:t>
            </w:r>
          </w:p>
        </w:tc>
        <w:tc>
          <w:tcPr>
            <w:tcW w:w="423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217DC351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4.86%</w:t>
            </w:r>
          </w:p>
        </w:tc>
        <w:tc>
          <w:tcPr>
            <w:tcW w:w="423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70BACFC4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3.61%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49C18E22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2.50%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217698FA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12.25%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5DD77481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23.41%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A8D08D" w:themeFill="accent6" w:themeFillTint="99"/>
            <w:vAlign w:val="center"/>
            <w:hideMark/>
          </w:tcPr>
          <w:p w14:paraId="2D9D4FDB" w14:textId="77777777" w:rsidR="004A1DDC" w:rsidRDefault="004A1DDC">
            <w:pPr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477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070D59FB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2.13%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2641A85C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3.89%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3FE49169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21.38%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3EAB47A1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4.21%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4BE7C733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3.15%</w:t>
            </w:r>
          </w:p>
        </w:tc>
        <w:tc>
          <w:tcPr>
            <w:tcW w:w="477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15D1D5F5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3.83%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2E09D718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2.08%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4A8D8B4F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5.80%</w:t>
            </w:r>
          </w:p>
        </w:tc>
      </w:tr>
      <w:tr w:rsidR="004A1DDC" w14:paraId="36A71DE4" w14:textId="77777777" w:rsidTr="004A1DDC">
        <w:trPr>
          <w:trHeight w:val="20"/>
        </w:trPr>
        <w:tc>
          <w:tcPr>
            <w:tcW w:w="1174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hideMark/>
          </w:tcPr>
          <w:p w14:paraId="5CEBDC6E" w14:textId="77777777" w:rsidR="004A1DDC" w:rsidRDefault="004A1DDC">
            <w:pPr>
              <w:spacing w:after="0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z w:val="14"/>
                <w:szCs w:val="14"/>
                <w:lang w:val="en-US"/>
              </w:rPr>
              <w:t>Circular Economy Action Plan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 </w:t>
            </w:r>
          </w:p>
        </w:tc>
        <w:tc>
          <w:tcPr>
            <w:tcW w:w="424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5F74514F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1.28%</w:t>
            </w:r>
          </w:p>
        </w:tc>
        <w:tc>
          <w:tcPr>
            <w:tcW w:w="424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0C602C61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7.45%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60932F32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1.82%</w:t>
            </w:r>
          </w:p>
        </w:tc>
        <w:tc>
          <w:tcPr>
            <w:tcW w:w="423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09868695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0.95%</w:t>
            </w:r>
          </w:p>
        </w:tc>
        <w:tc>
          <w:tcPr>
            <w:tcW w:w="423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08E5A772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0.95%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6D55856C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1.76%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04EC653E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13.47%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7BF4A94D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12.54%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740FEE7F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39.57%</w:t>
            </w:r>
          </w:p>
        </w:tc>
        <w:tc>
          <w:tcPr>
            <w:tcW w:w="477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223D8456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1.62%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2D0A9702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5.81%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A8D08D" w:themeFill="accent6" w:themeFillTint="99"/>
            <w:vAlign w:val="center"/>
            <w:hideMark/>
          </w:tcPr>
          <w:p w14:paraId="0A4FF14F" w14:textId="77777777" w:rsidR="004A1DDC" w:rsidRDefault="004A1DDC">
            <w:pPr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37E9256A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2.73%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064D1274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2.45%</w:t>
            </w:r>
          </w:p>
        </w:tc>
        <w:tc>
          <w:tcPr>
            <w:tcW w:w="477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55C98F6E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1.78%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30905E02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0.93%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2D732D8C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4.89%</w:t>
            </w:r>
          </w:p>
        </w:tc>
      </w:tr>
      <w:tr w:rsidR="004A1DDC" w14:paraId="3D95544A" w14:textId="77777777" w:rsidTr="004A1DDC">
        <w:trPr>
          <w:trHeight w:val="20"/>
        </w:trPr>
        <w:tc>
          <w:tcPr>
            <w:tcW w:w="1174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hideMark/>
          </w:tcPr>
          <w:p w14:paraId="443278FD" w14:textId="77777777" w:rsidR="004A1DDC" w:rsidRDefault="004A1DDC">
            <w:pPr>
              <w:spacing w:after="0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z w:val="14"/>
                <w:szCs w:val="14"/>
                <w:lang w:val="en-US"/>
              </w:rPr>
              <w:t>EU Biodiversity Strategy for 2030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 </w:t>
            </w:r>
          </w:p>
        </w:tc>
        <w:tc>
          <w:tcPr>
            <w:tcW w:w="424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5F584E7C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3.02%</w:t>
            </w:r>
          </w:p>
        </w:tc>
        <w:tc>
          <w:tcPr>
            <w:tcW w:w="424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59C7DD50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5.11%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63821FF9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16.44%</w:t>
            </w:r>
          </w:p>
        </w:tc>
        <w:tc>
          <w:tcPr>
            <w:tcW w:w="423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12119277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4.43%</w:t>
            </w:r>
          </w:p>
        </w:tc>
        <w:tc>
          <w:tcPr>
            <w:tcW w:w="423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472C8E23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7.14%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1355A351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2.28%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576722A8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1.80%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2AA964C5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4.38%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3F8B95F5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5.69%</w:t>
            </w:r>
          </w:p>
        </w:tc>
        <w:tc>
          <w:tcPr>
            <w:tcW w:w="477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6904C147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4.87%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7677A27F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2.99%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66A1DCF1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10.85%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6AA5FEA9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5.22%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7D2795EC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9.12%</w:t>
            </w:r>
          </w:p>
        </w:tc>
        <w:tc>
          <w:tcPr>
            <w:tcW w:w="477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A8D08D" w:themeFill="accent6" w:themeFillTint="99"/>
            <w:vAlign w:val="center"/>
            <w:hideMark/>
          </w:tcPr>
          <w:p w14:paraId="72AF7A97" w14:textId="77777777" w:rsidR="004A1DDC" w:rsidRDefault="004A1DDC">
            <w:pPr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50FED66F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7.71%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5B754999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8.95%</w:t>
            </w:r>
          </w:p>
        </w:tc>
      </w:tr>
      <w:tr w:rsidR="004A1DDC" w14:paraId="1FAD8BEB" w14:textId="77777777" w:rsidTr="004A1DDC">
        <w:trPr>
          <w:trHeight w:val="20"/>
        </w:trPr>
        <w:tc>
          <w:tcPr>
            <w:tcW w:w="1174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hideMark/>
          </w:tcPr>
          <w:p w14:paraId="24CF6F54" w14:textId="77777777" w:rsidR="004A1DDC" w:rsidRDefault="004A1DDC">
            <w:pPr>
              <w:spacing w:after="0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z w:val="14"/>
                <w:szCs w:val="14"/>
                <w:lang w:val="en-US"/>
              </w:rPr>
              <w:t>Farm to Fork Strategy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 </w:t>
            </w:r>
          </w:p>
        </w:tc>
        <w:tc>
          <w:tcPr>
            <w:tcW w:w="424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44EEB831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1.45%</w:t>
            </w:r>
          </w:p>
        </w:tc>
        <w:tc>
          <w:tcPr>
            <w:tcW w:w="424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A8D08D" w:themeFill="accent6" w:themeFillTint="99"/>
            <w:vAlign w:val="center"/>
            <w:hideMark/>
          </w:tcPr>
          <w:p w14:paraId="151CFF01" w14:textId="77777777" w:rsidR="004A1DDC" w:rsidRDefault="004A1DDC">
            <w:pPr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146F7C9E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3.51%</w:t>
            </w:r>
          </w:p>
        </w:tc>
        <w:tc>
          <w:tcPr>
            <w:tcW w:w="423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140C762B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1.82%</w:t>
            </w:r>
          </w:p>
        </w:tc>
        <w:tc>
          <w:tcPr>
            <w:tcW w:w="423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3D1E0F03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0.40%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4532B331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1.04%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4511351E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12.03%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402FA354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2.18%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7E99A8C6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5.40%</w:t>
            </w:r>
          </w:p>
        </w:tc>
        <w:tc>
          <w:tcPr>
            <w:tcW w:w="477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67ECBD45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0.70%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0025FE53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12.60%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4C9A6C1A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41.74%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5B31F2E4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5.27%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26400E10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3.02%</w:t>
            </w:r>
          </w:p>
        </w:tc>
        <w:tc>
          <w:tcPr>
            <w:tcW w:w="477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0268519C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0.82%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770F8052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3.49%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28BAC1E7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4.54%</w:t>
            </w:r>
          </w:p>
        </w:tc>
      </w:tr>
      <w:tr w:rsidR="004A1DDC" w14:paraId="06CE86BF" w14:textId="77777777" w:rsidTr="004A1DDC">
        <w:trPr>
          <w:trHeight w:val="20"/>
        </w:trPr>
        <w:tc>
          <w:tcPr>
            <w:tcW w:w="1174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hideMark/>
          </w:tcPr>
          <w:p w14:paraId="5FDD7768" w14:textId="77777777" w:rsidR="004A1DDC" w:rsidRDefault="004A1DDC">
            <w:pPr>
              <w:spacing w:after="0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z w:val="14"/>
                <w:szCs w:val="14"/>
                <w:lang w:val="en-US"/>
              </w:rPr>
              <w:t>EU Hydrogen Strategy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 </w:t>
            </w:r>
          </w:p>
        </w:tc>
        <w:tc>
          <w:tcPr>
            <w:tcW w:w="424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4E3AC418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0.76%</w:t>
            </w:r>
          </w:p>
        </w:tc>
        <w:tc>
          <w:tcPr>
            <w:tcW w:w="424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3F81BB77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1.27%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6F018989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1.19%</w:t>
            </w:r>
          </w:p>
        </w:tc>
        <w:tc>
          <w:tcPr>
            <w:tcW w:w="423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29064DA6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0.39%</w:t>
            </w:r>
          </w:p>
        </w:tc>
        <w:tc>
          <w:tcPr>
            <w:tcW w:w="423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71DD9CF6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0.34%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5DDB8A64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1.58%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A8D08D" w:themeFill="accent6" w:themeFillTint="99"/>
            <w:vAlign w:val="center"/>
            <w:hideMark/>
          </w:tcPr>
          <w:p w14:paraId="4A591670" w14:textId="77777777" w:rsidR="004A1DDC" w:rsidRDefault="004A1DDC">
            <w:pPr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56BEA70B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0.97%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6B1B4176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2.02%</w:t>
            </w:r>
          </w:p>
        </w:tc>
        <w:tc>
          <w:tcPr>
            <w:tcW w:w="477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0FAB3E5C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0.66%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378417E1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1.71%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6194DF03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16.52%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273C72D9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32.81%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550EB2DE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1.58%</w:t>
            </w:r>
          </w:p>
        </w:tc>
        <w:tc>
          <w:tcPr>
            <w:tcW w:w="477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2FF0C5CB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0.59%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42E0B9BD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8.65%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42425BF4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28.97%</w:t>
            </w:r>
          </w:p>
        </w:tc>
      </w:tr>
      <w:tr w:rsidR="004A1DDC" w14:paraId="022D293F" w14:textId="77777777" w:rsidTr="004A1DDC">
        <w:trPr>
          <w:trHeight w:val="20"/>
        </w:trPr>
        <w:tc>
          <w:tcPr>
            <w:tcW w:w="1174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hideMark/>
          </w:tcPr>
          <w:p w14:paraId="3C13FE77" w14:textId="77777777" w:rsidR="004A1DDC" w:rsidRDefault="004A1DDC">
            <w:pPr>
              <w:spacing w:after="0"/>
              <w:rPr>
                <w:rFonts w:ascii="Calibri" w:eastAsia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eastAsia="Calibri" w:hAnsi="Calibri" w:cs="Calibri"/>
                <w:sz w:val="14"/>
                <w:szCs w:val="14"/>
                <w:lang w:val="en-US"/>
              </w:rPr>
              <w:t>7 technology flagship Areas, ASGS for 2021 </w:t>
            </w:r>
          </w:p>
        </w:tc>
        <w:tc>
          <w:tcPr>
            <w:tcW w:w="424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6615F418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0.70%</w:t>
            </w:r>
          </w:p>
        </w:tc>
        <w:tc>
          <w:tcPr>
            <w:tcW w:w="424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734226E4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6.04%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4BDAE16D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20.37%</w:t>
            </w:r>
          </w:p>
        </w:tc>
        <w:tc>
          <w:tcPr>
            <w:tcW w:w="423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27070251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1.85%</w:t>
            </w:r>
          </w:p>
        </w:tc>
        <w:tc>
          <w:tcPr>
            <w:tcW w:w="423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52F0B098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0.97%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76B3A8E2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4.44%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6562D4FE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21.13%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1B920DE2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2.50%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A8D08D" w:themeFill="accent6" w:themeFillTint="99"/>
            <w:vAlign w:val="center"/>
            <w:hideMark/>
          </w:tcPr>
          <w:p w14:paraId="4D2B695F" w14:textId="77777777" w:rsidR="004A1DDC" w:rsidRDefault="004A1DDC">
            <w:pPr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477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15764C4A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2.19%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76596023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2.74%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5DCA13D4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2.09%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2C678242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12.15%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19FCFA71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3.02%</w:t>
            </w:r>
          </w:p>
        </w:tc>
        <w:tc>
          <w:tcPr>
            <w:tcW w:w="477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19207A13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1.29%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0DF7E726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3.38%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7A6B51C7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15.15%</w:t>
            </w:r>
          </w:p>
        </w:tc>
      </w:tr>
      <w:tr w:rsidR="004A1DDC" w14:paraId="7C031761" w14:textId="77777777" w:rsidTr="004A1DDC">
        <w:trPr>
          <w:trHeight w:val="20"/>
        </w:trPr>
        <w:tc>
          <w:tcPr>
            <w:tcW w:w="1174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hideMark/>
          </w:tcPr>
          <w:p w14:paraId="1994035F" w14:textId="77777777" w:rsidR="004A1DDC" w:rsidRDefault="004A1DDC">
            <w:pPr>
              <w:spacing w:after="0"/>
              <w:rPr>
                <w:rFonts w:ascii="Calibri" w:eastAsia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eastAsia="Calibri" w:hAnsi="Calibri" w:cs="Calibri"/>
                <w:sz w:val="14"/>
                <w:szCs w:val="14"/>
                <w:lang w:val="en-US"/>
              </w:rPr>
              <w:t>Stepping up Europe’s 2030 climate Ambition </w:t>
            </w:r>
          </w:p>
        </w:tc>
        <w:tc>
          <w:tcPr>
            <w:tcW w:w="424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5E5210CE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0.27%</w:t>
            </w:r>
          </w:p>
        </w:tc>
        <w:tc>
          <w:tcPr>
            <w:tcW w:w="424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0D5B8FA6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0.80%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0CA27A7F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0.34%</w:t>
            </w:r>
          </w:p>
        </w:tc>
        <w:tc>
          <w:tcPr>
            <w:tcW w:w="423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50420D89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0.33%</w:t>
            </w:r>
          </w:p>
        </w:tc>
        <w:tc>
          <w:tcPr>
            <w:tcW w:w="423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110E31D7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0.26%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689ABC40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0.88%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1334D778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2.37%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6D3ABF81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0.17%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01D19873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1.65%</w:t>
            </w:r>
          </w:p>
        </w:tc>
        <w:tc>
          <w:tcPr>
            <w:tcW w:w="477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60D22C7F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0.60%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7A01F13B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0.68%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37906742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0.44%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A8D08D" w:themeFill="accent6" w:themeFillTint="99"/>
            <w:vAlign w:val="center"/>
            <w:hideMark/>
          </w:tcPr>
          <w:p w14:paraId="39D62E83" w14:textId="77777777" w:rsidR="004A1DDC" w:rsidRDefault="004A1DDC">
            <w:pPr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68C321C4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0.87%</w:t>
            </w:r>
          </w:p>
        </w:tc>
        <w:tc>
          <w:tcPr>
            <w:tcW w:w="477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20F355AA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0.62%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322A1F18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32.36%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14F7A860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57.36%</w:t>
            </w:r>
          </w:p>
        </w:tc>
      </w:tr>
      <w:tr w:rsidR="004A1DDC" w14:paraId="7AAFDE40" w14:textId="77777777" w:rsidTr="004A1DDC">
        <w:trPr>
          <w:trHeight w:val="20"/>
        </w:trPr>
        <w:tc>
          <w:tcPr>
            <w:tcW w:w="1174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hideMark/>
          </w:tcPr>
          <w:p w14:paraId="1DA4E066" w14:textId="77777777" w:rsidR="004A1DDC" w:rsidRDefault="004A1DDC">
            <w:pPr>
              <w:spacing w:after="0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z w:val="14"/>
                <w:szCs w:val="14"/>
                <w:lang w:val="en-US"/>
              </w:rPr>
              <w:t>Chemicals strategy for Sustainability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 </w:t>
            </w:r>
          </w:p>
        </w:tc>
        <w:tc>
          <w:tcPr>
            <w:tcW w:w="424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59415BC8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0.58%</w:t>
            </w:r>
          </w:p>
        </w:tc>
        <w:tc>
          <w:tcPr>
            <w:tcW w:w="424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3B6AE05F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2.04%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0E2E78C0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23.87%</w:t>
            </w:r>
          </w:p>
        </w:tc>
        <w:tc>
          <w:tcPr>
            <w:tcW w:w="423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27DB283B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1.08%</w:t>
            </w:r>
          </w:p>
        </w:tc>
        <w:tc>
          <w:tcPr>
            <w:tcW w:w="423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1DA3280B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1.60%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1743E1D9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21.09%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223C0FFC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12.72%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753DFB54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0.79%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65DFBBFA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2.75%</w:t>
            </w:r>
          </w:p>
        </w:tc>
        <w:tc>
          <w:tcPr>
            <w:tcW w:w="477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533B4667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1.08%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2408BC6E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3.60%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A8D08D" w:themeFill="accent6" w:themeFillTint="99"/>
            <w:vAlign w:val="center"/>
            <w:hideMark/>
          </w:tcPr>
          <w:p w14:paraId="7E3187B9" w14:textId="77777777" w:rsidR="004A1DDC" w:rsidRDefault="004A1DDC">
            <w:pPr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4D30B426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3.24%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607BFE07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10.65%</w:t>
            </w:r>
          </w:p>
        </w:tc>
        <w:tc>
          <w:tcPr>
            <w:tcW w:w="477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0FCD45C9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4.13%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50FAF16E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5.65%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460CF8C1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5.13%</w:t>
            </w:r>
          </w:p>
        </w:tc>
      </w:tr>
      <w:tr w:rsidR="004A1DDC" w14:paraId="4DF68D54" w14:textId="77777777" w:rsidTr="004A1DDC">
        <w:trPr>
          <w:trHeight w:val="20"/>
        </w:trPr>
        <w:tc>
          <w:tcPr>
            <w:tcW w:w="1174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hideMark/>
          </w:tcPr>
          <w:p w14:paraId="47EE2ACC" w14:textId="77777777" w:rsidR="004A1DDC" w:rsidRDefault="004A1DDC">
            <w:pPr>
              <w:spacing w:after="0"/>
              <w:rPr>
                <w:rFonts w:ascii="Calibri" w:eastAsia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eastAsia="Calibri" w:hAnsi="Calibri" w:cs="Calibri"/>
                <w:sz w:val="14"/>
                <w:szCs w:val="14"/>
                <w:lang w:val="en-US"/>
              </w:rPr>
              <w:t>EU Strategy to reduce methane emissions </w:t>
            </w:r>
          </w:p>
        </w:tc>
        <w:tc>
          <w:tcPr>
            <w:tcW w:w="424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16EC9D2B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0.87%</w:t>
            </w:r>
          </w:p>
        </w:tc>
        <w:tc>
          <w:tcPr>
            <w:tcW w:w="424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0E5631EC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0.48%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1BC5E029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1.07%</w:t>
            </w:r>
          </w:p>
        </w:tc>
        <w:tc>
          <w:tcPr>
            <w:tcW w:w="423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11354BEE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0.19%</w:t>
            </w:r>
          </w:p>
        </w:tc>
        <w:tc>
          <w:tcPr>
            <w:tcW w:w="423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44AEA46E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0.34%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7AE6E7EC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2.72%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A8D08D" w:themeFill="accent6" w:themeFillTint="99"/>
            <w:vAlign w:val="center"/>
            <w:hideMark/>
          </w:tcPr>
          <w:p w14:paraId="075C5262" w14:textId="77777777" w:rsidR="004A1DDC" w:rsidRDefault="004A1DDC">
            <w:pPr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7BD120A3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0.85%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20DDFF68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0.53%</w:t>
            </w:r>
          </w:p>
        </w:tc>
        <w:tc>
          <w:tcPr>
            <w:tcW w:w="477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7F9C0BB9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0.86%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207ABB55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2.52%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1F7180ED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29.09%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606BBDCA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27.81%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205CE958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0.81%</w:t>
            </w:r>
          </w:p>
        </w:tc>
        <w:tc>
          <w:tcPr>
            <w:tcW w:w="477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27708B38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0.58%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2399AA4E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9.08%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59272656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22.20%</w:t>
            </w:r>
          </w:p>
        </w:tc>
      </w:tr>
      <w:tr w:rsidR="004A1DDC" w14:paraId="0A200C4E" w14:textId="77777777" w:rsidTr="004A1DDC">
        <w:trPr>
          <w:trHeight w:val="20"/>
        </w:trPr>
        <w:tc>
          <w:tcPr>
            <w:tcW w:w="1174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hideMark/>
          </w:tcPr>
          <w:p w14:paraId="0698B26D" w14:textId="77777777" w:rsidR="004A1DDC" w:rsidRDefault="004A1DDC">
            <w:pPr>
              <w:spacing w:after="0"/>
              <w:rPr>
                <w:rFonts w:ascii="Calibri" w:eastAsia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eastAsia="Calibri" w:hAnsi="Calibri" w:cs="Calibri"/>
                <w:sz w:val="14"/>
                <w:szCs w:val="14"/>
                <w:lang w:val="en-US"/>
              </w:rPr>
              <w:t>A Renovation Wave for Europe </w:t>
            </w:r>
          </w:p>
        </w:tc>
        <w:tc>
          <w:tcPr>
            <w:tcW w:w="424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2B01AA15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1.11%</w:t>
            </w:r>
          </w:p>
        </w:tc>
        <w:tc>
          <w:tcPr>
            <w:tcW w:w="424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79E6C117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1.04%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248A8AEA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2.24%</w:t>
            </w:r>
          </w:p>
        </w:tc>
        <w:tc>
          <w:tcPr>
            <w:tcW w:w="423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71FFFAB6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2.95%</w:t>
            </w:r>
          </w:p>
        </w:tc>
        <w:tc>
          <w:tcPr>
            <w:tcW w:w="423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044211CE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2.03%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75B1BEB6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4.31%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3EEE32C5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7.97%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531E83B6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3.24%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54AFB648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6.55%</w:t>
            </w:r>
          </w:p>
        </w:tc>
        <w:tc>
          <w:tcPr>
            <w:tcW w:w="477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73F0C7D6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2.52%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A8D08D" w:themeFill="accent6" w:themeFillTint="99"/>
            <w:vAlign w:val="center"/>
            <w:hideMark/>
          </w:tcPr>
          <w:p w14:paraId="772F5B38" w14:textId="77777777" w:rsidR="004A1DDC" w:rsidRDefault="004A1DDC">
            <w:pPr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6ECB648F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25.18%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0BDDAD7A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22.84%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5254C79C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2.95%</w:t>
            </w:r>
          </w:p>
        </w:tc>
        <w:tc>
          <w:tcPr>
            <w:tcW w:w="477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197A7E8C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3.32%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0B55704B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8.46%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67C19FE5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3.29%</w:t>
            </w:r>
          </w:p>
        </w:tc>
      </w:tr>
      <w:tr w:rsidR="004A1DDC" w14:paraId="40A6034E" w14:textId="77777777" w:rsidTr="004A1DDC">
        <w:trPr>
          <w:trHeight w:val="20"/>
        </w:trPr>
        <w:tc>
          <w:tcPr>
            <w:tcW w:w="1174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hideMark/>
          </w:tcPr>
          <w:p w14:paraId="0A84C656" w14:textId="77777777" w:rsidR="004A1DDC" w:rsidRDefault="004A1DDC">
            <w:pPr>
              <w:spacing w:after="0"/>
              <w:rPr>
                <w:rFonts w:ascii="Calibri" w:eastAsia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eastAsia="Calibri" w:hAnsi="Calibri" w:cs="Calibri"/>
                <w:sz w:val="14"/>
                <w:szCs w:val="14"/>
                <w:lang w:val="en-US"/>
              </w:rPr>
              <w:t>EU Commission Recommendation on Energy Poverty </w:t>
            </w:r>
          </w:p>
        </w:tc>
        <w:tc>
          <w:tcPr>
            <w:tcW w:w="424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22B974FC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1.55%</w:t>
            </w:r>
          </w:p>
        </w:tc>
        <w:tc>
          <w:tcPr>
            <w:tcW w:w="424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3FC9B3AD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2.01%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37FEBC4E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1.66%</w:t>
            </w:r>
          </w:p>
        </w:tc>
        <w:tc>
          <w:tcPr>
            <w:tcW w:w="423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428AC89D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0.90%</w:t>
            </w:r>
          </w:p>
        </w:tc>
        <w:tc>
          <w:tcPr>
            <w:tcW w:w="423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613F056D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0.75%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49C010FF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8.99%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A8D08D" w:themeFill="accent6" w:themeFillTint="99"/>
            <w:vAlign w:val="center"/>
            <w:hideMark/>
          </w:tcPr>
          <w:p w14:paraId="6858DDC7" w14:textId="77777777" w:rsidR="004A1DDC" w:rsidRDefault="004A1DDC">
            <w:pPr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3440FEA6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3.00%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3C75FA99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2.05%</w:t>
            </w:r>
          </w:p>
        </w:tc>
        <w:tc>
          <w:tcPr>
            <w:tcW w:w="477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151BA6B0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1.02%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60D65F04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4.15%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1B07F552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24.03%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1B5B0E9A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13.17%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0F4BEC2F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3.38%</w:t>
            </w:r>
          </w:p>
        </w:tc>
        <w:tc>
          <w:tcPr>
            <w:tcW w:w="477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6EB0906D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0.81%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06A19F23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11.79%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0162A6CF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20.74%</w:t>
            </w:r>
          </w:p>
        </w:tc>
      </w:tr>
      <w:tr w:rsidR="004A1DDC" w14:paraId="3F0ABC05" w14:textId="77777777" w:rsidTr="004A1DDC">
        <w:trPr>
          <w:trHeight w:val="20"/>
        </w:trPr>
        <w:tc>
          <w:tcPr>
            <w:tcW w:w="1174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hideMark/>
          </w:tcPr>
          <w:p w14:paraId="3BD99257" w14:textId="77777777" w:rsidR="004A1DDC" w:rsidRDefault="004A1DDC">
            <w:pPr>
              <w:spacing w:after="0"/>
              <w:rPr>
                <w:rFonts w:ascii="Calibri" w:eastAsia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eastAsia="Calibri" w:hAnsi="Calibri" w:cs="Calibri"/>
                <w:sz w:val="14"/>
                <w:szCs w:val="14"/>
                <w:lang w:val="en-US"/>
              </w:rPr>
              <w:t>EU Strategy to harness the potential of offshore renewable energy for a climate neutral future </w:t>
            </w:r>
          </w:p>
        </w:tc>
        <w:tc>
          <w:tcPr>
            <w:tcW w:w="424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24CFF218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1.33%</w:t>
            </w:r>
          </w:p>
        </w:tc>
        <w:tc>
          <w:tcPr>
            <w:tcW w:w="424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58873811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0.92%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567ECA9A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1.64%</w:t>
            </w:r>
          </w:p>
        </w:tc>
        <w:tc>
          <w:tcPr>
            <w:tcW w:w="423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592F5B66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1.16%</w:t>
            </w:r>
          </w:p>
        </w:tc>
        <w:tc>
          <w:tcPr>
            <w:tcW w:w="423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08D22FA6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1.06%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027AB3BF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2.95%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A8D08D" w:themeFill="accent6" w:themeFillTint="99"/>
            <w:vAlign w:val="center"/>
            <w:hideMark/>
          </w:tcPr>
          <w:p w14:paraId="384E61F5" w14:textId="77777777" w:rsidR="004A1DDC" w:rsidRDefault="004A1DDC">
            <w:pPr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3210B6FE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6.15%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46490797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3.98%</w:t>
            </w:r>
          </w:p>
        </w:tc>
        <w:tc>
          <w:tcPr>
            <w:tcW w:w="477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7AB4F31C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1.63%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0ADF6F6A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4.39%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38C1DAE6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32.83%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7FF77587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16.39%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5364C34A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4.17%</w:t>
            </w:r>
          </w:p>
        </w:tc>
        <w:tc>
          <w:tcPr>
            <w:tcW w:w="477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5BA4C27A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0.91%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5AC59EEE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7.12%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6A6EFDC7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13.35%</w:t>
            </w:r>
          </w:p>
        </w:tc>
      </w:tr>
      <w:tr w:rsidR="004A1DDC" w14:paraId="2D2B6093" w14:textId="77777777" w:rsidTr="004A1DDC">
        <w:trPr>
          <w:trHeight w:val="20"/>
        </w:trPr>
        <w:tc>
          <w:tcPr>
            <w:tcW w:w="1174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hideMark/>
          </w:tcPr>
          <w:p w14:paraId="19DBE7E8" w14:textId="77777777" w:rsidR="004A1DDC" w:rsidRDefault="004A1DDC">
            <w:pPr>
              <w:spacing w:after="0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z w:val="14"/>
                <w:szCs w:val="14"/>
                <w:lang w:val="en-US"/>
              </w:rPr>
              <w:t>European Climate Pact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 </w:t>
            </w:r>
          </w:p>
        </w:tc>
        <w:tc>
          <w:tcPr>
            <w:tcW w:w="424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245C6BD3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0.38%</w:t>
            </w:r>
          </w:p>
        </w:tc>
        <w:tc>
          <w:tcPr>
            <w:tcW w:w="424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08A14E81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1.34%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2F4D5DF7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0.61%</w:t>
            </w:r>
          </w:p>
        </w:tc>
        <w:tc>
          <w:tcPr>
            <w:tcW w:w="423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461AA1ED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0.24%</w:t>
            </w:r>
          </w:p>
        </w:tc>
        <w:tc>
          <w:tcPr>
            <w:tcW w:w="423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06C2C8BC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0.20%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799B7A48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1.06%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5CAF1FE1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3.00%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4566E12A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0.19%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16D8EDB7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0.94%</w:t>
            </w:r>
          </w:p>
        </w:tc>
        <w:tc>
          <w:tcPr>
            <w:tcW w:w="477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1B2436B6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0.57%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5753A48E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0.73%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3EDCBD85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1.25%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355F5A4E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46.36%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261824A6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1.02%</w:t>
            </w:r>
          </w:p>
        </w:tc>
        <w:tc>
          <w:tcPr>
            <w:tcW w:w="477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0742C4A2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0.90%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277E238A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41.21%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A8D08D" w:themeFill="accent6" w:themeFillTint="99"/>
            <w:vAlign w:val="center"/>
            <w:hideMark/>
          </w:tcPr>
          <w:p w14:paraId="2D2630D0" w14:textId="77777777" w:rsidR="004A1DDC" w:rsidRDefault="004A1DDC">
            <w:pPr>
              <w:rPr>
                <w:rFonts w:ascii="Calibri" w:eastAsia="Calibri" w:hAnsi="Calibri" w:cs="Calibri"/>
                <w:sz w:val="16"/>
                <w:szCs w:val="16"/>
              </w:rPr>
            </w:pPr>
          </w:p>
        </w:tc>
      </w:tr>
      <w:tr w:rsidR="004A1DDC" w14:paraId="5D9C973D" w14:textId="77777777" w:rsidTr="004A1DDC">
        <w:trPr>
          <w:trHeight w:val="20"/>
        </w:trPr>
        <w:tc>
          <w:tcPr>
            <w:tcW w:w="1174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hideMark/>
          </w:tcPr>
          <w:p w14:paraId="7424A60A" w14:textId="77777777" w:rsidR="004A1DDC" w:rsidRDefault="004A1DDC">
            <w:pPr>
              <w:spacing w:after="0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z w:val="14"/>
                <w:szCs w:val="14"/>
                <w:lang w:val="en-US"/>
              </w:rPr>
              <w:t>Smart Mobility Strategy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 </w:t>
            </w:r>
          </w:p>
        </w:tc>
        <w:tc>
          <w:tcPr>
            <w:tcW w:w="424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3D02C824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1.56%</w:t>
            </w:r>
          </w:p>
        </w:tc>
        <w:tc>
          <w:tcPr>
            <w:tcW w:w="424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2EC4E652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1.67%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52C49814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8.49%</w:t>
            </w:r>
          </w:p>
        </w:tc>
        <w:tc>
          <w:tcPr>
            <w:tcW w:w="423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5B0B0B42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5.26%</w:t>
            </w:r>
          </w:p>
        </w:tc>
        <w:tc>
          <w:tcPr>
            <w:tcW w:w="423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51BBD491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3.96%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2DD6A69A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6.58%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1EC23950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10.11%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1C1D83F6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2.96%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335C3C4D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20.42%</w:t>
            </w:r>
          </w:p>
        </w:tc>
        <w:tc>
          <w:tcPr>
            <w:tcW w:w="477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748217D5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3.22%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A8D08D" w:themeFill="accent6" w:themeFillTint="99"/>
            <w:vAlign w:val="center"/>
            <w:hideMark/>
          </w:tcPr>
          <w:p w14:paraId="3DD9399E" w14:textId="77777777" w:rsidR="004A1DDC" w:rsidRDefault="004A1DDC">
            <w:pPr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51844A53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10.09%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5B242984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6.09%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1559A537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5.42%</w:t>
            </w:r>
          </w:p>
        </w:tc>
        <w:tc>
          <w:tcPr>
            <w:tcW w:w="477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2B23F6EA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3.52%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1DC430DF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8.37%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0A93A7E4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2.28%</w:t>
            </w:r>
          </w:p>
        </w:tc>
      </w:tr>
      <w:tr w:rsidR="004A1DDC" w14:paraId="4C7F79E5" w14:textId="77777777" w:rsidTr="004A1DDC">
        <w:trPr>
          <w:trHeight w:val="20"/>
        </w:trPr>
        <w:tc>
          <w:tcPr>
            <w:tcW w:w="1174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hideMark/>
          </w:tcPr>
          <w:p w14:paraId="5B62EEF4" w14:textId="77777777" w:rsidR="004A1DDC" w:rsidRDefault="004A1DDC">
            <w:pPr>
              <w:spacing w:after="0"/>
              <w:rPr>
                <w:rFonts w:ascii="Calibri" w:eastAsia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eastAsia="Calibri" w:hAnsi="Calibri" w:cs="Calibri"/>
                <w:sz w:val="14"/>
                <w:szCs w:val="14"/>
                <w:lang w:val="en-US"/>
              </w:rPr>
              <w:t>The European economic and financial system: fostering openness, strength, and resilience  </w:t>
            </w:r>
          </w:p>
        </w:tc>
        <w:tc>
          <w:tcPr>
            <w:tcW w:w="424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7D75E0C7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0.21%</w:t>
            </w:r>
          </w:p>
        </w:tc>
        <w:tc>
          <w:tcPr>
            <w:tcW w:w="424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2E3D1FD7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0.46%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79FB4428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0.28%</w:t>
            </w:r>
          </w:p>
        </w:tc>
        <w:tc>
          <w:tcPr>
            <w:tcW w:w="423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3772B68E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0.89%</w:t>
            </w:r>
          </w:p>
        </w:tc>
        <w:tc>
          <w:tcPr>
            <w:tcW w:w="423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46D24186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0.32%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0B2886A7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0.57%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2CC26765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0.31%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39056668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1.31%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1F368005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3.58%</w:t>
            </w:r>
          </w:p>
        </w:tc>
        <w:tc>
          <w:tcPr>
            <w:tcW w:w="477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08DA0A4C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1.79%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2FC9CE37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0.55%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6BF8EE31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0.23%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47D6C250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1.35%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14E9624A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1.47%</w:t>
            </w:r>
          </w:p>
        </w:tc>
        <w:tc>
          <w:tcPr>
            <w:tcW w:w="477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586C6196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0.55%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A8D08D" w:themeFill="accent6" w:themeFillTint="99"/>
            <w:vAlign w:val="center"/>
            <w:hideMark/>
          </w:tcPr>
          <w:p w14:paraId="50E893E1" w14:textId="77777777" w:rsidR="004A1DDC" w:rsidRDefault="004A1DDC">
            <w:pPr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057DF728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86.12%</w:t>
            </w:r>
          </w:p>
        </w:tc>
      </w:tr>
      <w:tr w:rsidR="004A1DDC" w14:paraId="2C37F107" w14:textId="77777777" w:rsidTr="004A1DDC">
        <w:trPr>
          <w:trHeight w:val="20"/>
        </w:trPr>
        <w:tc>
          <w:tcPr>
            <w:tcW w:w="1174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hideMark/>
          </w:tcPr>
          <w:p w14:paraId="51742127" w14:textId="77777777" w:rsidR="004A1DDC" w:rsidRDefault="004A1DDC">
            <w:pPr>
              <w:spacing w:after="0"/>
              <w:rPr>
                <w:rFonts w:ascii="Calibri" w:eastAsia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eastAsia="Calibri" w:hAnsi="Calibri" w:cs="Calibri"/>
                <w:sz w:val="14"/>
                <w:szCs w:val="14"/>
                <w:lang w:val="en-US"/>
              </w:rPr>
              <w:t>EU Strategy on Adaptation to Climate Change  </w:t>
            </w:r>
          </w:p>
        </w:tc>
        <w:tc>
          <w:tcPr>
            <w:tcW w:w="424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6F28C2A3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0.32%</w:t>
            </w:r>
          </w:p>
        </w:tc>
        <w:tc>
          <w:tcPr>
            <w:tcW w:w="424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09BFCF85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1.04%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1E88CECD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0.49%</w:t>
            </w:r>
          </w:p>
        </w:tc>
        <w:tc>
          <w:tcPr>
            <w:tcW w:w="423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01724BC5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0.55%</w:t>
            </w:r>
          </w:p>
        </w:tc>
        <w:tc>
          <w:tcPr>
            <w:tcW w:w="423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18D16803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0.45%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348FEB59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1.08%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1044736A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3.31%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2D0C5C93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0.29%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4E4831EE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2.07%</w:t>
            </w:r>
          </w:p>
        </w:tc>
        <w:tc>
          <w:tcPr>
            <w:tcW w:w="477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42B05456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0.80%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01A03360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0.94%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79DF8BF7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0.56%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A8D08D" w:themeFill="accent6" w:themeFillTint="99"/>
            <w:vAlign w:val="center"/>
            <w:hideMark/>
          </w:tcPr>
          <w:p w14:paraId="10097560" w14:textId="77777777" w:rsidR="004A1DDC" w:rsidRDefault="004A1DDC">
            <w:pPr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55E89F71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1.10%</w:t>
            </w:r>
          </w:p>
        </w:tc>
        <w:tc>
          <w:tcPr>
            <w:tcW w:w="477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58399B66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0.81%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350B80BB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36.75%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15565642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49.43%</w:t>
            </w:r>
          </w:p>
        </w:tc>
      </w:tr>
      <w:tr w:rsidR="004A1DDC" w14:paraId="7D2E80DD" w14:textId="77777777" w:rsidTr="004A1DDC">
        <w:trPr>
          <w:trHeight w:val="20"/>
        </w:trPr>
        <w:tc>
          <w:tcPr>
            <w:tcW w:w="1174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hideMark/>
          </w:tcPr>
          <w:p w14:paraId="79266538" w14:textId="77777777" w:rsidR="004A1DDC" w:rsidRDefault="004A1DDC">
            <w:pPr>
              <w:spacing w:after="0"/>
              <w:rPr>
                <w:rFonts w:ascii="Calibri" w:eastAsia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eastAsia="Calibri" w:hAnsi="Calibri" w:cs="Calibri"/>
                <w:sz w:val="14"/>
                <w:szCs w:val="14"/>
                <w:lang w:val="en-US"/>
              </w:rPr>
              <w:t>Directing finance towards the European Green Deal  </w:t>
            </w:r>
          </w:p>
        </w:tc>
        <w:tc>
          <w:tcPr>
            <w:tcW w:w="424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510600B7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0.84%</w:t>
            </w:r>
          </w:p>
        </w:tc>
        <w:tc>
          <w:tcPr>
            <w:tcW w:w="424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6E56518E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6.36%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0083B611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1.39%</w:t>
            </w:r>
          </w:p>
        </w:tc>
        <w:tc>
          <w:tcPr>
            <w:tcW w:w="423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57EC58DB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0.22%</w:t>
            </w:r>
          </w:p>
        </w:tc>
        <w:tc>
          <w:tcPr>
            <w:tcW w:w="423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2119A99F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0.54%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708CF274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6.87%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6A3E4719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18.49%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723A66C4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1.22%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4585617E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1.06%</w:t>
            </w:r>
          </w:p>
        </w:tc>
        <w:tc>
          <w:tcPr>
            <w:tcW w:w="477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28F9F505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0.42%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183976EB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2.98%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A8D08D" w:themeFill="accent6" w:themeFillTint="99"/>
            <w:vAlign w:val="center"/>
            <w:hideMark/>
          </w:tcPr>
          <w:p w14:paraId="6F93CE64" w14:textId="77777777" w:rsidR="004A1DDC" w:rsidRDefault="004A1DDC">
            <w:pPr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1461B4F0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7.69%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0367102A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2.41%</w:t>
            </w:r>
          </w:p>
        </w:tc>
        <w:tc>
          <w:tcPr>
            <w:tcW w:w="477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23E3DED8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1.69%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77E8D829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13.75%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3AB998FA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34.07%</w:t>
            </w:r>
          </w:p>
        </w:tc>
      </w:tr>
      <w:tr w:rsidR="004A1DDC" w14:paraId="304E6256" w14:textId="77777777" w:rsidTr="004A1DDC">
        <w:trPr>
          <w:trHeight w:val="20"/>
        </w:trPr>
        <w:tc>
          <w:tcPr>
            <w:tcW w:w="1174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hideMark/>
          </w:tcPr>
          <w:p w14:paraId="7C129A83" w14:textId="77777777" w:rsidR="004A1DDC" w:rsidRDefault="004A1DDC">
            <w:pPr>
              <w:spacing w:after="0"/>
              <w:rPr>
                <w:rFonts w:ascii="Calibri" w:eastAsia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eastAsia="Calibri" w:hAnsi="Calibri" w:cs="Calibri"/>
                <w:sz w:val="14"/>
                <w:szCs w:val="14"/>
                <w:lang w:val="en-US"/>
              </w:rPr>
              <w:t>Updating the 2020 New Industrial Strategy: Building a stronger Single Market for Europe’s recovery </w:t>
            </w:r>
          </w:p>
        </w:tc>
        <w:tc>
          <w:tcPr>
            <w:tcW w:w="424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70BE9A15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0.25%</w:t>
            </w:r>
          </w:p>
        </w:tc>
        <w:tc>
          <w:tcPr>
            <w:tcW w:w="424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5B2A19A1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0.82%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79261505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0.74%</w:t>
            </w:r>
          </w:p>
        </w:tc>
        <w:tc>
          <w:tcPr>
            <w:tcW w:w="423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4501515C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1.10%</w:t>
            </w:r>
          </w:p>
        </w:tc>
        <w:tc>
          <w:tcPr>
            <w:tcW w:w="423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5E9B09AA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0.97%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7CCEB764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0.87%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215E621A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9.62%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3CE65324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30.67%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A8D08D" w:themeFill="accent6" w:themeFillTint="99"/>
            <w:vAlign w:val="center"/>
            <w:hideMark/>
          </w:tcPr>
          <w:p w14:paraId="6B1061CB" w14:textId="77777777" w:rsidR="004A1DDC" w:rsidRDefault="004A1DDC">
            <w:pPr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477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6E84A127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0.95%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71275179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1.03%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0C6D75FD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46.54%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5E541518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1.30%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5ABA1DAC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0.99%</w:t>
            </w:r>
          </w:p>
        </w:tc>
        <w:tc>
          <w:tcPr>
            <w:tcW w:w="477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3111352A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0.99%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7C315263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0.86%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0B32A0C5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2.30%</w:t>
            </w:r>
          </w:p>
        </w:tc>
      </w:tr>
      <w:tr w:rsidR="004A1DDC" w14:paraId="3C97DDCE" w14:textId="77777777" w:rsidTr="004A1DDC">
        <w:trPr>
          <w:trHeight w:val="20"/>
        </w:trPr>
        <w:tc>
          <w:tcPr>
            <w:tcW w:w="1174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hideMark/>
          </w:tcPr>
          <w:p w14:paraId="4A1F3CA2" w14:textId="77777777" w:rsidR="004A1DDC" w:rsidRDefault="004A1DDC">
            <w:pPr>
              <w:spacing w:after="0"/>
              <w:rPr>
                <w:rFonts w:ascii="Calibri" w:eastAsia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eastAsia="Calibri" w:hAnsi="Calibri" w:cs="Calibri"/>
                <w:sz w:val="14"/>
                <w:szCs w:val="14"/>
                <w:lang w:val="en-US"/>
              </w:rPr>
              <w:lastRenderedPageBreak/>
              <w:t>The EU's Blue Economy for a Sustainable Future </w:t>
            </w:r>
          </w:p>
        </w:tc>
        <w:tc>
          <w:tcPr>
            <w:tcW w:w="424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2B65DFF4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1.02%</w:t>
            </w:r>
          </w:p>
        </w:tc>
        <w:tc>
          <w:tcPr>
            <w:tcW w:w="424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7E4D69F4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0.90%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7AE6BF6E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0.24%</w:t>
            </w:r>
          </w:p>
        </w:tc>
        <w:tc>
          <w:tcPr>
            <w:tcW w:w="423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014AE0AA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0.26%</w:t>
            </w:r>
          </w:p>
        </w:tc>
        <w:tc>
          <w:tcPr>
            <w:tcW w:w="423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30999D6B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0.27%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1038EC8A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0.80%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72D720DD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7.41%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A8D08D" w:themeFill="accent6" w:themeFillTint="99"/>
            <w:vAlign w:val="center"/>
            <w:hideMark/>
          </w:tcPr>
          <w:p w14:paraId="4214C5B8" w14:textId="77777777" w:rsidR="004A1DDC" w:rsidRDefault="004A1DDC">
            <w:pPr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31F1F6A4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4.52%</w:t>
            </w:r>
          </w:p>
        </w:tc>
        <w:tc>
          <w:tcPr>
            <w:tcW w:w="477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2A8FC068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1.39%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67D50C8D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1.43%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734F74F5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69.17%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4A46BEE2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0.89%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1715C2E4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0.96%</w:t>
            </w:r>
          </w:p>
        </w:tc>
        <w:tc>
          <w:tcPr>
            <w:tcW w:w="477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38E24FB0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0.23%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5D17E8E1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2.24%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794DE6B0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8.27%</w:t>
            </w:r>
          </w:p>
        </w:tc>
      </w:tr>
      <w:tr w:rsidR="004A1DDC" w14:paraId="7E6E54B2" w14:textId="77777777" w:rsidTr="004A1DDC">
        <w:trPr>
          <w:trHeight w:val="20"/>
        </w:trPr>
        <w:tc>
          <w:tcPr>
            <w:tcW w:w="1174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hideMark/>
          </w:tcPr>
          <w:p w14:paraId="29250905" w14:textId="77777777" w:rsidR="004A1DDC" w:rsidRDefault="004A1DDC">
            <w:pPr>
              <w:spacing w:after="0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z w:val="14"/>
                <w:szCs w:val="14"/>
                <w:lang w:val="en-US"/>
              </w:rPr>
              <w:t>European Climate Law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 </w:t>
            </w:r>
          </w:p>
        </w:tc>
        <w:tc>
          <w:tcPr>
            <w:tcW w:w="424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0CD7CED9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0.30%</w:t>
            </w:r>
          </w:p>
        </w:tc>
        <w:tc>
          <w:tcPr>
            <w:tcW w:w="424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4E271FFE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1.05%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4E031FDA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0.47%</w:t>
            </w:r>
          </w:p>
        </w:tc>
        <w:tc>
          <w:tcPr>
            <w:tcW w:w="423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68E9BA18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0.44%</w:t>
            </w:r>
          </w:p>
        </w:tc>
        <w:tc>
          <w:tcPr>
            <w:tcW w:w="423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69952AFE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0.35%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1A9F5148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0.77%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6CFDE60F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1.76%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636FC269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0.18%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518224D0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1.05%</w:t>
            </w:r>
          </w:p>
        </w:tc>
        <w:tc>
          <w:tcPr>
            <w:tcW w:w="477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08CB2445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0.49%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743B2356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0.73%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1BC783E5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0.33%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A8D08D" w:themeFill="accent6" w:themeFillTint="99"/>
            <w:vAlign w:val="center"/>
            <w:hideMark/>
          </w:tcPr>
          <w:p w14:paraId="501BA02A" w14:textId="77777777" w:rsidR="004A1DDC" w:rsidRDefault="004A1DDC">
            <w:pPr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4EDC3908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0.88%</w:t>
            </w:r>
          </w:p>
        </w:tc>
        <w:tc>
          <w:tcPr>
            <w:tcW w:w="477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7184D693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0.60%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1028AA1C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40.97%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0312AC72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49.64%</w:t>
            </w:r>
          </w:p>
        </w:tc>
      </w:tr>
      <w:tr w:rsidR="004A1DDC" w14:paraId="7DFB5FCF" w14:textId="77777777" w:rsidTr="004A1DDC">
        <w:trPr>
          <w:trHeight w:val="20"/>
        </w:trPr>
        <w:tc>
          <w:tcPr>
            <w:tcW w:w="1174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hideMark/>
          </w:tcPr>
          <w:p w14:paraId="69B43536" w14:textId="77777777" w:rsidR="004A1DDC" w:rsidRDefault="004A1DDC">
            <w:pPr>
              <w:spacing w:after="0"/>
              <w:rPr>
                <w:rFonts w:ascii="Calibri" w:eastAsia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eastAsia="Calibri" w:hAnsi="Calibri" w:cs="Calibri"/>
                <w:sz w:val="14"/>
                <w:szCs w:val="14"/>
                <w:lang w:val="en-US"/>
              </w:rPr>
              <w:t>Strategy for Financing the Transition to a Sustainable Economy  </w:t>
            </w:r>
          </w:p>
        </w:tc>
        <w:tc>
          <w:tcPr>
            <w:tcW w:w="424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416A55D3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0.35%</w:t>
            </w:r>
          </w:p>
        </w:tc>
        <w:tc>
          <w:tcPr>
            <w:tcW w:w="424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276B4723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1.03%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5994C821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0.35%</w:t>
            </w:r>
          </w:p>
        </w:tc>
        <w:tc>
          <w:tcPr>
            <w:tcW w:w="423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3BCE7F97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0.32%</w:t>
            </w:r>
          </w:p>
        </w:tc>
        <w:tc>
          <w:tcPr>
            <w:tcW w:w="423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7C01A961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0.19%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66CBF329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0.67%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393C4EBA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2.36%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59A4FF73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0.23%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29E8BC5D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1.06%</w:t>
            </w:r>
          </w:p>
        </w:tc>
        <w:tc>
          <w:tcPr>
            <w:tcW w:w="477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608F109A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0.59%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6B7CD576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0.53%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2F15F0D3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0.51%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77C4AA49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54.77%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4EC5B857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1.04%</w:t>
            </w:r>
          </w:p>
        </w:tc>
        <w:tc>
          <w:tcPr>
            <w:tcW w:w="477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123DCB55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0.48%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DEEAF6"/>
            <w:vAlign w:val="center"/>
            <w:hideMark/>
          </w:tcPr>
          <w:p w14:paraId="67AE3AAB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35.52%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A8D08D" w:themeFill="accent6" w:themeFillTint="99"/>
            <w:vAlign w:val="center"/>
            <w:hideMark/>
          </w:tcPr>
          <w:p w14:paraId="220D9434" w14:textId="77777777" w:rsidR="004A1DDC" w:rsidRDefault="004A1DDC">
            <w:pPr>
              <w:rPr>
                <w:rFonts w:ascii="Calibri" w:eastAsia="Calibri" w:hAnsi="Calibri" w:cs="Calibri"/>
                <w:sz w:val="16"/>
                <w:szCs w:val="16"/>
              </w:rPr>
            </w:pPr>
          </w:p>
        </w:tc>
      </w:tr>
      <w:tr w:rsidR="004A1DDC" w14:paraId="17DAE96D" w14:textId="77777777" w:rsidTr="004A1DDC">
        <w:trPr>
          <w:trHeight w:val="226"/>
        </w:trPr>
        <w:tc>
          <w:tcPr>
            <w:tcW w:w="1174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hideMark/>
          </w:tcPr>
          <w:p w14:paraId="2F978EFF" w14:textId="77777777" w:rsidR="004A1DDC" w:rsidRDefault="004A1DDC">
            <w:pPr>
              <w:spacing w:after="0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z w:val="14"/>
                <w:szCs w:val="14"/>
                <w:lang w:val="en-US"/>
              </w:rPr>
              <w:t>Fit for 55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 </w:t>
            </w:r>
          </w:p>
        </w:tc>
        <w:tc>
          <w:tcPr>
            <w:tcW w:w="424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64559DC8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0.22%</w:t>
            </w:r>
          </w:p>
        </w:tc>
        <w:tc>
          <w:tcPr>
            <w:tcW w:w="424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4392F6FE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0.58%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781A5958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0.31%</w:t>
            </w:r>
          </w:p>
        </w:tc>
        <w:tc>
          <w:tcPr>
            <w:tcW w:w="423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25E27477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0.33%</w:t>
            </w:r>
          </w:p>
        </w:tc>
        <w:tc>
          <w:tcPr>
            <w:tcW w:w="423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7B9AB77E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0.24%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797E5ACD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0.76%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7F6E5864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1.56%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4741E026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0.14%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4540FA54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1.00%</w:t>
            </w:r>
          </w:p>
        </w:tc>
        <w:tc>
          <w:tcPr>
            <w:tcW w:w="477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68D05143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0.57%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1ACA74FF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0.63%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63F72590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0.35%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shd w:val="clear" w:color="auto" w:fill="A8D08D" w:themeFill="accent6" w:themeFillTint="99"/>
            <w:vAlign w:val="center"/>
            <w:hideMark/>
          </w:tcPr>
          <w:p w14:paraId="1B68F7BB" w14:textId="77777777" w:rsidR="004A1DDC" w:rsidRDefault="004A1DDC">
            <w:pPr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24F4826C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0.75%</w:t>
            </w:r>
          </w:p>
        </w:tc>
        <w:tc>
          <w:tcPr>
            <w:tcW w:w="477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533C39A2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0.54%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487BD1DE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37.84%</w:t>
            </w:r>
          </w:p>
        </w:tc>
        <w:tc>
          <w:tcPr>
            <w:tcW w:w="502" w:type="dxa"/>
            <w:tcBorders>
              <w:top w:val="single" w:sz="6" w:space="0" w:color="9CC2E5"/>
              <w:left w:val="single" w:sz="6" w:space="0" w:color="9CC2E5"/>
              <w:bottom w:val="single" w:sz="6" w:space="0" w:color="9CC2E5"/>
              <w:right w:val="single" w:sz="6" w:space="0" w:color="9CC2E5"/>
            </w:tcBorders>
            <w:vAlign w:val="center"/>
            <w:hideMark/>
          </w:tcPr>
          <w:p w14:paraId="512F1F91" w14:textId="77777777" w:rsidR="004A1DDC" w:rsidRDefault="004A1DDC">
            <w:pPr>
              <w:spacing w:after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  <w:lang w:val="en-US"/>
              </w:rPr>
              <w:t>54.17%</w:t>
            </w:r>
          </w:p>
        </w:tc>
      </w:tr>
    </w:tbl>
    <w:p w14:paraId="4439B5B7" w14:textId="77777777" w:rsidR="004A1DDC" w:rsidRDefault="004A1DDC" w:rsidP="004A1DDC">
      <w:pPr>
        <w:jc w:val="both"/>
        <w:rPr>
          <w:lang w:val="en-US"/>
        </w:rPr>
      </w:pPr>
      <w:r>
        <w:rPr>
          <w:rFonts w:ascii="Calibri" w:eastAsia="Calibri" w:hAnsi="Calibri" w:cs="Calibri"/>
          <w:sz w:val="20"/>
          <w:lang w:val="en-US"/>
        </w:rPr>
        <w:t xml:space="preserve"> </w:t>
      </w:r>
      <w:r>
        <w:rPr>
          <w:rFonts w:ascii="Calibri" w:eastAsia="Calibri" w:hAnsi="Calibri" w:cs="Calibri"/>
          <w:color w:val="000000" w:themeColor="text1"/>
          <w:szCs w:val="22"/>
          <w:lang w:val="en-US"/>
        </w:rPr>
        <w:t xml:space="preserve"> </w:t>
      </w:r>
    </w:p>
    <w:p w14:paraId="0920E54A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1DDC"/>
    <w:rsid w:val="004A1DDC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6035EB"/>
  <w15:chartTrackingRefBased/>
  <w15:docId w15:val="{4343EF5B-113C-45FE-B039-9BA2D8A7E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1DDC"/>
    <w:pPr>
      <w:spacing w:after="120" w:line="264" w:lineRule="auto"/>
    </w:pPr>
    <w:rPr>
      <w:rFonts w:eastAsiaTheme="minorEastAsia"/>
      <w:szCs w:val="20"/>
      <w:lang w:val="el-G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semiHidden/>
    <w:unhideWhenUsed/>
    <w:qFormat/>
    <w:rsid w:val="004A1DDC"/>
    <w:pPr>
      <w:spacing w:after="200" w:line="240" w:lineRule="auto"/>
    </w:pPr>
    <w:rPr>
      <w:rFonts w:eastAsiaTheme="minorHAnsi"/>
      <w:i/>
      <w:iCs/>
      <w:color w:val="44546A" w:themeColor="text2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3362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594</Words>
  <Characters>3391</Characters>
  <Application>Microsoft Office Word</Application>
  <DocSecurity>0</DocSecurity>
  <Lines>28</Lines>
  <Paragraphs>7</Paragraphs>
  <ScaleCrop>false</ScaleCrop>
  <Company>Springer Nature</Company>
  <LinksUpToDate>false</LinksUpToDate>
  <CharactersWithSpaces>3978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2023-03-21T05:55:00Z</dcterms:created>
  <dcterms:modified xsi:type="dcterms:W3CDTF">2023-03-21T05:56:00Z</dcterms:modified>
</cp:coreProperties>
</file>