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782C19" w14:textId="77777777" w:rsidR="00CB326C" w:rsidRPr="00797F18" w:rsidRDefault="002B32BB" w:rsidP="007E046E">
      <w:pPr>
        <w:pStyle w:val="Heading1"/>
        <w:numPr>
          <w:ilvl w:val="0"/>
          <w:numId w:val="0"/>
        </w:numPr>
        <w:spacing w:line="480" w:lineRule="auto"/>
        <w:ind w:left="432" w:hanging="432"/>
      </w:pPr>
      <w:bookmarkStart w:id="0" w:name="_GoBack"/>
      <w:bookmarkEnd w:id="0"/>
      <w:r w:rsidRPr="00797F18">
        <w:t>Supplementary methods</w:t>
      </w:r>
    </w:p>
    <w:p w14:paraId="2B40A75B" w14:textId="77777777" w:rsidR="00CB326C" w:rsidRPr="00797F18" w:rsidRDefault="002B32BB" w:rsidP="007E046E">
      <w:pPr>
        <w:pStyle w:val="Heading2"/>
        <w:spacing w:line="480" w:lineRule="auto"/>
      </w:pPr>
      <w:r w:rsidRPr="00797F18">
        <w:t>Cell lines</w:t>
      </w:r>
    </w:p>
    <w:p w14:paraId="6A611397" w14:textId="77777777" w:rsidR="00CB326C" w:rsidRPr="00797F18" w:rsidRDefault="002B32BB" w:rsidP="007E046E">
      <w:pPr>
        <w:spacing w:line="480" w:lineRule="auto"/>
        <w:jc w:val="both"/>
      </w:pPr>
      <w:r w:rsidRPr="00797F18">
        <w:rPr>
          <w:rFonts w:ascii="Calibri" w:eastAsia="Calibri" w:hAnsi="Calibri" w:cs="Times New Roman"/>
        </w:rPr>
        <w:t>The murine</w:t>
      </w:r>
      <w:r w:rsidRPr="00797F18">
        <w:t xml:space="preserve"> OSCC cell line MOC1 was purchased from Kerafast </w:t>
      </w:r>
      <w:r w:rsidRPr="00797F18">
        <w:rPr>
          <w:color w:val="000000"/>
          <w:shd w:val="clear" w:color="auto" w:fill="FFFFFF"/>
        </w:rPr>
        <w:t>(Boston, MA, USA)</w:t>
      </w:r>
      <w:r w:rsidRPr="00797F18">
        <w:t xml:space="preserve">. Cells were cultured according to the manufacturer’s instructions in MOC1 cell line medium, consisting of </w:t>
      </w:r>
      <w:bookmarkStart w:id="1" w:name="_Hlk121316603"/>
      <w:r w:rsidRPr="00797F18">
        <w:t xml:space="preserve">Iscove's Modified Dulbecco's Medium (IMDM)/Ham’s F12 Nutrient Mixture (Gibco, </w:t>
      </w:r>
      <w:r w:rsidRPr="00797F18">
        <w:rPr>
          <w:color w:val="000000"/>
          <w:shd w:val="clear" w:color="auto" w:fill="FFFFFF"/>
        </w:rPr>
        <w:t>Thermo Fisher Scientific, Waltham, MA, USA)</w:t>
      </w:r>
      <w:r w:rsidRPr="00797F18">
        <w:t>, in a ratio of 2:1, supplemented with 5% (v/v) fetal bovine serum (FBS, Gibco), 100 U/mL penicillin, 100 µg/mL streptomycin (</w:t>
      </w:r>
      <w:r w:rsidRPr="00797F18">
        <w:rPr>
          <w:color w:val="000000"/>
          <w:shd w:val="clear" w:color="auto" w:fill="FFFFFF"/>
        </w:rPr>
        <w:t xml:space="preserve">100x </w:t>
      </w:r>
      <w:r w:rsidRPr="00797F18">
        <w:rPr>
          <w:rFonts w:ascii="Calibri" w:eastAsia="Calibri" w:hAnsi="Calibri" w:cs="Times New Roman"/>
          <w:color w:val="000000"/>
          <w:shd w:val="clear" w:color="auto" w:fill="FFFFFF"/>
        </w:rPr>
        <w:t>penicillin‒streptomycin</w:t>
      </w:r>
      <w:r w:rsidRPr="00797F18">
        <w:rPr>
          <w:color w:val="000000"/>
          <w:shd w:val="clear" w:color="auto" w:fill="FFFFFF"/>
        </w:rPr>
        <w:t>, Sigma Aldrich, Darmstadt, Germany)</w:t>
      </w:r>
      <w:r w:rsidRPr="00797F18">
        <w:t>, 5 µg/mL insulin (Sigma Aldrich), 40 ng/mL hydrocortisone (Sigma Aldrich) and 5 ng/mL epidermal growth factor (EGF, Gibco)</w:t>
      </w:r>
      <w:bookmarkEnd w:id="1"/>
      <w:r w:rsidRPr="00797F18">
        <w:t>.</w:t>
      </w:r>
    </w:p>
    <w:p w14:paraId="29397747" w14:textId="77777777" w:rsidR="00CB326C" w:rsidRPr="00797F18" w:rsidRDefault="002B32BB" w:rsidP="007E046E">
      <w:pPr>
        <w:spacing w:line="480" w:lineRule="auto"/>
        <w:jc w:val="both"/>
      </w:pPr>
      <w:r w:rsidRPr="00797F18">
        <w:rPr>
          <w:rFonts w:ascii="Calibri" w:eastAsia="Calibri" w:hAnsi="Calibri" w:cs="Times New Roman"/>
        </w:rPr>
        <w:t>The packaging</w:t>
      </w:r>
      <w:r w:rsidRPr="00797F18">
        <w:t xml:space="preserve"> cell line </w:t>
      </w:r>
      <w:bookmarkStart w:id="2" w:name="_Hlk119672422"/>
      <w:r w:rsidRPr="00797F18">
        <w:t xml:space="preserve">PA317 LXSN 16E6E7 (ATCC® CRL-2203) </w:t>
      </w:r>
      <w:bookmarkEnd w:id="2"/>
      <w:r w:rsidRPr="00797F18">
        <w:t>was purchased from American Type Culture Collection (ATCC, Manassas, VA, USA) and cultured in Dulbecco's Modified Eagle's Medium (DMEM) supplemented with 10% (v/v) FBS, 100 U/mL penicillin, 100 µg/mL streptomycin</w:t>
      </w:r>
      <w:r w:rsidRPr="00797F18">
        <w:rPr>
          <w:color w:val="000000"/>
          <w:shd w:val="clear" w:color="auto" w:fill="FFFFFF"/>
        </w:rPr>
        <w:t xml:space="preserve"> and </w:t>
      </w:r>
      <w:r w:rsidRPr="00797F18">
        <w:rPr>
          <w:rFonts w:ascii="Calibri" w:eastAsia="Calibri" w:hAnsi="Calibri" w:cs="Times New Roman"/>
          <w:color w:val="000000"/>
        </w:rPr>
        <w:t>2 mM</w:t>
      </w:r>
      <w:r w:rsidRPr="00797F18">
        <w:rPr>
          <w:color w:val="000000"/>
          <w:shd w:val="clear" w:color="auto" w:fill="FFFFFF"/>
        </w:rPr>
        <w:t xml:space="preserve"> GlutaMAX (Gibco)</w:t>
      </w:r>
      <w:r w:rsidRPr="00797F18">
        <w:t>.</w:t>
      </w:r>
    </w:p>
    <w:p w14:paraId="1CA19618" w14:textId="1E8D65E0" w:rsidR="00CB326C" w:rsidRPr="00797F18" w:rsidRDefault="002B32BB" w:rsidP="007E046E">
      <w:pPr>
        <w:spacing w:line="480" w:lineRule="auto"/>
        <w:jc w:val="both"/>
      </w:pPr>
      <w:r w:rsidRPr="00797F18">
        <w:t xml:space="preserve">Cells were maintained at 37 °C in </w:t>
      </w:r>
      <w:r w:rsidRPr="00797F18">
        <w:rPr>
          <w:rFonts w:ascii="Calibri" w:eastAsia="Calibri" w:hAnsi="Calibri" w:cs="Times New Roman"/>
        </w:rPr>
        <w:t xml:space="preserve">a </w:t>
      </w:r>
      <w:r w:rsidRPr="00797F18">
        <w:t>5% CO</w:t>
      </w:r>
      <w:r w:rsidRPr="00797F18">
        <w:rPr>
          <w:vertAlign w:val="subscript"/>
        </w:rPr>
        <w:t xml:space="preserve">2 </w:t>
      </w:r>
      <w:r w:rsidRPr="00797F18">
        <w:t xml:space="preserve">humidified atmosphere. Cells were subcultured twice weekly by detachment with 0.25% </w:t>
      </w:r>
      <w:r w:rsidRPr="00797F18">
        <w:rPr>
          <w:rFonts w:ascii="Calibri" w:eastAsia="Calibri" w:hAnsi="Calibri" w:cs="Times New Roman"/>
        </w:rPr>
        <w:t>trypsin</w:t>
      </w:r>
      <w:r w:rsidRPr="00797F18">
        <w:t>-EDTA solution (Gibco). MOC1 cells were routinely tested for mycoplasma infection using</w:t>
      </w:r>
      <w:r w:rsidRPr="00797F18">
        <w:rPr>
          <w:rFonts w:ascii="Calibri" w:eastAsia="Calibri" w:hAnsi="Calibri" w:cs="Times New Roman"/>
        </w:rPr>
        <w:t xml:space="preserve"> the</w:t>
      </w:r>
      <w:r w:rsidRPr="00797F18">
        <w:t xml:space="preserve"> MycoAlert</w:t>
      </w:r>
      <w:r w:rsidRPr="00797F18">
        <w:rPr>
          <w:vertAlign w:val="superscript"/>
        </w:rPr>
        <w:t>TM</w:t>
      </w:r>
      <w:r w:rsidRPr="00797F18">
        <w:t xml:space="preserve"> PLUS Mycoplasma Detection Kit (Lonza, Basel, Switzerland) and were mycoplasma</w:t>
      </w:r>
      <w:r w:rsidR="00253B4A">
        <w:t>-</w:t>
      </w:r>
      <w:r w:rsidRPr="00797F18">
        <w:t>free.</w:t>
      </w:r>
    </w:p>
    <w:p w14:paraId="7E07CC24" w14:textId="77777777" w:rsidR="00CB326C" w:rsidRPr="00797F18" w:rsidRDefault="002B32BB" w:rsidP="007E046E">
      <w:pPr>
        <w:pStyle w:val="Heading2"/>
        <w:spacing w:line="480" w:lineRule="auto"/>
      </w:pPr>
      <w:r w:rsidRPr="00797F18">
        <w:t>Establishment of MOC1-HPV cell lines</w:t>
      </w:r>
    </w:p>
    <w:p w14:paraId="0C2F6E7A" w14:textId="140B64FC" w:rsidR="00CB326C" w:rsidRPr="00797F18" w:rsidRDefault="002B32BB" w:rsidP="007E046E">
      <w:pPr>
        <w:spacing w:line="480" w:lineRule="auto"/>
        <w:jc w:val="both"/>
      </w:pPr>
      <w:r w:rsidRPr="00797F18">
        <w:t>The PA317 LXSN 16E6E7 packaging cell line was used to produce amphotropic retroviral particles containing the human papilloma virus (HPV) type 16 E6 and E7 genes and a gene for neomycin resistance. To this end, 1×10</w:t>
      </w:r>
      <w:r w:rsidRPr="00797F18">
        <w:rPr>
          <w:vertAlign w:val="superscript"/>
        </w:rPr>
        <w:t>5</w:t>
      </w:r>
      <w:r w:rsidRPr="00797F18">
        <w:t xml:space="preserve"> PA317 LXSN 16E6E7 cells were seeded into T25 flasks in 4 mL of medium. After 24 h, the medium containing the retroviral particles was collected and filtered through a 0.45</w:t>
      </w:r>
      <w:r w:rsidR="00DF001C">
        <w:t>-</w:t>
      </w:r>
      <w:r w:rsidRPr="00797F18">
        <w:t>µm filter. The virus-containing filtrate was stored at 4 °C until further use.</w:t>
      </w:r>
    </w:p>
    <w:p w14:paraId="12ADF94B" w14:textId="3B3A1DB5" w:rsidR="00CB326C" w:rsidRPr="00797F18" w:rsidRDefault="002B32BB" w:rsidP="007E046E">
      <w:pPr>
        <w:spacing w:line="480" w:lineRule="auto"/>
        <w:jc w:val="both"/>
        <w:rPr>
          <w:rFonts w:ascii="Calibri" w:hAnsi="Calibri" w:cs="Arial"/>
        </w:rPr>
      </w:pPr>
      <w:r w:rsidRPr="00797F18">
        <w:lastRenderedPageBreak/>
        <w:t>For transduction, 2×10</w:t>
      </w:r>
      <w:r w:rsidRPr="00797F18">
        <w:rPr>
          <w:vertAlign w:val="superscript"/>
        </w:rPr>
        <w:t>5</w:t>
      </w:r>
      <w:r w:rsidRPr="00797F18">
        <w:t xml:space="preserve"> MOC1 cells were seeded into wells of 6-well plates. After 24 h, the cell medium was removed and replaced with 1 mL of the virus-containing filtrate and 1 mL of fresh medium containing </w:t>
      </w:r>
      <w:r w:rsidRPr="00797F18">
        <w:rPr>
          <w:rFonts w:ascii="Calibri" w:hAnsi="Calibri" w:cs="Arial"/>
        </w:rPr>
        <w:t xml:space="preserve">4 µg/mL polybrene (Merck Millipore, Darmstadt, Germany). Following </w:t>
      </w:r>
      <w:r w:rsidRPr="00797F18">
        <w:rPr>
          <w:rFonts w:ascii="Calibri" w:eastAsia="Calibri" w:hAnsi="Calibri" w:cs="Arial"/>
        </w:rPr>
        <w:t>an</w:t>
      </w:r>
      <w:r w:rsidRPr="00797F18">
        <w:rPr>
          <w:rFonts w:ascii="Calibri" w:hAnsi="Calibri" w:cs="Arial"/>
        </w:rPr>
        <w:t xml:space="preserve"> 18</w:t>
      </w:r>
      <w:r w:rsidR="00A50B56">
        <w:rPr>
          <w:rFonts w:ascii="Calibri" w:hAnsi="Calibri" w:cs="Arial"/>
        </w:rPr>
        <w:t>-</w:t>
      </w:r>
      <w:r w:rsidRPr="00797F18">
        <w:rPr>
          <w:rFonts w:ascii="Calibri" w:hAnsi="Calibri" w:cs="Arial"/>
        </w:rPr>
        <w:t>h incubation at 37 °C, the medium was removed,</w:t>
      </w:r>
      <w:r w:rsidRPr="00797F18">
        <w:rPr>
          <w:rFonts w:ascii="Calibri" w:eastAsia="Calibri" w:hAnsi="Calibri" w:cs="Arial"/>
        </w:rPr>
        <w:t xml:space="preserve"> the</w:t>
      </w:r>
      <w:r w:rsidRPr="00797F18">
        <w:rPr>
          <w:rFonts w:ascii="Calibri" w:hAnsi="Calibri" w:cs="Arial"/>
        </w:rPr>
        <w:t xml:space="preserve"> cells were washed three times with PBS, and fresh medium was added. The next day, </w:t>
      </w:r>
      <w:r w:rsidRPr="00797F18">
        <w:rPr>
          <w:rFonts w:ascii="Calibri" w:eastAsia="Calibri" w:hAnsi="Calibri" w:cs="Arial"/>
        </w:rPr>
        <w:t xml:space="preserve">the </w:t>
      </w:r>
      <w:r w:rsidRPr="00797F18">
        <w:rPr>
          <w:rFonts w:ascii="Calibri" w:hAnsi="Calibri" w:cs="Arial"/>
        </w:rPr>
        <w:t>cells were washed three times with PBS, and the medium was replaced with the selection medium (MOC1 cell line medium containing 600 µg/mL G418 disulfate (AppliChem, Darmstadt, Germany)). Cells were cultured in the selection medium for eight days, reseeding them to larger culture flasks when needed. The cell medium was exchanged with fresh selection medium every three days. Afterward,</w:t>
      </w:r>
      <w:r w:rsidRPr="00797F18">
        <w:rPr>
          <w:rFonts w:ascii="Calibri" w:eastAsia="Calibri" w:hAnsi="Calibri" w:cs="Arial"/>
        </w:rPr>
        <w:t xml:space="preserve"> the</w:t>
      </w:r>
      <w:r w:rsidRPr="00797F18">
        <w:rPr>
          <w:rFonts w:ascii="Calibri" w:hAnsi="Calibri" w:cs="Arial"/>
        </w:rPr>
        <w:t xml:space="preserve"> cells were maintained in MOC1-HPV cell line medium (MOC1 cell line medium containing </w:t>
      </w:r>
      <w:bookmarkStart w:id="3" w:name="_Hlk121316637"/>
      <w:r w:rsidRPr="00797F18">
        <w:rPr>
          <w:rFonts w:ascii="Calibri" w:hAnsi="Calibri" w:cs="Arial"/>
        </w:rPr>
        <w:t>200 µg/mL G418 disulfate</w:t>
      </w:r>
      <w:bookmarkEnd w:id="3"/>
      <w:r w:rsidRPr="00797F18">
        <w:rPr>
          <w:rFonts w:ascii="Calibri" w:hAnsi="Calibri" w:cs="Arial"/>
        </w:rPr>
        <w:t>).</w:t>
      </w:r>
    </w:p>
    <w:p w14:paraId="374163D9" w14:textId="3F927661" w:rsidR="00CB326C" w:rsidRPr="00797F18" w:rsidRDefault="002B32BB" w:rsidP="007E046E">
      <w:pPr>
        <w:spacing w:line="480" w:lineRule="auto"/>
        <w:jc w:val="both"/>
        <w:rPr>
          <w:rFonts w:ascii="Calibri" w:hAnsi="Calibri" w:cs="Arial"/>
        </w:rPr>
      </w:pPr>
      <w:r w:rsidRPr="00797F18">
        <w:rPr>
          <w:rFonts w:ascii="Calibri" w:hAnsi="Calibri" w:cs="Arial"/>
        </w:rPr>
        <w:t xml:space="preserve">To establish pure monoclonal cell lines, the pool of surviving cells after G418 disulfate selection was serially diluted to </w:t>
      </w:r>
      <w:r w:rsidRPr="00797F18">
        <w:rPr>
          <w:rFonts w:ascii="Calibri" w:eastAsia="Calibri" w:hAnsi="Calibri" w:cs="Arial"/>
        </w:rPr>
        <w:t>a</w:t>
      </w:r>
      <w:r w:rsidRPr="00797F18">
        <w:rPr>
          <w:rFonts w:ascii="Calibri" w:hAnsi="Calibri" w:cs="Arial"/>
        </w:rPr>
        <w:t xml:space="preserve"> concentration of 9 cells/mL, and 100 µL of the cell suspension was seeded into each well of a 96-well plate. Wells containing only a single cell that successfully formed colonies and replicated to confluency were reseeded into T75 cell culture flasks for further culturing. Two of the established monoclonal cell lines used in </w:t>
      </w:r>
      <w:r w:rsidR="00DA7A85">
        <w:rPr>
          <w:rFonts w:ascii="Calibri" w:hAnsi="Calibri" w:cs="Arial"/>
        </w:rPr>
        <w:t>this</w:t>
      </w:r>
      <w:r w:rsidRPr="00797F18">
        <w:rPr>
          <w:rFonts w:ascii="Calibri" w:hAnsi="Calibri" w:cs="Arial"/>
        </w:rPr>
        <w:t xml:space="preserve"> study were named MOC1-HPV K1 and MOC1-HPV K3.</w:t>
      </w:r>
    </w:p>
    <w:p w14:paraId="62A05F1C" w14:textId="77777777" w:rsidR="00CB326C" w:rsidRPr="00797F18" w:rsidRDefault="002B32BB" w:rsidP="007E046E">
      <w:pPr>
        <w:spacing w:line="480" w:lineRule="auto"/>
        <w:jc w:val="both"/>
        <w:rPr>
          <w:rFonts w:ascii="Calibri" w:hAnsi="Calibri" w:cs="Arial"/>
        </w:rPr>
      </w:pPr>
      <w:r w:rsidRPr="00797F18">
        <w:rPr>
          <w:rFonts w:ascii="Calibri" w:hAnsi="Calibri" w:cs="Arial"/>
        </w:rPr>
        <w:t xml:space="preserve">MOC1-HPV and PA317 LXSN 16E6E7 cell lines are classified </w:t>
      </w:r>
      <w:r w:rsidRPr="00797F18">
        <w:rPr>
          <w:rFonts w:ascii="Calibri" w:eastAsia="Calibri" w:hAnsi="Calibri" w:cs="Arial"/>
        </w:rPr>
        <w:t>as</w:t>
      </w:r>
      <w:r w:rsidRPr="00797F18">
        <w:rPr>
          <w:rFonts w:ascii="Calibri" w:hAnsi="Calibri" w:cs="Arial"/>
        </w:rPr>
        <w:t xml:space="preserve"> biosafety level 2, for which we acquired permission nr. </w:t>
      </w:r>
      <w:r w:rsidRPr="00797F18">
        <w:t>35421-6/2021-2550-4 from</w:t>
      </w:r>
      <w:r w:rsidRPr="00797F18">
        <w:rPr>
          <w:rFonts w:ascii="Calibri" w:eastAsia="Calibri" w:hAnsi="Calibri" w:cs="Times New Roman"/>
        </w:rPr>
        <w:t xml:space="preserve"> the</w:t>
      </w:r>
      <w:r w:rsidRPr="00797F18">
        <w:t xml:space="preserve"> Scientific committee for work with genetically modified organisms in contained use from </w:t>
      </w:r>
      <w:r w:rsidRPr="00797F18">
        <w:rPr>
          <w:rFonts w:ascii="Calibri" w:eastAsia="Calibri" w:hAnsi="Calibri" w:cs="Times New Roman"/>
        </w:rPr>
        <w:t xml:space="preserve">the </w:t>
      </w:r>
      <w:r w:rsidRPr="00797F18">
        <w:t>Government of the Republic of Slovenia.</w:t>
      </w:r>
    </w:p>
    <w:p w14:paraId="3D6DA8DD" w14:textId="77777777" w:rsidR="00CB326C" w:rsidRPr="00797F18" w:rsidRDefault="002B32BB" w:rsidP="007E046E">
      <w:pPr>
        <w:pStyle w:val="Heading2"/>
        <w:spacing w:line="480" w:lineRule="auto"/>
      </w:pPr>
      <w:r w:rsidRPr="00797F18">
        <w:t>RNA isolation, reverse transcription and quantitative real-time polymerase chain reaction (</w:t>
      </w:r>
      <w:r w:rsidRPr="00797F18">
        <w:rPr>
          <w:rFonts w:ascii="Calibri Light" w:eastAsia="Times New Roman" w:hAnsi="Calibri Light" w:cs="Times New Roman"/>
          <w:color w:val="000000"/>
        </w:rPr>
        <w:t>qRT‒PCR</w:t>
      </w:r>
      <w:r w:rsidRPr="00797F18">
        <w:t>)</w:t>
      </w:r>
    </w:p>
    <w:p w14:paraId="32F3EB25" w14:textId="77777777" w:rsidR="00CB326C" w:rsidRPr="00797F18" w:rsidRDefault="002B32BB" w:rsidP="007E046E">
      <w:pPr>
        <w:spacing w:line="480" w:lineRule="auto"/>
        <w:jc w:val="both"/>
        <w:rPr>
          <w:rFonts w:ascii="Arial" w:hAnsi="Arial" w:cs="Arial"/>
          <w:color w:val="1A0DAB"/>
          <w:shd w:val="clear" w:color="auto" w:fill="FFFFFF"/>
        </w:rPr>
      </w:pPr>
      <w:r w:rsidRPr="00797F18">
        <w:t xml:space="preserve">To confirm stable expression of </w:t>
      </w:r>
      <w:r w:rsidRPr="00797F18">
        <w:rPr>
          <w:rFonts w:ascii="Calibri" w:eastAsia="Calibri" w:hAnsi="Calibri" w:cs="Times New Roman"/>
        </w:rPr>
        <w:t xml:space="preserve">the </w:t>
      </w:r>
      <w:r w:rsidRPr="00797F18">
        <w:t xml:space="preserve">HPV16 E6 and E7 oncogenes, </w:t>
      </w:r>
      <w:r w:rsidRPr="00797F18">
        <w:rPr>
          <w:rFonts w:ascii="Calibri" w:eastAsia="Calibri" w:hAnsi="Calibri" w:cs="Times New Roman"/>
        </w:rPr>
        <w:t>qRT‒PCR</w:t>
      </w:r>
      <w:r w:rsidRPr="00797F18">
        <w:t xml:space="preserve"> for E6 and E7 was performed on both MOC1-HPV cell lines at cell passages 10, 15, and 20. RNA was extracted using</w:t>
      </w:r>
      <w:r w:rsidRPr="00797F18">
        <w:rPr>
          <w:rFonts w:ascii="Calibri" w:eastAsia="Calibri" w:hAnsi="Calibri" w:cs="Times New Roman"/>
        </w:rPr>
        <w:t xml:space="preserve"> the</w:t>
      </w:r>
      <w:r w:rsidRPr="00797F18">
        <w:t xml:space="preserve"> </w:t>
      </w:r>
      <w:r w:rsidRPr="00797F18">
        <w:rPr>
          <w:color w:val="000000"/>
          <w:shd w:val="clear" w:color="auto" w:fill="FFFFFF"/>
        </w:rPr>
        <w:t xml:space="preserve">peqGOLD Total RNA Kit (VWR, West Chester, PA, USA) following the manufacturer’s instructions. The concentration of the isolated RNA and </w:t>
      </w:r>
      <w:r w:rsidRPr="00797F18">
        <w:rPr>
          <w:rFonts w:ascii="Calibri" w:eastAsia="Calibri" w:hAnsi="Calibri" w:cs="Times New Roman"/>
          <w:color w:val="000000"/>
        </w:rPr>
        <w:t>its</w:t>
      </w:r>
      <w:r w:rsidRPr="00797F18">
        <w:rPr>
          <w:color w:val="000000"/>
          <w:shd w:val="clear" w:color="auto" w:fill="FFFFFF"/>
        </w:rPr>
        <w:t xml:space="preserve"> quality were determined spectrophotometrically using</w:t>
      </w:r>
      <w:r w:rsidRPr="00797F18">
        <w:rPr>
          <w:rFonts w:ascii="Calibri" w:eastAsia="Calibri" w:hAnsi="Calibri" w:cs="Times New Roman"/>
          <w:color w:val="000000"/>
          <w:shd w:val="clear" w:color="auto" w:fill="FFFFFF"/>
        </w:rPr>
        <w:t xml:space="preserve"> </w:t>
      </w:r>
      <w:r w:rsidRPr="00797F18">
        <w:rPr>
          <w:rFonts w:ascii="Calibri" w:eastAsia="Calibri" w:hAnsi="Calibri" w:cs="Times New Roman"/>
          <w:color w:val="000000"/>
        </w:rPr>
        <w:t>a</w:t>
      </w:r>
      <w:r w:rsidRPr="00797F18">
        <w:rPr>
          <w:color w:val="000000"/>
          <w:shd w:val="clear" w:color="auto" w:fill="FFFFFF"/>
        </w:rPr>
        <w:t xml:space="preserve"> </w:t>
      </w:r>
      <w:r w:rsidRPr="00797F18">
        <w:rPr>
          <w:color w:val="000000"/>
          <w:shd w:val="clear" w:color="auto" w:fill="FFFFFF"/>
        </w:rPr>
        <w:lastRenderedPageBreak/>
        <w:t>Cytation 1 Cell Imaging Multi-Mode Reader (Biotek, Winooski, VT, USA) by measuring the absorbance at 260 nm (A</w:t>
      </w:r>
      <w:r w:rsidRPr="00797F18">
        <w:rPr>
          <w:color w:val="000000"/>
          <w:shd w:val="clear" w:color="auto" w:fill="FFFFFF"/>
          <w:vertAlign w:val="subscript"/>
        </w:rPr>
        <w:t>260</w:t>
      </w:r>
      <w:r w:rsidRPr="00797F18">
        <w:rPr>
          <w:color w:val="000000"/>
          <w:shd w:val="clear" w:color="auto" w:fill="FFFFFF"/>
        </w:rPr>
        <w:t>). The purity was assessed by the A</w:t>
      </w:r>
      <w:r w:rsidRPr="00797F18">
        <w:rPr>
          <w:color w:val="000000"/>
          <w:shd w:val="clear" w:color="auto" w:fill="FFFFFF"/>
          <w:vertAlign w:val="subscript"/>
        </w:rPr>
        <w:t>260</w:t>
      </w:r>
      <w:r w:rsidRPr="00797F18">
        <w:rPr>
          <w:color w:val="000000"/>
          <w:shd w:val="clear" w:color="auto" w:fill="FFFFFF"/>
        </w:rPr>
        <w:t>/A</w:t>
      </w:r>
      <w:r w:rsidRPr="00797F18">
        <w:rPr>
          <w:color w:val="000000"/>
          <w:shd w:val="clear" w:color="auto" w:fill="FFFFFF"/>
          <w:vertAlign w:val="subscript"/>
        </w:rPr>
        <w:t>280</w:t>
      </w:r>
      <w:r w:rsidRPr="00797F18">
        <w:rPr>
          <w:color w:val="000000"/>
          <w:shd w:val="clear" w:color="auto" w:fill="FFFFFF"/>
        </w:rPr>
        <w:t xml:space="preserve"> ratio.</w:t>
      </w:r>
    </w:p>
    <w:p w14:paraId="5290C182" w14:textId="63DD5AC8" w:rsidR="00CB326C" w:rsidRPr="00797F18" w:rsidRDefault="002B32BB" w:rsidP="007E046E">
      <w:pPr>
        <w:spacing w:line="480" w:lineRule="auto"/>
        <w:jc w:val="both"/>
        <w:rPr>
          <w:rFonts w:ascii="Calibri" w:eastAsia="Times New Roman" w:hAnsi="Calibri" w:cs="Calibri"/>
          <w:lang w:eastAsia="en-GB"/>
        </w:rPr>
      </w:pPr>
      <w:r w:rsidRPr="00797F18">
        <w:t xml:space="preserve">Reverse transcription of 1000 ng </w:t>
      </w:r>
      <w:r w:rsidRPr="00797F18">
        <w:rPr>
          <w:rFonts w:ascii="Calibri" w:eastAsia="Calibri" w:hAnsi="Calibri" w:cs="Times New Roman"/>
        </w:rPr>
        <w:t xml:space="preserve">of </w:t>
      </w:r>
      <w:r w:rsidRPr="00797F18">
        <w:t xml:space="preserve">total RNA into cDNA was performed using </w:t>
      </w:r>
      <w:r w:rsidRPr="00797F18">
        <w:rPr>
          <w:rFonts w:ascii="Calibri" w:eastAsia="Calibri" w:hAnsi="Calibri" w:cs="Times New Roman"/>
        </w:rPr>
        <w:t xml:space="preserve">the </w:t>
      </w:r>
      <w:r w:rsidRPr="00797F18">
        <w:rPr>
          <w:color w:val="000000"/>
          <w:shd w:val="clear" w:color="auto" w:fill="FFFFFF"/>
        </w:rPr>
        <w:t>SuperScript VILO cDNA Synthesis Kit (</w:t>
      </w:r>
      <w:bookmarkStart w:id="4" w:name="_Hlk119516691"/>
      <w:r w:rsidRPr="00797F18">
        <w:rPr>
          <w:color w:val="000000"/>
          <w:shd w:val="clear" w:color="auto" w:fill="FFFFFF"/>
        </w:rPr>
        <w:t>Invitrogen, Thermo Fisher Scientific</w:t>
      </w:r>
      <w:bookmarkEnd w:id="4"/>
      <w:r w:rsidRPr="00797F18">
        <w:rPr>
          <w:color w:val="000000"/>
          <w:shd w:val="clear" w:color="auto" w:fill="FFFFFF"/>
        </w:rPr>
        <w:t xml:space="preserve">) </w:t>
      </w:r>
      <w:r w:rsidRPr="00797F18">
        <w:rPr>
          <w:rFonts w:ascii="Calibri" w:eastAsia="Calibri" w:hAnsi="Calibri" w:cs="Times New Roman"/>
          <w:color w:val="000000"/>
        </w:rPr>
        <w:t>according to the</w:t>
      </w:r>
      <w:r w:rsidRPr="00797F18">
        <w:rPr>
          <w:color w:val="000000"/>
          <w:shd w:val="clear" w:color="auto" w:fill="FFFFFF"/>
        </w:rPr>
        <w:t xml:space="preserve"> manufacturer’s instructions. For </w:t>
      </w:r>
      <w:r w:rsidRPr="00797F18">
        <w:rPr>
          <w:rFonts w:ascii="Calibri" w:eastAsia="Calibri" w:hAnsi="Calibri" w:cs="Times New Roman"/>
          <w:color w:val="000000"/>
          <w:shd w:val="clear" w:color="auto" w:fill="FFFFFF"/>
        </w:rPr>
        <w:t>qRT‒PCR</w:t>
      </w:r>
      <w:r w:rsidRPr="00797F18">
        <w:rPr>
          <w:color w:val="000000"/>
          <w:shd w:val="clear" w:color="auto" w:fill="FFFFFF"/>
        </w:rPr>
        <w:t xml:space="preserve">, 10 ng of cDNA was mixed with PowerUp™ SYBR™ Green Master Mix and a set of forward and reverse primers for E6 (F-GACCCAGAAAGTTACCACAGTT, R-GTTGCTTGCAGTACACACATTC), E7 (F-TCAGAGGAGGAGGATGAAATAGA, R-GCACAACCGAAGCGTAGA), GAPDH (F-TTCACCACCATGGAGAAGGC, R-GGCATGGACTGTGGTCATGA), or β-actin genes (F-GAAGTGTGACGTTGACATCC, R-ACTCATCGTACTCCTGCTTG) in a final reaction volume of 20 µL. The reactions were run in </w:t>
      </w:r>
      <w:r w:rsidRPr="00797F18">
        <w:rPr>
          <w:rFonts w:ascii="Calibri" w:eastAsia="Calibri" w:hAnsi="Calibri" w:cs="Times New Roman"/>
          <w:color w:val="000000"/>
        </w:rPr>
        <w:t>duplicate</w:t>
      </w:r>
      <w:r w:rsidRPr="00797F18">
        <w:rPr>
          <w:color w:val="000000"/>
          <w:shd w:val="clear" w:color="auto" w:fill="FFFFFF"/>
        </w:rPr>
        <w:t xml:space="preserve"> on</w:t>
      </w:r>
      <w:r w:rsidRPr="00797F18">
        <w:rPr>
          <w:rFonts w:ascii="Calibri" w:eastAsia="Calibri" w:hAnsi="Calibri" w:cs="Times New Roman"/>
          <w:color w:val="000000"/>
          <w:shd w:val="clear" w:color="auto" w:fill="FFFFFF"/>
        </w:rPr>
        <w:t xml:space="preserve"> </w:t>
      </w:r>
      <w:r w:rsidRPr="00797F18">
        <w:rPr>
          <w:rFonts w:ascii="Calibri" w:eastAsia="Calibri" w:hAnsi="Calibri" w:cs="Times New Roman"/>
          <w:color w:val="000000"/>
        </w:rPr>
        <w:t>a</w:t>
      </w:r>
      <w:r w:rsidRPr="00797F18">
        <w:rPr>
          <w:color w:val="000000"/>
          <w:shd w:val="clear" w:color="auto" w:fill="FFFFFF"/>
        </w:rPr>
        <w:t xml:space="preserve"> </w:t>
      </w:r>
      <w:proofErr w:type="spellStart"/>
      <w:r w:rsidRPr="00797F18">
        <w:rPr>
          <w:color w:val="000000"/>
          <w:shd w:val="clear" w:color="auto" w:fill="FFFFFF"/>
        </w:rPr>
        <w:t>QuantStudio</w:t>
      </w:r>
      <w:proofErr w:type="spellEnd"/>
      <w:r w:rsidRPr="00797F18">
        <w:rPr>
          <w:color w:val="000000"/>
          <w:shd w:val="clear" w:color="auto" w:fill="FFFFFF"/>
        </w:rPr>
        <w:t>™ 3 Real-Time PCR System. The cycling conditions were as follows: 2 min at 50 °C, 2 min denaturation at 95 °C, 40 cycles of 15 s at 95 °C and 1 min at 60 °C, and for melting curve determination</w:t>
      </w:r>
      <w:r w:rsidRPr="00797F18">
        <w:rPr>
          <w:rFonts w:ascii="Calibri" w:eastAsia="Calibri" w:hAnsi="Calibri" w:cs="Times New Roman"/>
          <w:color w:val="000000"/>
        </w:rPr>
        <w:t>,</w:t>
      </w:r>
      <w:r w:rsidRPr="00797F18">
        <w:rPr>
          <w:color w:val="000000"/>
          <w:shd w:val="clear" w:color="auto" w:fill="FFFFFF"/>
        </w:rPr>
        <w:t xml:space="preserve"> 15 s at 95 °C, 1 min at 60 °C, and 15 s at </w:t>
      </w:r>
      <w:r w:rsidRPr="00797F18">
        <w:rPr>
          <w:rFonts w:ascii="Calibri" w:eastAsia="Calibri" w:hAnsi="Calibri" w:cs="Times New Roman"/>
          <w:color w:val="000000"/>
        </w:rPr>
        <w:t>95 °C</w:t>
      </w:r>
      <w:r w:rsidRPr="00797F18">
        <w:rPr>
          <w:color w:val="000000"/>
          <w:shd w:val="clear" w:color="auto" w:fill="FFFFFF"/>
        </w:rPr>
        <w:t xml:space="preserve">. The analysis was </w:t>
      </w:r>
      <w:r w:rsidRPr="00797F18">
        <w:rPr>
          <w:rFonts w:ascii="Calibri" w:eastAsia="Calibri" w:hAnsi="Calibri" w:cs="Times New Roman"/>
          <w:color w:val="000000"/>
        </w:rPr>
        <w:t>performed</w:t>
      </w:r>
      <w:r w:rsidRPr="00797F18">
        <w:rPr>
          <w:color w:val="000000"/>
          <w:shd w:val="clear" w:color="auto" w:fill="FFFFFF"/>
        </w:rPr>
        <w:t xml:space="preserve"> by normalizing the expression of genes of interest (E6 and E7) to the average of the housekeeping genes (GAPDH and β-actin) using the ΔCt method. A gene was annotated as </w:t>
      </w:r>
      <w:r w:rsidRPr="00797F18">
        <w:rPr>
          <w:rFonts w:ascii="Calibri" w:eastAsia="Calibri" w:hAnsi="Calibri" w:cs="Times New Roman"/>
          <w:color w:val="000000"/>
        </w:rPr>
        <w:t>nondetermined</w:t>
      </w:r>
      <w:r w:rsidRPr="00797F18">
        <w:rPr>
          <w:color w:val="000000"/>
          <w:shd w:val="clear" w:color="auto" w:fill="FFFFFF"/>
        </w:rPr>
        <w:t xml:space="preserve"> (N.D.) when the Ct value was above the 35</w:t>
      </w:r>
      <w:r w:rsidRPr="00797F18">
        <w:rPr>
          <w:color w:val="000000"/>
          <w:shd w:val="clear" w:color="auto" w:fill="FFFFFF"/>
          <w:vertAlign w:val="superscript"/>
        </w:rPr>
        <w:t>th</w:t>
      </w:r>
      <w:r w:rsidRPr="00797F18">
        <w:rPr>
          <w:color w:val="000000"/>
          <w:shd w:val="clear" w:color="auto" w:fill="FFFFFF"/>
        </w:rPr>
        <w:t xml:space="preserve"> cycle.</w:t>
      </w:r>
    </w:p>
    <w:p w14:paraId="165C749E" w14:textId="77777777" w:rsidR="00CB326C" w:rsidRPr="00797F18" w:rsidRDefault="002B32BB" w:rsidP="007E046E">
      <w:pPr>
        <w:pStyle w:val="Heading2"/>
        <w:spacing w:line="480" w:lineRule="auto"/>
      </w:pPr>
      <w:r w:rsidRPr="00797F18">
        <w:t>Immunofluorescence staining of cytospins</w:t>
      </w:r>
    </w:p>
    <w:p w14:paraId="39A9B981" w14:textId="260AF13F" w:rsidR="00CB326C" w:rsidRPr="00797F18" w:rsidRDefault="002B32BB" w:rsidP="007E046E">
      <w:pPr>
        <w:spacing w:line="480" w:lineRule="auto"/>
        <w:jc w:val="both"/>
      </w:pPr>
      <w:r w:rsidRPr="00797F18">
        <w:t xml:space="preserve">To confirm the expression of E6 and E7 in MOC1-HPV cell lines </w:t>
      </w:r>
      <w:r w:rsidRPr="00797F18">
        <w:rPr>
          <w:rFonts w:ascii="Calibri" w:eastAsia="Calibri" w:hAnsi="Calibri" w:cs="Times New Roman"/>
        </w:rPr>
        <w:t>at</w:t>
      </w:r>
      <w:r w:rsidRPr="00797F18">
        <w:t xml:space="preserve"> the protein level, immunofluorescence staining of cytospins was used. Cytospins were prepared using a cytocentrifuge (Thermo Scientific Shandon Cytospin R 4 Cytocentrifuge, Waltham, MA, USA) by centrifugation at 700 rpm for 4 min at room temperature (RT), followed by methanol fixation. Cytospins were then stained with primary and secondary antibodies in a humidified, light-protected chamber. Briefly, cytospins were washed in PBS and permeabilized and blocked in block/perm buffer (PBS with 5% donkey serum (VWR), 0.5% Triton X100 (Thermo Fisher Scientific), and 22.52 mg/mL glycine (Sigma Aldrich)) for 30 min. </w:t>
      </w:r>
      <w:r w:rsidR="00EE3997">
        <w:t>Then</w:t>
      </w:r>
      <w:r w:rsidRPr="00797F18">
        <w:t xml:space="preserve">, </w:t>
      </w:r>
      <w:proofErr w:type="spellStart"/>
      <w:r w:rsidRPr="00797F18">
        <w:t>cytospins</w:t>
      </w:r>
      <w:proofErr w:type="spellEnd"/>
      <w:r w:rsidRPr="00797F18">
        <w:t xml:space="preserve"> were washed and blocked in blocking buffer (PBS with 2% donkey serum and 22.52 mg/mL glycine) for 1 h. Samples were incubated with E6 or E7 primary antibodies (rabbit anti-</w:t>
      </w:r>
      <w:r w:rsidRPr="00797F18">
        <w:lastRenderedPageBreak/>
        <w:t xml:space="preserve">HPV-16 E6, rabbit anti-HPV-18 E7, </w:t>
      </w:r>
      <w:r w:rsidRPr="00797F18">
        <w:rPr>
          <w:color w:val="000000"/>
          <w:shd w:val="clear" w:color="auto" w:fill="FFFFFF"/>
        </w:rPr>
        <w:t>Thermo Fisher Scientific</w:t>
      </w:r>
      <w:r w:rsidRPr="00797F18">
        <w:t>) diluted 1:200 in blocking buffer overnight at 4 °C. The next day, cytospins were washed</w:t>
      </w:r>
      <w:r w:rsidRPr="00797F18">
        <w:rPr>
          <w:rFonts w:ascii="Calibri" w:eastAsia="Calibri" w:hAnsi="Calibri" w:cs="Times New Roman"/>
        </w:rPr>
        <w:t xml:space="preserve"> three times</w:t>
      </w:r>
      <w:r w:rsidRPr="00797F18">
        <w:t xml:space="preserve"> with PBS and incubated with secondary antibody (donkey-anti rabbit Alexa Fluor 488, Jackson </w:t>
      </w:r>
      <w:r w:rsidRPr="00797F18">
        <w:rPr>
          <w:rFonts w:ascii="Calibri" w:eastAsia="Calibri" w:hAnsi="Calibri" w:cs="Times New Roman"/>
        </w:rPr>
        <w:t xml:space="preserve">ImmunoResearch </w:t>
      </w:r>
      <w:r w:rsidRPr="00797F18">
        <w:t xml:space="preserve">Labs, PA, USA) diluted 1:500 in PBS for 1 h at RT. Next, slides were washed </w:t>
      </w:r>
      <w:r w:rsidRPr="00797F18">
        <w:rPr>
          <w:rFonts w:ascii="Calibri" w:eastAsia="Calibri" w:hAnsi="Calibri" w:cs="Times New Roman"/>
        </w:rPr>
        <w:t>three times</w:t>
      </w:r>
      <w:r w:rsidRPr="00797F18">
        <w:t xml:space="preserve"> in PBS and incubated with Hoechst 33342 solution (3 µg/mL in PBS, Thermo Fisher Scientific) for 10 min. After washing again </w:t>
      </w:r>
      <w:r w:rsidRPr="00797F18">
        <w:rPr>
          <w:rFonts w:ascii="Calibri" w:eastAsia="Calibri" w:hAnsi="Calibri" w:cs="Times New Roman"/>
        </w:rPr>
        <w:t>three times</w:t>
      </w:r>
      <w:r w:rsidRPr="00797F18">
        <w:t xml:space="preserve"> with PBS, cytospins were mounted with Prolong Glass Antifade Mountant (Thermo Fisher Scientific). Immunofluorescently stained cytospins were imaged using </w:t>
      </w:r>
      <w:r w:rsidRPr="00797F18">
        <w:rPr>
          <w:rFonts w:ascii="Calibri" w:eastAsia="Calibri" w:hAnsi="Calibri" w:cs="Times New Roman"/>
        </w:rPr>
        <w:t xml:space="preserve">an </w:t>
      </w:r>
      <w:r w:rsidRPr="00797F18">
        <w:t xml:space="preserve">LSM800 confocal microscope (Carl Zeiss, Oberkochen, Germany) under </w:t>
      </w:r>
      <w:r w:rsidRPr="00797F18">
        <w:rPr>
          <w:rFonts w:ascii="Calibri" w:eastAsia="Calibri" w:hAnsi="Calibri" w:cs="Times New Roman"/>
        </w:rPr>
        <w:t xml:space="preserve">a </w:t>
      </w:r>
      <w:r w:rsidRPr="00797F18">
        <w:t xml:space="preserve">63x objective (NA 1.4) using lasers with excitation wavelengths of 405 nm and 488 nm for Hoechst and Alexa Fluor 488, respectively. Emitted light was captured with </w:t>
      </w:r>
      <w:r w:rsidRPr="00797F18">
        <w:rPr>
          <w:rFonts w:ascii="Calibri" w:eastAsia="Calibri" w:hAnsi="Calibri" w:cs="Times New Roman"/>
        </w:rPr>
        <w:t>a gallium arsenide phosphide</w:t>
      </w:r>
      <w:r w:rsidRPr="00797F18">
        <w:t xml:space="preserve"> (</w:t>
      </w:r>
      <w:proofErr w:type="spellStart"/>
      <w:r w:rsidRPr="00797F18">
        <w:t>GaAsP</w:t>
      </w:r>
      <w:proofErr w:type="spellEnd"/>
      <w:r w:rsidRPr="00797F18">
        <w:t>) detector through variable dichroic and filters at channel</w:t>
      </w:r>
      <w:r w:rsidRPr="00797F18">
        <w:rPr>
          <w:rFonts w:ascii="Calibri" w:eastAsia="Calibri" w:hAnsi="Calibri" w:cs="Times New Roman"/>
        </w:rPr>
        <w:t>-</w:t>
      </w:r>
      <w:r w:rsidRPr="00797F18">
        <w:t>specific wavelengths: 410–545 nm for Hoechst 33342 and 488–545 nm for Alexa Fluor 488. Images were analyzed with Imaris software (Oxford Instruments, Oxford, United Kingdom).</w:t>
      </w:r>
    </w:p>
    <w:p w14:paraId="3F3E64E7" w14:textId="77777777" w:rsidR="00CB326C" w:rsidRPr="00797F18" w:rsidRDefault="002B32BB" w:rsidP="007E046E">
      <w:pPr>
        <w:pStyle w:val="Heading2"/>
        <w:spacing w:line="480" w:lineRule="auto"/>
      </w:pPr>
      <w:r w:rsidRPr="00797F18">
        <w:t>Cell morphology</w:t>
      </w:r>
    </w:p>
    <w:p w14:paraId="57B1BFFE" w14:textId="70E4F51C" w:rsidR="00CB326C" w:rsidRPr="00797F18" w:rsidRDefault="002B32BB" w:rsidP="007E046E">
      <w:pPr>
        <w:spacing w:line="480" w:lineRule="auto"/>
        <w:jc w:val="both"/>
      </w:pPr>
      <w:r w:rsidRPr="00797F18">
        <w:t xml:space="preserve">To better observe the morphology of the attached cells, </w:t>
      </w:r>
      <w:r w:rsidRPr="00797F18">
        <w:rPr>
          <w:rFonts w:ascii="Calibri" w:eastAsia="Calibri" w:hAnsi="Calibri" w:cs="Times New Roman"/>
        </w:rPr>
        <w:t xml:space="preserve">the </w:t>
      </w:r>
      <w:r w:rsidRPr="00797F18">
        <w:t xml:space="preserve">cell membrane was stained with wheat germ agglutinin (WGA, Thermo Fisher Scientific), and nuclei were </w:t>
      </w:r>
      <w:r w:rsidRPr="00797F18">
        <w:rPr>
          <w:rFonts w:ascii="Calibri" w:eastAsia="Calibri" w:hAnsi="Calibri" w:cs="Times New Roman"/>
        </w:rPr>
        <w:t>counterstained</w:t>
      </w:r>
      <w:r w:rsidRPr="00797F18">
        <w:t xml:space="preserve"> with Hoechst 33342 solution. Briefly, the day before staining</w:t>
      </w:r>
      <w:r w:rsidRPr="00797F18">
        <w:rPr>
          <w:rFonts w:ascii="Calibri" w:eastAsia="Calibri" w:hAnsi="Calibri" w:cs="Times New Roman"/>
        </w:rPr>
        <w:t>,</w:t>
      </w:r>
      <w:r w:rsidRPr="00797F18">
        <w:t xml:space="preserve"> 1×10</w:t>
      </w:r>
      <w:r w:rsidRPr="00797F18">
        <w:rPr>
          <w:vertAlign w:val="superscript"/>
        </w:rPr>
        <w:t>4</w:t>
      </w:r>
      <w:r w:rsidRPr="00797F18">
        <w:t xml:space="preserve"> cells were seeded into each well of a 12-well chamber slide (Ibidi</w:t>
      </w:r>
      <w:bookmarkStart w:id="5" w:name="_Hlk119565647"/>
      <w:r w:rsidRPr="00797F18">
        <w:t>, Gräfelfing, Germany)</w:t>
      </w:r>
      <w:bookmarkEnd w:id="5"/>
      <w:r w:rsidRPr="00797F18">
        <w:t>. The next day</w:t>
      </w:r>
      <w:r w:rsidRPr="00797F18">
        <w:rPr>
          <w:rFonts w:ascii="Calibri" w:eastAsia="Calibri" w:hAnsi="Calibri" w:cs="Times New Roman"/>
        </w:rPr>
        <w:t>,</w:t>
      </w:r>
      <w:r w:rsidRPr="00797F18">
        <w:t xml:space="preserve"> the cells were washed in HBSS containing Ca</w:t>
      </w:r>
      <w:r w:rsidRPr="00797F18">
        <w:rPr>
          <w:vertAlign w:val="superscript"/>
        </w:rPr>
        <w:t>2+</w:t>
      </w:r>
      <w:r w:rsidRPr="00797F18">
        <w:t xml:space="preserve"> and Mg</w:t>
      </w:r>
      <w:r w:rsidRPr="00797F18">
        <w:rPr>
          <w:vertAlign w:val="superscript"/>
        </w:rPr>
        <w:t>2+</w:t>
      </w:r>
      <w:r w:rsidRPr="00797F18">
        <w:t xml:space="preserve"> for 5 min at RT. </w:t>
      </w:r>
      <w:r w:rsidR="00322FEC">
        <w:t>Then, c</w:t>
      </w:r>
      <w:r w:rsidRPr="00797F18">
        <w:t xml:space="preserve">ells were fixed with 200 µL 4% paraformaldehyde (PFA; VWR) for 15 min at 37 °C and washed </w:t>
      </w:r>
      <w:r w:rsidRPr="00797F18">
        <w:rPr>
          <w:rFonts w:ascii="Calibri" w:eastAsia="Calibri" w:hAnsi="Calibri" w:cs="Times New Roman"/>
        </w:rPr>
        <w:t>three times</w:t>
      </w:r>
      <w:r w:rsidRPr="00797F18">
        <w:t xml:space="preserve"> in 200 µL </w:t>
      </w:r>
      <w:r w:rsidR="00DE58C8">
        <w:t xml:space="preserve">of </w:t>
      </w:r>
      <w:r w:rsidRPr="00797F18">
        <w:t>HBSS for 5 min at RT. To label the cell membranes, 200 µL of 1 µg/mL Alexa Fluor 647</w:t>
      </w:r>
      <w:r w:rsidRPr="00797F18">
        <w:rPr>
          <w:rFonts w:ascii="Calibri" w:eastAsia="Calibri" w:hAnsi="Calibri" w:cs="Times New Roman"/>
        </w:rPr>
        <w:t>-</w:t>
      </w:r>
      <w:r w:rsidRPr="00797F18">
        <w:t>labeled WGA solution was added to the cells for 10 min at RT. After incubation,</w:t>
      </w:r>
      <w:r w:rsidRPr="00797F18">
        <w:rPr>
          <w:rFonts w:ascii="Calibri" w:eastAsia="Calibri" w:hAnsi="Calibri" w:cs="Times New Roman"/>
        </w:rPr>
        <w:t xml:space="preserve"> the</w:t>
      </w:r>
      <w:r w:rsidRPr="00797F18">
        <w:t xml:space="preserve"> cells were washed twice with HBSS, and nuclei were counterstained with 3 µg/mL Hoechst 33342 pentahydrate for 10 min at RT. After washing with PBS, slides were mounted using ProLong™ Glass Antifade Mountant. Slides were imaged using </w:t>
      </w:r>
      <w:r w:rsidRPr="00797F18">
        <w:rPr>
          <w:rFonts w:ascii="Calibri" w:eastAsia="Calibri" w:hAnsi="Calibri" w:cs="Times New Roman"/>
        </w:rPr>
        <w:t xml:space="preserve">an </w:t>
      </w:r>
      <w:r w:rsidRPr="00797F18">
        <w:t xml:space="preserve">LSM800 confocal microscope under </w:t>
      </w:r>
      <w:r w:rsidRPr="00797F18">
        <w:rPr>
          <w:rFonts w:ascii="Calibri" w:eastAsia="Calibri" w:hAnsi="Calibri" w:cs="Times New Roman"/>
        </w:rPr>
        <w:t xml:space="preserve">a </w:t>
      </w:r>
      <w:r w:rsidRPr="00797F18">
        <w:t xml:space="preserve">20x objective (NA 0.8). Hoechst 33342 and Alexa Fluor 647 were excited using lasers with excitation wavelengths of 405 nm and 640 nm, respectively. Emitted light was </w:t>
      </w:r>
      <w:r w:rsidRPr="00797F18">
        <w:rPr>
          <w:rFonts w:ascii="Calibri" w:eastAsia="Calibri" w:hAnsi="Calibri" w:cs="Times New Roman"/>
        </w:rPr>
        <w:t>captured</w:t>
      </w:r>
      <w:r w:rsidRPr="00797F18">
        <w:t xml:space="preserve"> with</w:t>
      </w:r>
      <w:r w:rsidRPr="00797F18">
        <w:rPr>
          <w:rFonts w:ascii="Calibri" w:eastAsia="Calibri" w:hAnsi="Calibri" w:cs="Times New Roman"/>
        </w:rPr>
        <w:t xml:space="preserve"> a</w:t>
      </w:r>
      <w:r w:rsidRPr="00797F18">
        <w:t xml:space="preserve"> </w:t>
      </w:r>
      <w:proofErr w:type="spellStart"/>
      <w:r w:rsidRPr="00797F18">
        <w:t>GaAsP</w:t>
      </w:r>
      <w:proofErr w:type="spellEnd"/>
      <w:r w:rsidRPr="00797F18">
        <w:t xml:space="preserve"> detector through a variable </w:t>
      </w:r>
      <w:r w:rsidRPr="00797F18">
        <w:lastRenderedPageBreak/>
        <w:t>dichroic and filters at channel</w:t>
      </w:r>
      <w:r w:rsidRPr="00797F18">
        <w:rPr>
          <w:rFonts w:ascii="Calibri" w:eastAsia="Calibri" w:hAnsi="Calibri" w:cs="Times New Roman"/>
        </w:rPr>
        <w:t>-</w:t>
      </w:r>
      <w:r w:rsidRPr="00797F18">
        <w:t>specific wavelengths: 410–545 nm for Hoechst 33342 and 645–700 nm for Alexa Fluor 647.</w:t>
      </w:r>
    </w:p>
    <w:p w14:paraId="591F5774" w14:textId="074E808F" w:rsidR="00CB326C" w:rsidRPr="00797F18" w:rsidRDefault="002B32BB" w:rsidP="007E046E">
      <w:pPr>
        <w:spacing w:line="480" w:lineRule="auto"/>
        <w:jc w:val="both"/>
      </w:pPr>
      <w:r w:rsidRPr="00797F18">
        <w:t xml:space="preserve">To determine the size of adherent cells, the largest diameter of every cell was measured on immunofluorescence (IF) images using </w:t>
      </w:r>
      <w:r w:rsidRPr="00797F18">
        <w:rPr>
          <w:rFonts w:ascii="Calibri" w:eastAsia="Calibri" w:hAnsi="Calibri" w:cs="Times New Roman"/>
        </w:rPr>
        <w:t xml:space="preserve">the </w:t>
      </w:r>
      <w:r w:rsidRPr="00797F18">
        <w:t>Fiji image processing package of ImageJ</w:t>
      </w:r>
      <w:r w:rsidR="00356338">
        <w:t xml:space="preserve"> [1]</w:t>
      </w:r>
      <w:r w:rsidRPr="00797F18">
        <w:t>. To assess the size of cells in suspension, cells were trypsinized, centrifuged and resuspended in MOC1 medium. The size of the cells was determined using</w:t>
      </w:r>
      <w:r w:rsidRPr="00797F18">
        <w:rPr>
          <w:rFonts w:ascii="Calibri" w:eastAsia="Calibri" w:hAnsi="Calibri" w:cs="Times New Roman"/>
        </w:rPr>
        <w:t xml:space="preserve"> a</w:t>
      </w:r>
      <w:r w:rsidRPr="00797F18">
        <w:t xml:space="preserve"> CytoSMART cell counter (CytoSMART Technologies B.V., Eindhoven, The Netherlands).</w:t>
      </w:r>
    </w:p>
    <w:p w14:paraId="226AD15D" w14:textId="77777777" w:rsidR="00CB326C" w:rsidRPr="00797F18" w:rsidRDefault="002B32BB" w:rsidP="007E046E">
      <w:pPr>
        <w:pStyle w:val="Heading2"/>
        <w:spacing w:line="480" w:lineRule="auto"/>
      </w:pPr>
      <w:r w:rsidRPr="00797F18">
        <w:t>Cell proliferation assay</w:t>
      </w:r>
    </w:p>
    <w:p w14:paraId="76EE968D" w14:textId="1A9C164E" w:rsidR="00CB326C" w:rsidRPr="00797F18" w:rsidRDefault="002B32BB" w:rsidP="007E046E">
      <w:pPr>
        <w:spacing w:line="480" w:lineRule="auto"/>
        <w:jc w:val="both"/>
        <w:rPr>
          <w:color w:val="000000"/>
          <w:shd w:val="clear" w:color="auto" w:fill="FFFFFF"/>
        </w:rPr>
      </w:pPr>
      <w:r w:rsidRPr="00797F18">
        <w:t xml:space="preserve">To determine the proliferation kinetics of the cell lines, 500 MOC1, MOC1-HPV K1, or MOC1-HPV K3 cells in 100 µL of MOC1 cell line medium were seeded per well of a 96-well plate and allowed to attach for 3 h. Afterward, 10 µL of PrestoBlue™ Cell Viability Reagent </w:t>
      </w:r>
      <w:r w:rsidRPr="00797F18">
        <w:rPr>
          <w:color w:val="000000"/>
          <w:shd w:val="clear" w:color="auto" w:fill="FFFFFF"/>
        </w:rPr>
        <w:t xml:space="preserve">(Invitrogen) </w:t>
      </w:r>
      <w:r w:rsidRPr="00797F18">
        <w:t xml:space="preserve">was added to the cells. After 90 min </w:t>
      </w:r>
      <w:r w:rsidRPr="00797F18">
        <w:rPr>
          <w:rFonts w:ascii="Calibri" w:eastAsia="Calibri" w:hAnsi="Calibri" w:cs="Times New Roman"/>
        </w:rPr>
        <w:t xml:space="preserve">of </w:t>
      </w:r>
      <w:r w:rsidRPr="00797F18">
        <w:t xml:space="preserve">incubation, the fluorescence intensity was measured on a </w:t>
      </w:r>
      <w:r w:rsidRPr="00797F18">
        <w:rPr>
          <w:color w:val="000000"/>
          <w:shd w:val="clear" w:color="auto" w:fill="FFFFFF"/>
        </w:rPr>
        <w:t xml:space="preserve">Cytation 1 Cell Imaging Multi-Mode Reader using 530/25 excitation and 590/35 emission </w:t>
      </w:r>
      <w:r w:rsidRPr="00797F18">
        <w:rPr>
          <w:rFonts w:ascii="Calibri" w:eastAsia="Calibri" w:hAnsi="Calibri" w:cs="Times New Roman"/>
          <w:color w:val="000000"/>
        </w:rPr>
        <w:t>filters</w:t>
      </w:r>
      <w:r w:rsidRPr="00797F18">
        <w:rPr>
          <w:color w:val="000000"/>
          <w:shd w:val="clear" w:color="auto" w:fill="FFFFFF"/>
        </w:rPr>
        <w:t xml:space="preserve">. The assay was repeated every 24 </w:t>
      </w:r>
      <w:r w:rsidRPr="00797F18">
        <w:rPr>
          <w:rFonts w:ascii="Calibri" w:eastAsia="Calibri" w:hAnsi="Calibri" w:cs="Times New Roman"/>
          <w:color w:val="000000"/>
        </w:rPr>
        <w:t>h</w:t>
      </w:r>
      <w:r w:rsidRPr="00797F18">
        <w:rPr>
          <w:color w:val="000000"/>
          <w:shd w:val="clear" w:color="auto" w:fill="FFFFFF"/>
        </w:rPr>
        <w:t xml:space="preserve"> until 96 h </w:t>
      </w:r>
      <w:proofErr w:type="spellStart"/>
      <w:r w:rsidRPr="00797F18">
        <w:rPr>
          <w:rFonts w:ascii="Calibri" w:eastAsia="Calibri" w:hAnsi="Calibri" w:cs="Times New Roman"/>
          <w:color w:val="000000"/>
        </w:rPr>
        <w:t>postseeding</w:t>
      </w:r>
      <w:proofErr w:type="spellEnd"/>
      <w:r w:rsidRPr="00797F18">
        <w:rPr>
          <w:rFonts w:ascii="Calibri" w:eastAsia="Calibri" w:hAnsi="Calibri" w:cs="Times New Roman"/>
          <w:color w:val="000000"/>
        </w:rPr>
        <w:t>. The results</w:t>
      </w:r>
      <w:r w:rsidRPr="00797F18">
        <w:rPr>
          <w:color w:val="000000"/>
          <w:shd w:val="clear" w:color="auto" w:fill="FFFFFF"/>
        </w:rPr>
        <w:t xml:space="preserve"> from each time point were normalized to the first time point.</w:t>
      </w:r>
    </w:p>
    <w:p w14:paraId="3A12A126" w14:textId="77777777" w:rsidR="00CB326C" w:rsidRPr="00797F18" w:rsidRDefault="002B32BB" w:rsidP="007E046E">
      <w:pPr>
        <w:pStyle w:val="Heading2"/>
        <w:spacing w:line="480" w:lineRule="auto"/>
      </w:pPr>
      <w:r w:rsidRPr="00797F18">
        <w:t>Wound healing assay</w:t>
      </w:r>
    </w:p>
    <w:p w14:paraId="77BD0771" w14:textId="6E5E619C" w:rsidR="00CB326C" w:rsidRPr="00797F18" w:rsidRDefault="002B32BB" w:rsidP="007E046E">
      <w:pPr>
        <w:spacing w:line="480" w:lineRule="auto"/>
        <w:jc w:val="both"/>
        <w:rPr>
          <w:color w:val="000000"/>
          <w:shd w:val="clear" w:color="auto" w:fill="FFFFFF"/>
        </w:rPr>
      </w:pPr>
      <w:r w:rsidRPr="00797F18">
        <w:t>To determine the migrational properties of the cell lines</w:t>
      </w:r>
      <w:r w:rsidRPr="00797F18">
        <w:rPr>
          <w:rFonts w:ascii="Calibri" w:eastAsia="Calibri" w:hAnsi="Calibri" w:cs="Times New Roman"/>
        </w:rPr>
        <w:t>,</w:t>
      </w:r>
      <w:r w:rsidRPr="00797F18">
        <w:t xml:space="preserve"> the wound healing assay was performed using 24-well plates with two</w:t>
      </w:r>
      <w:r w:rsidRPr="00797F18">
        <w:rPr>
          <w:rFonts w:ascii="Calibri" w:eastAsia="Calibri" w:hAnsi="Calibri" w:cs="Times New Roman"/>
        </w:rPr>
        <w:t>-</w:t>
      </w:r>
      <w:r w:rsidRPr="00797F18">
        <w:t xml:space="preserve">well silicone inserts (Ibidi). </w:t>
      </w:r>
      <w:r w:rsidRPr="00797F18">
        <w:rPr>
          <w:rFonts w:ascii="Calibri" w:eastAsia="Calibri" w:hAnsi="Calibri" w:cs="Times New Roman"/>
        </w:rPr>
        <w:t xml:space="preserve">A total of </w:t>
      </w:r>
      <w:r w:rsidRPr="00797F18">
        <w:t>2x10</w:t>
      </w:r>
      <w:r w:rsidRPr="00797F18">
        <w:rPr>
          <w:vertAlign w:val="superscript"/>
        </w:rPr>
        <w:t>4</w:t>
      </w:r>
      <w:r w:rsidRPr="00797F18">
        <w:t xml:space="preserve"> cells were seeded into each chamber of the insert and grown until confluent. Afterward, the inserts were removed to acquire a 500 µm ± 100 µm cell-free gap, and the wells were imaged every hour for 20 h using </w:t>
      </w:r>
      <w:r w:rsidRPr="00797F18">
        <w:rPr>
          <w:rFonts w:ascii="Calibri" w:eastAsia="Calibri" w:hAnsi="Calibri" w:cs="Times New Roman"/>
        </w:rPr>
        <w:t xml:space="preserve">a </w:t>
      </w:r>
      <w:r w:rsidRPr="00797F18">
        <w:rPr>
          <w:color w:val="000000"/>
          <w:shd w:val="clear" w:color="auto" w:fill="FFFFFF"/>
        </w:rPr>
        <w:t>Cytation 1 Cell Imaging Multi-Mode Reader. Wound confluency was calculated at every time point using Gen5 software (BioTek). The wound closure speed was determined from the slope of the linear part of the cell area curve</w:t>
      </w:r>
      <w:r w:rsidRPr="00797F18">
        <w:rPr>
          <w:rFonts w:ascii="Calibri" w:eastAsia="Calibri" w:hAnsi="Calibri" w:cs="Times New Roman"/>
          <w:color w:val="000000"/>
        </w:rPr>
        <w:t>,</w:t>
      </w:r>
      <w:r w:rsidRPr="00797F18">
        <w:rPr>
          <w:color w:val="000000"/>
          <w:shd w:val="clear" w:color="auto" w:fill="FFFFFF"/>
        </w:rPr>
        <w:t xml:space="preserve"> and then the cell front velocity was calculated as </w:t>
      </w:r>
      <w:r w:rsidR="00595F6F">
        <w:rPr>
          <w:color w:val="000000"/>
          <w:shd w:val="clear" w:color="auto" w:fill="FFFFFF"/>
        </w:rPr>
        <w:t xml:space="preserve">previously </w:t>
      </w:r>
      <w:r w:rsidRPr="00797F18">
        <w:rPr>
          <w:color w:val="000000"/>
          <w:shd w:val="clear" w:color="auto" w:fill="FFFFFF"/>
        </w:rPr>
        <w:t>described</w:t>
      </w:r>
      <w:r w:rsidR="00356338">
        <w:rPr>
          <w:color w:val="000000"/>
          <w:shd w:val="clear" w:color="auto" w:fill="FFFFFF"/>
        </w:rPr>
        <w:t xml:space="preserve"> [2]</w:t>
      </w:r>
      <w:r w:rsidRPr="00797F18">
        <w:rPr>
          <w:color w:val="000000"/>
          <w:shd w:val="clear" w:color="auto" w:fill="FFFFFF"/>
        </w:rPr>
        <w:t xml:space="preserve"> using the formula </w:t>
      </w:r>
      <m:oMath>
        <m:sSub>
          <m:sSubPr>
            <m:ctrlPr>
              <w:rPr>
                <w:rFonts w:ascii="Cambria Math" w:hAnsi="Cambria Math" w:cstheme="minorHAnsi"/>
                <w:color w:val="000000"/>
                <w:shd w:val="clear" w:color="auto" w:fill="FFFFFF"/>
              </w:rPr>
            </m:ctrlPr>
          </m:sSubPr>
          <m:e>
            <m:r>
              <m:rPr>
                <m:nor/>
              </m:rPr>
              <w:rPr>
                <w:rFonts w:cstheme="minorHAnsi"/>
                <w:color w:val="000000"/>
                <w:shd w:val="clear" w:color="auto" w:fill="FFFFFF"/>
              </w:rPr>
              <m:t>V</m:t>
            </m:r>
          </m:e>
          <m:sub>
            <m:r>
              <m:rPr>
                <m:nor/>
              </m:rPr>
              <w:rPr>
                <w:rFonts w:cstheme="minorHAnsi"/>
                <w:color w:val="000000"/>
                <w:shd w:val="clear" w:color="auto" w:fill="FFFFFF"/>
              </w:rPr>
              <m:t>mig</m:t>
            </m:r>
          </m:sub>
        </m:sSub>
        <m:r>
          <m:rPr>
            <m:nor/>
          </m:rPr>
          <w:rPr>
            <w:rFonts w:cstheme="minorHAnsi"/>
            <w:color w:val="000000"/>
            <w:shd w:val="clear" w:color="auto" w:fill="FFFFFF"/>
          </w:rPr>
          <m:t>=</m:t>
        </m:r>
        <m:f>
          <m:fPr>
            <m:ctrlPr>
              <w:rPr>
                <w:rFonts w:ascii="Cambria Math" w:hAnsi="Cambria Math" w:cstheme="minorHAnsi"/>
                <w:i/>
                <w:color w:val="000000"/>
                <w:shd w:val="clear" w:color="auto" w:fill="FFFFFF"/>
              </w:rPr>
            </m:ctrlPr>
          </m:fPr>
          <m:num>
            <m:r>
              <m:rPr>
                <m:nor/>
              </m:rPr>
              <w:rPr>
                <w:rFonts w:cstheme="minorHAnsi"/>
                <w:color w:val="000000"/>
                <w:shd w:val="clear" w:color="auto" w:fill="FFFFFF"/>
              </w:rPr>
              <m:t>slope</m:t>
            </m:r>
          </m:num>
          <m:den>
            <m:r>
              <m:rPr>
                <m:nor/>
              </m:rPr>
              <w:rPr>
                <w:rFonts w:cstheme="minorHAnsi"/>
                <w:color w:val="000000"/>
                <w:shd w:val="clear" w:color="auto" w:fill="FFFFFF"/>
              </w:rPr>
              <m:t>2x wound length</m:t>
            </m:r>
          </m:den>
        </m:f>
      </m:oMath>
      <w:r w:rsidRPr="00797F18">
        <w:rPr>
          <w:color w:val="000000"/>
          <w:shd w:val="clear" w:color="auto" w:fill="FFFFFF"/>
        </w:rPr>
        <w:t>.</w:t>
      </w:r>
    </w:p>
    <w:p w14:paraId="29D375AF" w14:textId="77777777" w:rsidR="00CB326C" w:rsidRPr="00797F18" w:rsidRDefault="002B32BB" w:rsidP="007E046E">
      <w:pPr>
        <w:pStyle w:val="Heading2"/>
        <w:spacing w:line="480" w:lineRule="auto"/>
      </w:pPr>
      <w:r w:rsidRPr="00797F18">
        <w:lastRenderedPageBreak/>
        <w:t>RNA sequencing and transcriptome analysis</w:t>
      </w:r>
    </w:p>
    <w:p w14:paraId="30568953" w14:textId="2A1A17D8" w:rsidR="00CB326C" w:rsidRPr="00797F18" w:rsidRDefault="002B32BB" w:rsidP="007E046E">
      <w:pPr>
        <w:spacing w:line="480" w:lineRule="auto"/>
        <w:jc w:val="both"/>
      </w:pPr>
      <w:r w:rsidRPr="00797F18">
        <w:t xml:space="preserve">For transcriptome analysis, total RNA was isolated from four cell passages ranging from p8 to p15 as described above, yielding four biological replicates per cell line. The purity of the isolated RNA was assessed spectrophotometrically using </w:t>
      </w:r>
      <w:r w:rsidRPr="00797F18">
        <w:rPr>
          <w:rFonts w:ascii="Calibri" w:eastAsia="Calibri" w:hAnsi="Calibri" w:cs="Times New Roman"/>
        </w:rPr>
        <w:t xml:space="preserve">the </w:t>
      </w:r>
      <w:r w:rsidRPr="00797F18">
        <w:rPr>
          <w:color w:val="000000"/>
          <w:shd w:val="clear" w:color="auto" w:fill="FFFFFF"/>
        </w:rPr>
        <w:t>A</w:t>
      </w:r>
      <w:r w:rsidRPr="00797F18">
        <w:rPr>
          <w:color w:val="000000"/>
          <w:shd w:val="clear" w:color="auto" w:fill="FFFFFF"/>
          <w:vertAlign w:val="subscript"/>
        </w:rPr>
        <w:t>260</w:t>
      </w:r>
      <w:r w:rsidRPr="00797F18">
        <w:rPr>
          <w:color w:val="000000"/>
          <w:shd w:val="clear" w:color="auto" w:fill="FFFFFF"/>
        </w:rPr>
        <w:t>/A</w:t>
      </w:r>
      <w:r w:rsidRPr="00797F18">
        <w:rPr>
          <w:color w:val="000000"/>
          <w:shd w:val="clear" w:color="auto" w:fill="FFFFFF"/>
          <w:vertAlign w:val="subscript"/>
        </w:rPr>
        <w:t>280</w:t>
      </w:r>
      <w:r w:rsidRPr="00797F18">
        <w:rPr>
          <w:color w:val="000000"/>
          <w:shd w:val="clear" w:color="auto" w:fill="FFFFFF"/>
        </w:rPr>
        <w:t xml:space="preserve"> and A</w:t>
      </w:r>
      <w:r w:rsidRPr="00797F18">
        <w:rPr>
          <w:color w:val="000000"/>
          <w:shd w:val="clear" w:color="auto" w:fill="FFFFFF"/>
          <w:vertAlign w:val="subscript"/>
        </w:rPr>
        <w:t>260</w:t>
      </w:r>
      <w:r w:rsidRPr="00797F18">
        <w:rPr>
          <w:color w:val="000000"/>
          <w:shd w:val="clear" w:color="auto" w:fill="FFFFFF"/>
        </w:rPr>
        <w:t>/A</w:t>
      </w:r>
      <w:r w:rsidRPr="00797F18">
        <w:rPr>
          <w:color w:val="000000"/>
          <w:shd w:val="clear" w:color="auto" w:fill="FFFFFF"/>
          <w:vertAlign w:val="subscript"/>
        </w:rPr>
        <w:t>230</w:t>
      </w:r>
      <w:r w:rsidRPr="00797F18">
        <w:rPr>
          <w:color w:val="000000"/>
          <w:shd w:val="clear" w:color="auto" w:fill="FFFFFF"/>
        </w:rPr>
        <w:t xml:space="preserve"> ratios with </w:t>
      </w:r>
      <w:r w:rsidRPr="00797F18">
        <w:rPr>
          <w:rFonts w:ascii="Calibri" w:eastAsia="Calibri" w:hAnsi="Calibri" w:cs="Times New Roman"/>
          <w:color w:val="000000"/>
        </w:rPr>
        <w:t xml:space="preserve">a </w:t>
      </w:r>
      <w:r w:rsidRPr="00797F18">
        <w:rPr>
          <w:color w:val="000000"/>
          <w:shd w:val="clear" w:color="auto" w:fill="FFFFFF"/>
        </w:rPr>
        <w:t>Cytation 1 Cell Imaging Multi-Mode Reader</w:t>
      </w:r>
      <w:r w:rsidRPr="00797F18">
        <w:t xml:space="preserve">. The quality of the RNA was assessed using the RNA Assay for LabChip® GX Touch (PerkinElmer, </w:t>
      </w:r>
      <w:hyperlink r:id="rId8" w:history="1">
        <w:r w:rsidRPr="00797F18">
          <w:t>Waltham, Massachusetts, ZDA</w:t>
        </w:r>
      </w:hyperlink>
      <w:r w:rsidRPr="00797F18">
        <w:t xml:space="preserve">) </w:t>
      </w:r>
      <w:r w:rsidRPr="00797F18">
        <w:rPr>
          <w:rFonts w:ascii="Calibri" w:eastAsia="Calibri" w:hAnsi="Calibri" w:cs="Times New Roman"/>
        </w:rPr>
        <w:t>according to</w:t>
      </w:r>
      <w:r w:rsidRPr="00797F18">
        <w:t xml:space="preserve"> the manufacturer’s instructions. Samples with </w:t>
      </w:r>
      <w:r w:rsidRPr="00797F18">
        <w:rPr>
          <w:rFonts w:ascii="Calibri" w:eastAsia="Calibri" w:hAnsi="Calibri" w:cs="Times New Roman"/>
        </w:rPr>
        <w:t xml:space="preserve">an </w:t>
      </w:r>
      <w:r w:rsidRPr="00797F18">
        <w:t xml:space="preserve">RNA Quality Score higher than 6.8 were sent for transcriptome sequencing to Novogene (UK) Company </w:t>
      </w:r>
      <w:r w:rsidRPr="00797F18">
        <w:rPr>
          <w:shd w:val="clear" w:color="auto" w:fill="FFFFFF" w:themeFill="background1"/>
        </w:rPr>
        <w:t>LTD (Cambridge, United Kingdom).</w:t>
      </w:r>
      <w:r w:rsidRPr="00797F18">
        <w:t xml:space="preserve"> mRNA sequencing was performed on the Illumina platform. Quality control of raw reads was </w:t>
      </w:r>
      <w:r w:rsidRPr="00797F18">
        <w:rPr>
          <w:rFonts w:ascii="Calibri" w:eastAsia="Calibri" w:hAnsi="Calibri" w:cs="Times New Roman"/>
        </w:rPr>
        <w:t>performed</w:t>
      </w:r>
      <w:r w:rsidRPr="00797F18">
        <w:t xml:space="preserve"> using fastp</w:t>
      </w:r>
      <w:r w:rsidRPr="00797F18">
        <w:rPr>
          <w:rFonts w:ascii="Calibri" w:eastAsia="Calibri" w:hAnsi="Calibri" w:cs="Times New Roman"/>
        </w:rPr>
        <w:t>,</w:t>
      </w:r>
      <w:r w:rsidRPr="00797F18">
        <w:t xml:space="preserve"> and cleaned paired-end reads were mapped to the reference genome using HISAT2 software. </w:t>
      </w:r>
      <w:r w:rsidRPr="00797F18">
        <w:rPr>
          <w:rFonts w:ascii="Calibri" w:eastAsia="Calibri" w:hAnsi="Calibri" w:cs="Times New Roman"/>
        </w:rPr>
        <w:t>The FeatureCounts</w:t>
      </w:r>
      <w:r w:rsidRPr="00797F18">
        <w:t xml:space="preserve"> package was used to count the reads mapped to each </w:t>
      </w:r>
      <w:proofErr w:type="gramStart"/>
      <w:r w:rsidRPr="00797F18">
        <w:t>gene</w:t>
      </w:r>
      <w:r w:rsidRPr="00797F18">
        <w:rPr>
          <w:rFonts w:ascii="Calibri" w:eastAsia="Calibri" w:hAnsi="Calibri" w:cs="Times New Roman"/>
        </w:rPr>
        <w:t>,</w:t>
      </w:r>
      <w:r w:rsidRPr="00797F18">
        <w:t xml:space="preserve"> and</w:t>
      </w:r>
      <w:proofErr w:type="gramEnd"/>
      <w:r w:rsidRPr="00797F18">
        <w:t xml:space="preserve"> </w:t>
      </w:r>
      <w:r w:rsidRPr="00797F18">
        <w:rPr>
          <w:rFonts w:ascii="Calibri" w:eastAsia="Calibri" w:hAnsi="Calibri" w:cs="Times New Roman"/>
        </w:rPr>
        <w:t>reads per kilobase</w:t>
      </w:r>
      <w:r w:rsidRPr="00797F18">
        <w:t xml:space="preserve"> of exon model per </w:t>
      </w:r>
      <w:r w:rsidRPr="00797F18">
        <w:rPr>
          <w:rFonts w:ascii="Calibri" w:eastAsia="Calibri" w:hAnsi="Calibri" w:cs="Times New Roman"/>
        </w:rPr>
        <w:t>million</w:t>
      </w:r>
      <w:r w:rsidRPr="00797F18">
        <w:t xml:space="preserve"> mapped reads (RPKM) </w:t>
      </w:r>
      <w:r w:rsidRPr="00797F18">
        <w:rPr>
          <w:rFonts w:ascii="Calibri" w:eastAsia="Calibri" w:hAnsi="Calibri" w:cs="Times New Roman"/>
        </w:rPr>
        <w:t>were</w:t>
      </w:r>
      <w:r w:rsidRPr="00797F18">
        <w:t xml:space="preserve"> calculated. Differential expression analysis was performed using the DESeq2 R package. P values were adjusted using Benjamini and Hochberg’s approach to control for the </w:t>
      </w:r>
      <w:r w:rsidRPr="00797F18">
        <w:rPr>
          <w:rFonts w:ascii="Calibri" w:eastAsia="Calibri" w:hAnsi="Calibri" w:cs="Times New Roman"/>
        </w:rPr>
        <w:t>false discovery rate</w:t>
      </w:r>
      <w:r w:rsidRPr="00797F18">
        <w:t xml:space="preserve"> (FDR). Genes with</w:t>
      </w:r>
      <w:r w:rsidRPr="00797F18">
        <w:rPr>
          <w:rFonts w:ascii="Calibri" w:eastAsia="Calibri" w:hAnsi="Calibri" w:cs="Times New Roman"/>
        </w:rPr>
        <w:t xml:space="preserve"> an</w:t>
      </w:r>
      <w:r w:rsidRPr="00797F18">
        <w:t xml:space="preserve"> adjusted p value &lt; 0.05 and </w:t>
      </w:r>
      <w:r w:rsidRPr="00797F18">
        <w:rPr>
          <w:rFonts w:ascii="Calibri" w:eastAsia="Calibri" w:hAnsi="Calibri" w:cs="Times New Roman"/>
        </w:rPr>
        <w:t xml:space="preserve">a </w:t>
      </w:r>
      <w:r w:rsidRPr="00797F18">
        <w:t>fold change &gt; 1 were considered differentially expressed.</w:t>
      </w:r>
      <w:r w:rsidRPr="00797F18">
        <w:rPr>
          <w:rFonts w:ascii="Calibri" w:eastAsia="Calibri" w:hAnsi="Calibri" w:cs="Times New Roman"/>
        </w:rPr>
        <w:t xml:space="preserve"> </w:t>
      </w:r>
      <w:r w:rsidRPr="00797F18">
        <w:t xml:space="preserve">Gene Ontology (GO) enrichment analysis of differentially expressed genes was processed through the ClusterProfiler R package. GO terms with </w:t>
      </w:r>
      <w:r w:rsidRPr="00797F18">
        <w:rPr>
          <w:rFonts w:ascii="Calibri" w:eastAsia="Calibri" w:hAnsi="Calibri" w:cs="Times New Roman"/>
        </w:rPr>
        <w:t xml:space="preserve">an </w:t>
      </w:r>
      <w:r w:rsidRPr="00797F18">
        <w:t>adjusted p value &lt; 0.05 were considered significantly enriched.</w:t>
      </w:r>
    </w:p>
    <w:p w14:paraId="02DF0B53" w14:textId="77777777" w:rsidR="00CB326C" w:rsidRPr="00797F18" w:rsidRDefault="002B32BB" w:rsidP="007E046E">
      <w:pPr>
        <w:pStyle w:val="Heading2"/>
        <w:spacing w:line="480" w:lineRule="auto"/>
      </w:pPr>
      <w:r w:rsidRPr="00797F18">
        <w:t>Animals and tumor induction</w:t>
      </w:r>
    </w:p>
    <w:p w14:paraId="41C21E48" w14:textId="77777777" w:rsidR="00CB326C" w:rsidRPr="00797F18" w:rsidRDefault="002B32BB" w:rsidP="007E046E">
      <w:pPr>
        <w:spacing w:line="480" w:lineRule="auto"/>
        <w:jc w:val="both"/>
      </w:pPr>
      <w:r w:rsidRPr="00797F18">
        <w:t xml:space="preserve">Female C57BL/6NCrl mice (Charles River, Calco (Lecco), Italy) were housed at RT with a 12 h light-dark cycle and food and water ad libitum. Experiments were approved by the Ministry of Agriculture, Forestry and Food of the Republic of Slovenia (permission no. U34401-35/2020/8). Up to six mice were housed per cage in specific-pathogen free conditions in </w:t>
      </w:r>
      <w:r w:rsidRPr="00797F18">
        <w:rPr>
          <w:rFonts w:ascii="Calibri" w:eastAsia="Calibri" w:hAnsi="Calibri" w:cs="Times New Roman"/>
        </w:rPr>
        <w:t xml:space="preserve">a </w:t>
      </w:r>
      <w:r w:rsidRPr="00797F18">
        <w:t xml:space="preserve">carousel mouse IVC rack system </w:t>
      </w:r>
      <w:bookmarkStart w:id="6" w:name="_Hlk123115821"/>
      <w:r w:rsidRPr="00797F18">
        <w:t xml:space="preserve">(Animal Care Systems Inc., Revere Parkway, USA). </w:t>
      </w:r>
      <w:bookmarkEnd w:id="6"/>
      <w:r w:rsidRPr="00797F18">
        <w:t>Each cage was provided with enrichment (Bio-Serv, VWR).</w:t>
      </w:r>
    </w:p>
    <w:p w14:paraId="4F1093AA" w14:textId="3B76FF3F" w:rsidR="00CB326C" w:rsidRPr="00797F18" w:rsidRDefault="002B32BB" w:rsidP="007E046E">
      <w:pPr>
        <w:spacing w:line="480" w:lineRule="auto"/>
        <w:jc w:val="both"/>
      </w:pPr>
      <w:r w:rsidRPr="00797F18">
        <w:t>Tumors were induced in 8-</w:t>
      </w:r>
      <w:r w:rsidRPr="00797F18">
        <w:rPr>
          <w:rFonts w:ascii="Calibri" w:eastAsia="Calibri" w:hAnsi="Calibri" w:cs="Times New Roman"/>
        </w:rPr>
        <w:t xml:space="preserve"> to </w:t>
      </w:r>
      <w:r w:rsidRPr="00797F18">
        <w:t>12-week-old mice by subcutaneously injecting 1×10</w:t>
      </w:r>
      <w:r w:rsidRPr="00797F18">
        <w:rPr>
          <w:vertAlign w:val="superscript"/>
        </w:rPr>
        <w:t>6</w:t>
      </w:r>
      <w:r w:rsidRPr="00797F18">
        <w:t xml:space="preserve"> MOC1, MOC1-HPV K1, or MOC1-HPV K3 cells resuspended in 100 µL </w:t>
      </w:r>
      <w:r w:rsidRPr="00797F18">
        <w:rPr>
          <w:rFonts w:ascii="Calibri" w:eastAsia="Calibri" w:hAnsi="Calibri" w:cs="Times New Roman"/>
        </w:rPr>
        <w:t xml:space="preserve">of </w:t>
      </w:r>
      <w:r w:rsidRPr="00797F18">
        <w:t xml:space="preserve">saline solution into the </w:t>
      </w:r>
      <w:r w:rsidR="00B11AE4" w:rsidRPr="00797F18">
        <w:rPr>
          <w:rFonts w:ascii="Calibri" w:eastAsia="Calibri" w:hAnsi="Calibri" w:cs="Times New Roman"/>
        </w:rPr>
        <w:t>flank</w:t>
      </w:r>
      <w:r w:rsidRPr="00797F18">
        <w:t xml:space="preserve"> of each mouse. Mice </w:t>
      </w:r>
      <w:r w:rsidRPr="00797F18">
        <w:lastRenderedPageBreak/>
        <w:t>were monitored daily for signs of distress and weighed three times a week. Furthermore, tumors were measured three times a week using a digital Vernier caliper. Tumor volume was calculated using the formula for ellipsoid (V = a × b × c × π/6, where a, b, and c are perpendicular diameters of the tumor).</w:t>
      </w:r>
    </w:p>
    <w:p w14:paraId="49FDB3A1" w14:textId="77777777" w:rsidR="00CB326C" w:rsidRPr="00797F18" w:rsidRDefault="002B32BB" w:rsidP="007E046E">
      <w:pPr>
        <w:pStyle w:val="Heading2"/>
        <w:spacing w:line="480" w:lineRule="auto"/>
      </w:pPr>
      <w:r w:rsidRPr="00797F18">
        <w:t>Tumor collection</w:t>
      </w:r>
    </w:p>
    <w:p w14:paraId="24E0FD48" w14:textId="77777777" w:rsidR="00CB326C" w:rsidRPr="00797F18" w:rsidRDefault="002B32BB" w:rsidP="007E046E">
      <w:pPr>
        <w:spacing w:line="480" w:lineRule="auto"/>
        <w:jc w:val="both"/>
      </w:pPr>
      <w:r w:rsidRPr="00797F18">
        <w:t>When tumors reached volumes of 50-60 mm</w:t>
      </w:r>
      <w:r w:rsidRPr="00797F18">
        <w:rPr>
          <w:vertAlign w:val="superscript"/>
        </w:rPr>
        <w:t>3</w:t>
      </w:r>
      <w:r w:rsidRPr="00797F18">
        <w:rPr>
          <w:rFonts w:ascii="Calibri" w:eastAsia="Calibri" w:hAnsi="Calibri" w:cs="Times New Roman"/>
        </w:rPr>
        <w:t>,</w:t>
      </w:r>
      <w:r w:rsidRPr="00797F18">
        <w:t xml:space="preserve"> mice were intraperitoneally injected with 200 µL </w:t>
      </w:r>
      <w:r w:rsidRPr="00797F18">
        <w:rPr>
          <w:rFonts w:ascii="Calibri" w:eastAsia="Calibri" w:hAnsi="Calibri" w:cs="Times New Roman"/>
        </w:rPr>
        <w:t xml:space="preserve">of </w:t>
      </w:r>
      <w:r w:rsidRPr="00797F18">
        <w:t>10 mg/mL EdU solution (5-</w:t>
      </w:r>
      <w:r w:rsidRPr="00797F18">
        <w:rPr>
          <w:rFonts w:ascii="Calibri" w:eastAsia="Calibri" w:hAnsi="Calibri" w:cs="Times New Roman"/>
        </w:rPr>
        <w:t>ethynyl</w:t>
      </w:r>
      <w:r w:rsidRPr="00797F18">
        <w:t xml:space="preserve">-2’-deoxyuridine; Abcam, Cambridge, United Kingdom) and 200 µL </w:t>
      </w:r>
      <w:r w:rsidRPr="00797F18">
        <w:rPr>
          <w:rFonts w:ascii="Calibri" w:eastAsia="Calibri" w:hAnsi="Calibri" w:cs="Times New Roman"/>
        </w:rPr>
        <w:t xml:space="preserve">of </w:t>
      </w:r>
      <w:r w:rsidRPr="00797F18">
        <w:t xml:space="preserve">10 mM EF5 solution (EF5 Hypoxia Detection Kit, Cyanine 3; EMD Millipore, CA, USA), </w:t>
      </w:r>
      <w:r w:rsidRPr="00797F18">
        <w:rPr>
          <w:rFonts w:ascii="Calibri" w:eastAsia="Calibri" w:hAnsi="Calibri" w:cs="Times New Roman"/>
        </w:rPr>
        <w:t>which</w:t>
      </w:r>
      <w:r w:rsidRPr="00797F18">
        <w:t xml:space="preserve"> mark proliferating cells and hypoxic areas, respectively. After three hours</w:t>
      </w:r>
      <w:r w:rsidRPr="00797F18">
        <w:rPr>
          <w:rFonts w:ascii="Calibri" w:eastAsia="Calibri" w:hAnsi="Calibri" w:cs="Times New Roman"/>
        </w:rPr>
        <w:t>,</w:t>
      </w:r>
      <w:r w:rsidRPr="00797F18">
        <w:t xml:space="preserve"> the animals were sacrificed, and tumors were excised and cut in half. Each half of the tumor was used either for determining the expression of HPV-16 E6 and E7 or immunofluorescence staining of frozen tissue sections to assess the tumor microenvironment. For histological analysis</w:t>
      </w:r>
      <w:r w:rsidRPr="00797F18">
        <w:rPr>
          <w:rFonts w:ascii="Calibri" w:eastAsia="Calibri" w:hAnsi="Calibri" w:cs="Times New Roman"/>
        </w:rPr>
        <w:t>,</w:t>
      </w:r>
      <w:r w:rsidRPr="00797F18">
        <w:t xml:space="preserve"> tumors were collected when </w:t>
      </w:r>
      <w:r w:rsidRPr="00797F18">
        <w:rPr>
          <w:rFonts w:ascii="Calibri" w:eastAsia="Calibri" w:hAnsi="Calibri" w:cs="Times New Roman"/>
        </w:rPr>
        <w:t>they reached</w:t>
      </w:r>
      <w:r w:rsidRPr="00797F18">
        <w:t xml:space="preserve"> either 50-60 mm</w:t>
      </w:r>
      <w:r w:rsidRPr="00797F18">
        <w:rPr>
          <w:vertAlign w:val="superscript"/>
        </w:rPr>
        <w:t>3</w:t>
      </w:r>
      <w:r w:rsidRPr="00797F18">
        <w:t xml:space="preserve"> or 100 mm</w:t>
      </w:r>
      <w:r w:rsidRPr="00797F18">
        <w:rPr>
          <w:vertAlign w:val="superscript"/>
        </w:rPr>
        <w:t>3</w:t>
      </w:r>
      <w:r w:rsidRPr="00797F18">
        <w:t>.</w:t>
      </w:r>
    </w:p>
    <w:p w14:paraId="66618C2B" w14:textId="610FFCFA" w:rsidR="00CB326C" w:rsidRPr="00797F18" w:rsidRDefault="002B32BB" w:rsidP="007E046E">
      <w:pPr>
        <w:spacing w:line="480" w:lineRule="auto"/>
        <w:jc w:val="both"/>
      </w:pPr>
      <w:r w:rsidRPr="00797F18">
        <w:t>Tumor halves for determination of HPV-16 E6 and E7 expression (n= 3–5) were snap</w:t>
      </w:r>
      <w:r w:rsidR="000C1677">
        <w:t>-</w:t>
      </w:r>
      <w:r w:rsidRPr="00797F18">
        <w:t>frozen in liquid nitrogen and stored at -80 °C. Frozen tumor samples were crushed with a pestle and stored at -80 °C until RNA extraction.</w:t>
      </w:r>
    </w:p>
    <w:p w14:paraId="474B45BB" w14:textId="3D8545BA" w:rsidR="00CB326C" w:rsidRPr="00797F18" w:rsidRDefault="002B32BB" w:rsidP="007E046E">
      <w:pPr>
        <w:spacing w:line="480" w:lineRule="auto"/>
        <w:jc w:val="both"/>
      </w:pPr>
      <w:r w:rsidRPr="00797F18">
        <w:t xml:space="preserve">Tumor halves for immunofluorescence staining (n = 4) were fixed in 4% PFA for 12-16 h at 4 °C. Thereafter, tumors were dehydrated in 30% sucrose solution for 24 h at RT, embedded in </w:t>
      </w:r>
      <w:r w:rsidRPr="00797F18">
        <w:rPr>
          <w:rFonts w:ascii="Calibri" w:eastAsia="Calibri" w:hAnsi="Calibri" w:cs="Times New Roman"/>
        </w:rPr>
        <w:t>optimal</w:t>
      </w:r>
      <w:r w:rsidRPr="00797F18">
        <w:t xml:space="preserve"> cutting temperature compound (Tissue-Tek O.C.T. compound, Sakura Finetek, VWR), snap-frozen on dry ice, and stored at -80 °C.</w:t>
      </w:r>
    </w:p>
    <w:p w14:paraId="2DBEF74B" w14:textId="77777777" w:rsidR="00CB326C" w:rsidRPr="00797F18" w:rsidRDefault="002B32BB" w:rsidP="007E046E">
      <w:pPr>
        <w:spacing w:line="480" w:lineRule="auto"/>
        <w:jc w:val="both"/>
      </w:pPr>
      <w:r w:rsidRPr="00797F18">
        <w:t>Tumors used for tumor histology assessment (n = 4) were fixed in 10% neutral buffered formalin overnight and then transferred into 70% ethanol until embedding in paraffin.</w:t>
      </w:r>
    </w:p>
    <w:p w14:paraId="1221C25A" w14:textId="77777777" w:rsidR="00CB326C" w:rsidRPr="00797F18" w:rsidRDefault="002B32BB" w:rsidP="007E046E">
      <w:pPr>
        <w:pStyle w:val="Heading2"/>
        <w:spacing w:line="480" w:lineRule="auto"/>
      </w:pPr>
      <w:r w:rsidRPr="00797F18">
        <w:t xml:space="preserve">Determination of HPV-16 E6 and E7 </w:t>
      </w:r>
      <w:r w:rsidRPr="00797F18">
        <w:rPr>
          <w:i/>
        </w:rPr>
        <w:t>in vivo</w:t>
      </w:r>
    </w:p>
    <w:p w14:paraId="3429C2D3" w14:textId="77777777" w:rsidR="00CB326C" w:rsidRPr="00797F18" w:rsidRDefault="002B32BB" w:rsidP="007E046E">
      <w:pPr>
        <w:spacing w:line="480" w:lineRule="auto"/>
        <w:jc w:val="both"/>
      </w:pPr>
      <w:r w:rsidRPr="00797F18">
        <w:rPr>
          <w:rFonts w:ascii="Calibri" w:eastAsia="Calibri" w:hAnsi="Calibri" w:cs="Times New Roman"/>
        </w:rPr>
        <w:t>Thirty milligrams</w:t>
      </w:r>
      <w:r w:rsidRPr="00797F18">
        <w:t xml:space="preserve"> of crushed tumor tissue was used for RNA extraction. TRI reagent (Thermo Fisher Scientific) was used for cell lysis. After chloroform incubation, the aqueous phase was used for RNA </w:t>
      </w:r>
      <w:r w:rsidRPr="00797F18">
        <w:lastRenderedPageBreak/>
        <w:t xml:space="preserve">isolation using </w:t>
      </w:r>
      <w:r w:rsidRPr="00797F18">
        <w:rPr>
          <w:rFonts w:ascii="Calibri" w:eastAsia="Calibri" w:hAnsi="Calibri" w:cs="Times New Roman"/>
        </w:rPr>
        <w:t xml:space="preserve">the </w:t>
      </w:r>
      <w:r w:rsidRPr="00797F18">
        <w:t>peqGOLD Total RNA Kit following</w:t>
      </w:r>
      <w:r w:rsidRPr="00797F18">
        <w:rPr>
          <w:rFonts w:ascii="Calibri" w:eastAsia="Calibri" w:hAnsi="Calibri" w:cs="Times New Roman"/>
        </w:rPr>
        <w:t xml:space="preserve"> the</w:t>
      </w:r>
      <w:r w:rsidRPr="00797F18">
        <w:t xml:space="preserve"> manufacturers’ instructions. Reverse transcription and </w:t>
      </w:r>
      <w:r w:rsidRPr="00797F18">
        <w:rPr>
          <w:rFonts w:ascii="Calibri" w:eastAsia="Calibri" w:hAnsi="Calibri" w:cs="Times New Roman"/>
        </w:rPr>
        <w:t>qRT‒PCR</w:t>
      </w:r>
      <w:r w:rsidRPr="00797F18">
        <w:t xml:space="preserve"> were performed as described above (see 2.3).</w:t>
      </w:r>
    </w:p>
    <w:p w14:paraId="4123E11C" w14:textId="77777777" w:rsidR="00CB326C" w:rsidRPr="00797F18" w:rsidRDefault="002B32BB" w:rsidP="007E046E">
      <w:pPr>
        <w:pStyle w:val="Heading2"/>
        <w:spacing w:line="480" w:lineRule="auto"/>
      </w:pPr>
      <w:r w:rsidRPr="00797F18">
        <w:t>Tumor histology and microenvironment assessment</w:t>
      </w:r>
    </w:p>
    <w:p w14:paraId="187FBB74" w14:textId="321CE25E" w:rsidR="00CB326C" w:rsidRPr="00797F18" w:rsidRDefault="002B32BB" w:rsidP="007E046E">
      <w:pPr>
        <w:spacing w:line="480" w:lineRule="auto"/>
        <w:jc w:val="both"/>
      </w:pPr>
      <w:r w:rsidRPr="00797F18">
        <w:t>Paraffin-embedded tumors were sectioned into 2</w:t>
      </w:r>
      <w:r w:rsidR="00960468">
        <w:t>-</w:t>
      </w:r>
      <w:r w:rsidRPr="00797F18">
        <w:t>µm</w:t>
      </w:r>
      <w:r w:rsidR="00960468">
        <w:t>-</w:t>
      </w:r>
      <w:r w:rsidRPr="00797F18">
        <w:t>thick sections and stained with hematoxylin and eosin (HE) according to standard procedures. Sections were imaged using a BX-51 microscope (Olympus, Düsseldorf, Germany). Slides were evaluated by an experienced pathologist.</w:t>
      </w:r>
    </w:p>
    <w:p w14:paraId="7747012B" w14:textId="3BEECCBD" w:rsidR="00CB326C" w:rsidRPr="00797F18" w:rsidRDefault="002B32BB" w:rsidP="007E046E">
      <w:pPr>
        <w:spacing w:line="480" w:lineRule="auto"/>
        <w:jc w:val="both"/>
      </w:pPr>
      <w:r w:rsidRPr="00797F18">
        <w:t>Slides with 14</w:t>
      </w:r>
      <w:r w:rsidR="00185F6C">
        <w:t>-</w:t>
      </w:r>
      <w:r w:rsidRPr="00797F18">
        <w:t>µm</w:t>
      </w:r>
      <w:r w:rsidR="00185F6C">
        <w:t>-</w:t>
      </w:r>
      <w:r w:rsidRPr="00797F18">
        <w:t>thick tissue sections were prepared from frozen OCT samples using</w:t>
      </w:r>
      <w:r w:rsidRPr="00797F18">
        <w:rPr>
          <w:rFonts w:ascii="Calibri" w:eastAsia="Calibri" w:hAnsi="Calibri" w:cs="Times New Roman"/>
        </w:rPr>
        <w:t xml:space="preserve"> a</w:t>
      </w:r>
      <w:r w:rsidRPr="00797F18">
        <w:t xml:space="preserve"> Leica CM1850 cryostat. Three marker combinations were stained on two slides. One slide was stained for hypoxia (EF5), proliferation (EdU), and blood vessels (CD31). Another slide was stained for immune cells – CD4-positive T cells and blood vessels (CD31) on one section and CD8-positive T cells, macrophages (F4/80), and blood vessels (CD31) on another section.</w:t>
      </w:r>
    </w:p>
    <w:p w14:paraId="7A04B904" w14:textId="39ACDC08" w:rsidR="00CB326C" w:rsidRPr="00797F18" w:rsidRDefault="002B32BB" w:rsidP="007E046E">
      <w:pPr>
        <w:spacing w:line="480" w:lineRule="auto"/>
        <w:jc w:val="both"/>
      </w:pPr>
      <w:r w:rsidRPr="00797F18">
        <w:t xml:space="preserve">Staining was performed in a light-protected, humidified chamber. Before staining, sections were air-dried for 10 min at 37 °C and washed with 1X PBS for 5 min. Slides stained for proliferation (EdU), hypoxia (EF5), and blood vessels (CD31) were blocked and permeabilized in block/perm buffer for 1 h at RT and washed twice in blocking buffer. To detect the incorporated EdU Click-iT™ EdU Cell Proliferation Kit for Imaging, Alexa Fluor™ 488 dye (Invitrogen) was used following the manufacturer’s instructions. Briefly, slides were incubated with Click-iT mix for 30 min at RT and then washed with blocking buffer. Afterward, slides were incubated overnight at 4 °C with the respective primary antibodies diluted 1:200 in blocking buffer (Table 1). The next day, slides were blocked for 30 min in blocking buffer at RT before </w:t>
      </w:r>
      <w:r w:rsidRPr="00797F18">
        <w:rPr>
          <w:rFonts w:ascii="Calibri" w:eastAsia="Calibri" w:hAnsi="Calibri" w:cs="Times New Roman"/>
        </w:rPr>
        <w:t>incubation</w:t>
      </w:r>
      <w:r w:rsidRPr="00797F18">
        <w:t xml:space="preserve"> with anti-EF5 antibodies conjugated to Cy3 overnight at 4 °C. The next day, slides were washed with PBS-T (PBS with 0.</w:t>
      </w:r>
      <w:r w:rsidRPr="00797F18">
        <w:rPr>
          <w:rFonts w:ascii="Calibri" w:eastAsia="Calibri" w:hAnsi="Calibri" w:cs="Times New Roman"/>
        </w:rPr>
        <w:t>3%</w:t>
      </w:r>
      <w:r w:rsidRPr="00797F18">
        <w:t xml:space="preserve"> Tween-20 (</w:t>
      </w:r>
      <w:r w:rsidRPr="00797F18">
        <w:rPr>
          <w:color w:val="000000"/>
          <w:shd w:val="clear" w:color="auto" w:fill="FFFFFF"/>
        </w:rPr>
        <w:t>Sigma Aldrich)</w:t>
      </w:r>
      <w:r w:rsidRPr="00797F18">
        <w:t xml:space="preserve">) twice for 45 min at RT. Nuclei were </w:t>
      </w:r>
      <w:r w:rsidRPr="00797F18">
        <w:rPr>
          <w:rFonts w:ascii="Calibri" w:eastAsia="Calibri" w:hAnsi="Calibri" w:cs="Times New Roman"/>
        </w:rPr>
        <w:t>counterstained</w:t>
      </w:r>
      <w:r w:rsidRPr="00797F18">
        <w:t xml:space="preserve"> with 3 µg/mL Hoechst 33342 in PBS for 5 min at RT. After washing with PBS, the slides were mounted using ProLong™ Glass Antifade Mountant (Invitrogen). Slides stained for immune cells were stained similarly, with added antigen retrieval after the first PBS wash, by incubating the slides in </w:t>
      </w:r>
      <w:r w:rsidRPr="00797F18">
        <w:rPr>
          <w:rFonts w:ascii="Calibri" w:eastAsia="Calibri" w:hAnsi="Calibri" w:cs="Times New Roman"/>
        </w:rPr>
        <w:t>sodium citrate</w:t>
      </w:r>
      <w:r w:rsidRPr="00797F18">
        <w:t xml:space="preserve"> buffer (10 mM </w:t>
      </w:r>
      <w:r w:rsidRPr="00797F18">
        <w:rPr>
          <w:rFonts w:ascii="Calibri" w:eastAsia="Calibri" w:hAnsi="Calibri" w:cs="Times New Roman"/>
        </w:rPr>
        <w:t>sodium citrate</w:t>
      </w:r>
      <w:r w:rsidRPr="00797F18">
        <w:t xml:space="preserve">, 0.05% Tween 20, pH </w:t>
      </w:r>
      <w:r w:rsidRPr="00797F18">
        <w:lastRenderedPageBreak/>
        <w:t xml:space="preserve">6.0) heated to </w:t>
      </w:r>
      <w:r w:rsidRPr="00797F18">
        <w:rPr>
          <w:rFonts w:ascii="Calibri" w:eastAsia="Calibri" w:hAnsi="Calibri" w:cs="Times New Roman"/>
        </w:rPr>
        <w:t>95 °C</w:t>
      </w:r>
      <w:r w:rsidRPr="00797F18">
        <w:t xml:space="preserve"> for 30 </w:t>
      </w:r>
      <w:r w:rsidR="00A54732">
        <w:t>min</w:t>
      </w:r>
      <w:r w:rsidRPr="00797F18">
        <w:t xml:space="preserve"> at RT, followed by 30 </w:t>
      </w:r>
      <w:r w:rsidR="00A54732">
        <w:rPr>
          <w:rFonts w:ascii="Calibri" w:eastAsia="Calibri" w:hAnsi="Calibri" w:cs="Times New Roman"/>
        </w:rPr>
        <w:t>min</w:t>
      </w:r>
      <w:r w:rsidRPr="00797F18">
        <w:t xml:space="preserve"> </w:t>
      </w:r>
      <w:r w:rsidRPr="00797F18">
        <w:rPr>
          <w:rFonts w:ascii="Calibri" w:eastAsia="Calibri" w:hAnsi="Calibri" w:cs="Times New Roman"/>
        </w:rPr>
        <w:t xml:space="preserve">of </w:t>
      </w:r>
      <w:r w:rsidRPr="00797F18">
        <w:t xml:space="preserve">cooling in RT water. </w:t>
      </w:r>
      <w:r w:rsidR="007C3105">
        <w:t>Then</w:t>
      </w:r>
      <w:r w:rsidRPr="00797F18">
        <w:t xml:space="preserve">, slides were blocked and permeabilized in block/perm buffer for 30 min at RT, washed with blocking buffer, and then blocked in blocking buffer for 1 h at RT. Staining with primary antibodies was performed overnight at 4 °C, followed the next day by 3 washes with PBS and incubation with secondary antibodies at RT for 1 h. After 3 PBS washes, nuclear </w:t>
      </w:r>
      <w:r w:rsidRPr="00797F18">
        <w:rPr>
          <w:rFonts w:ascii="Calibri" w:eastAsia="Calibri" w:hAnsi="Calibri" w:cs="Times New Roman"/>
        </w:rPr>
        <w:t xml:space="preserve">counterstaining </w:t>
      </w:r>
      <w:r w:rsidRPr="00797F18">
        <w:t xml:space="preserve">and mounting </w:t>
      </w:r>
      <w:r w:rsidRPr="00797F18">
        <w:rPr>
          <w:rFonts w:ascii="Calibri" w:eastAsia="Calibri" w:hAnsi="Calibri" w:cs="Times New Roman"/>
        </w:rPr>
        <w:t>were</w:t>
      </w:r>
      <w:r w:rsidRPr="00797F18">
        <w:t xml:space="preserve"> performed as described above.</w:t>
      </w:r>
    </w:p>
    <w:p w14:paraId="223ACBF6" w14:textId="38C4657B" w:rsidR="00CB326C" w:rsidRPr="00797F18" w:rsidRDefault="002B32BB" w:rsidP="007E046E">
      <w:pPr>
        <w:spacing w:line="480" w:lineRule="auto"/>
        <w:jc w:val="both"/>
      </w:pPr>
      <w:r w:rsidRPr="00797F18">
        <w:t xml:space="preserve">Immunofluorescently stained tumor sections were imaged using </w:t>
      </w:r>
      <w:r w:rsidRPr="00797F18">
        <w:rPr>
          <w:rFonts w:ascii="Calibri" w:eastAsia="Calibri" w:hAnsi="Calibri" w:cs="Times New Roman"/>
        </w:rPr>
        <w:t xml:space="preserve">an </w:t>
      </w:r>
      <w:r w:rsidRPr="00797F18">
        <w:t xml:space="preserve">LSM 800 confocal microscope (Carl Zeiss) using </w:t>
      </w:r>
      <w:r w:rsidRPr="00797F18">
        <w:rPr>
          <w:rFonts w:ascii="Calibri" w:eastAsia="Calibri" w:hAnsi="Calibri" w:cs="Times New Roman"/>
        </w:rPr>
        <w:t xml:space="preserve">a </w:t>
      </w:r>
      <w:r w:rsidRPr="00797F18">
        <w:t>10× (NA 0.45) or 20× objective (NA 0.8).</w:t>
      </w:r>
      <w:r w:rsidRPr="00797F18">
        <w:rPr>
          <w:rFonts w:ascii="Calibri" w:eastAsia="Calibri" w:hAnsi="Calibri" w:cs="Times New Roman"/>
        </w:rPr>
        <w:t xml:space="preserve"> </w:t>
      </w:r>
      <w:r w:rsidRPr="00797F18">
        <w:t xml:space="preserve">Hoechst 33342, Alexa Fluor 488, Cy3 and Alexa Fluor 647 were excited with lasers with excitation wavelengths of 405 nm, 488 nm, 561 nm and 640 nm, respectively. Emitted light was captured with </w:t>
      </w:r>
      <w:r w:rsidRPr="00797F18">
        <w:rPr>
          <w:rFonts w:ascii="Calibri" w:eastAsia="Calibri" w:hAnsi="Calibri" w:cs="Times New Roman"/>
        </w:rPr>
        <w:t xml:space="preserve">a </w:t>
      </w:r>
      <w:r w:rsidRPr="00797F18">
        <w:t>GaAsP detector through a variable dichroic and filters at channel</w:t>
      </w:r>
      <w:r w:rsidRPr="00797F18">
        <w:rPr>
          <w:rFonts w:ascii="Calibri" w:eastAsia="Calibri" w:hAnsi="Calibri" w:cs="Times New Roman"/>
        </w:rPr>
        <w:t>-</w:t>
      </w:r>
      <w:r w:rsidRPr="00797F18">
        <w:t>specific wavelengths: 410–545 nm for Hoechst 33342, 488–545 nm for Alexa Fluor 488, 565–620 nm for Cy3, and 645–700 nm for Alexa Fluor 647. On sections stained for hypoxia, proliferating cells and blood vessels</w:t>
      </w:r>
      <w:r w:rsidRPr="00797F18">
        <w:rPr>
          <w:rFonts w:ascii="Calibri" w:eastAsia="Calibri" w:hAnsi="Calibri" w:cs="Times New Roman"/>
        </w:rPr>
        <w:t>,</w:t>
      </w:r>
      <w:r w:rsidRPr="00797F18">
        <w:t xml:space="preserve"> two representative 3×3 tile scans of </w:t>
      </w:r>
      <w:r w:rsidRPr="00797F18">
        <w:rPr>
          <w:rFonts w:ascii="Calibri" w:eastAsia="Calibri" w:hAnsi="Calibri" w:cs="Times New Roman"/>
        </w:rPr>
        <w:t xml:space="preserve">the </w:t>
      </w:r>
      <w:r w:rsidRPr="00797F18">
        <w:t>tumor core were imaged, while on sections stained for immune cell markers</w:t>
      </w:r>
      <w:r w:rsidRPr="00797F18">
        <w:rPr>
          <w:rFonts w:ascii="Calibri" w:eastAsia="Calibri" w:hAnsi="Calibri" w:cs="Times New Roman"/>
        </w:rPr>
        <w:t>,</w:t>
      </w:r>
      <w:r w:rsidRPr="00797F18">
        <w:t xml:space="preserve"> two representative 3×3 tile scans of</w:t>
      </w:r>
      <w:r w:rsidRPr="00797F18">
        <w:rPr>
          <w:rFonts w:ascii="Calibri" w:eastAsia="Calibri" w:hAnsi="Calibri" w:cs="Times New Roman"/>
        </w:rPr>
        <w:t xml:space="preserve"> the</w:t>
      </w:r>
      <w:r w:rsidRPr="00797F18">
        <w:t xml:space="preserve"> tumor edge were imaged as well. Images were analyzed with Imaris software (Oxford Instruments).</w:t>
      </w:r>
    </w:p>
    <w:p w14:paraId="44AF596F" w14:textId="4DF7DCC0" w:rsidR="00CB326C" w:rsidRPr="00797F18" w:rsidRDefault="002B32BB" w:rsidP="007E046E">
      <w:pPr>
        <w:spacing w:line="480" w:lineRule="auto"/>
        <w:jc w:val="both"/>
      </w:pPr>
      <w:r w:rsidRPr="00797F18">
        <w:t>Table 1: Primary and secondary antibodies used for immunofluorescence staining</w:t>
      </w:r>
    </w:p>
    <w:tbl>
      <w:tblPr>
        <w:tblStyle w:val="TableGrid"/>
        <w:tblW w:w="0" w:type="auto"/>
        <w:tblLook w:val="04A0" w:firstRow="1" w:lastRow="0" w:firstColumn="1" w:lastColumn="0" w:noHBand="0" w:noVBand="1"/>
      </w:tblPr>
      <w:tblGrid>
        <w:gridCol w:w="3020"/>
        <w:gridCol w:w="3021"/>
        <w:gridCol w:w="3021"/>
      </w:tblGrid>
      <w:tr w:rsidR="00F13FDA" w:rsidRPr="00797F18" w14:paraId="34001546" w14:textId="77777777" w:rsidTr="00800595">
        <w:tc>
          <w:tcPr>
            <w:tcW w:w="3020" w:type="dxa"/>
          </w:tcPr>
          <w:p w14:paraId="1606D297" w14:textId="77777777" w:rsidR="00CB326C" w:rsidRPr="00797F18" w:rsidRDefault="002B32BB" w:rsidP="007E046E">
            <w:pPr>
              <w:spacing w:line="480" w:lineRule="auto"/>
              <w:jc w:val="both"/>
              <w:rPr>
                <w:b/>
              </w:rPr>
            </w:pPr>
            <w:r w:rsidRPr="00797F18">
              <w:rPr>
                <w:b/>
              </w:rPr>
              <w:t>Antibody</w:t>
            </w:r>
          </w:p>
        </w:tc>
        <w:tc>
          <w:tcPr>
            <w:tcW w:w="3021" w:type="dxa"/>
          </w:tcPr>
          <w:p w14:paraId="1EC9A77A" w14:textId="77777777" w:rsidR="00CB326C" w:rsidRPr="00797F18" w:rsidRDefault="002B32BB" w:rsidP="007E046E">
            <w:pPr>
              <w:spacing w:line="480" w:lineRule="auto"/>
              <w:jc w:val="both"/>
              <w:rPr>
                <w:b/>
              </w:rPr>
            </w:pPr>
            <w:r w:rsidRPr="00797F18">
              <w:rPr>
                <w:b/>
              </w:rPr>
              <w:t>Supplier</w:t>
            </w:r>
          </w:p>
        </w:tc>
        <w:tc>
          <w:tcPr>
            <w:tcW w:w="3021" w:type="dxa"/>
          </w:tcPr>
          <w:p w14:paraId="392AA4C6" w14:textId="77777777" w:rsidR="00CB326C" w:rsidRPr="00797F18" w:rsidRDefault="002B32BB" w:rsidP="007E046E">
            <w:pPr>
              <w:spacing w:line="480" w:lineRule="auto"/>
              <w:jc w:val="both"/>
              <w:rPr>
                <w:b/>
              </w:rPr>
            </w:pPr>
            <w:r w:rsidRPr="00797F18">
              <w:rPr>
                <w:b/>
              </w:rPr>
              <w:t>Cat. No.</w:t>
            </w:r>
          </w:p>
        </w:tc>
      </w:tr>
      <w:tr w:rsidR="00F13FDA" w:rsidRPr="00797F18" w14:paraId="24353878" w14:textId="77777777" w:rsidTr="00800595">
        <w:tc>
          <w:tcPr>
            <w:tcW w:w="3020" w:type="dxa"/>
          </w:tcPr>
          <w:p w14:paraId="023CF400" w14:textId="02E69DC8" w:rsidR="00CB326C" w:rsidRPr="00797F18" w:rsidRDefault="002B32BB" w:rsidP="007E046E">
            <w:pPr>
              <w:spacing w:line="480" w:lineRule="auto"/>
              <w:jc w:val="both"/>
            </w:pPr>
            <w:r w:rsidRPr="00797F18">
              <w:t xml:space="preserve">Polyclonal </w:t>
            </w:r>
            <w:r w:rsidR="000904AC">
              <w:t>g</w:t>
            </w:r>
            <w:r w:rsidR="000904AC" w:rsidRPr="00797F18">
              <w:t xml:space="preserve">oat </w:t>
            </w:r>
            <w:r w:rsidRPr="00797F18">
              <w:t xml:space="preserve">anti-CD31/PECAM-1 </w:t>
            </w:r>
            <w:r w:rsidR="000904AC">
              <w:t>a</w:t>
            </w:r>
            <w:r w:rsidRPr="00797F18">
              <w:t>ntibody</w:t>
            </w:r>
          </w:p>
        </w:tc>
        <w:tc>
          <w:tcPr>
            <w:tcW w:w="3021" w:type="dxa"/>
          </w:tcPr>
          <w:p w14:paraId="7769681B" w14:textId="77777777" w:rsidR="00CB326C" w:rsidRPr="00797F18" w:rsidRDefault="002B32BB" w:rsidP="007E046E">
            <w:pPr>
              <w:spacing w:line="480" w:lineRule="auto"/>
              <w:jc w:val="both"/>
            </w:pPr>
            <w:r w:rsidRPr="00797F18">
              <w:t>R&amp;D Systems</w:t>
            </w:r>
          </w:p>
        </w:tc>
        <w:tc>
          <w:tcPr>
            <w:tcW w:w="3021" w:type="dxa"/>
          </w:tcPr>
          <w:p w14:paraId="21CBD849" w14:textId="77777777" w:rsidR="00CB326C" w:rsidRPr="00797F18" w:rsidRDefault="002B32BB" w:rsidP="007E046E">
            <w:pPr>
              <w:spacing w:line="480" w:lineRule="auto"/>
              <w:jc w:val="both"/>
            </w:pPr>
            <w:r w:rsidRPr="00797F18">
              <w:t>AF3628</w:t>
            </w:r>
          </w:p>
        </w:tc>
      </w:tr>
      <w:tr w:rsidR="00F13FDA" w:rsidRPr="00797F18" w14:paraId="4C137319" w14:textId="77777777" w:rsidTr="00800595">
        <w:tc>
          <w:tcPr>
            <w:tcW w:w="3020" w:type="dxa"/>
          </w:tcPr>
          <w:p w14:paraId="28C4262B" w14:textId="7903C2D2" w:rsidR="00CB326C" w:rsidRPr="00797F18" w:rsidRDefault="002B32BB" w:rsidP="007E046E">
            <w:pPr>
              <w:spacing w:line="480" w:lineRule="auto"/>
              <w:jc w:val="both"/>
            </w:pPr>
            <w:r w:rsidRPr="00797F18">
              <w:t xml:space="preserve">Rabbit monoclonal anti-CD4 </w:t>
            </w:r>
            <w:r w:rsidR="000904AC">
              <w:t>a</w:t>
            </w:r>
            <w:r w:rsidRPr="00797F18">
              <w:t>ntibody, clone EPR19514</w:t>
            </w:r>
          </w:p>
        </w:tc>
        <w:tc>
          <w:tcPr>
            <w:tcW w:w="3021" w:type="dxa"/>
          </w:tcPr>
          <w:p w14:paraId="07F8F98B" w14:textId="77777777" w:rsidR="00CB326C" w:rsidRPr="00797F18" w:rsidRDefault="002B32BB" w:rsidP="007E046E">
            <w:pPr>
              <w:spacing w:line="480" w:lineRule="auto"/>
              <w:jc w:val="both"/>
            </w:pPr>
            <w:r w:rsidRPr="00797F18">
              <w:t>Abcam</w:t>
            </w:r>
          </w:p>
        </w:tc>
        <w:tc>
          <w:tcPr>
            <w:tcW w:w="3021" w:type="dxa"/>
          </w:tcPr>
          <w:p w14:paraId="758A0CA1" w14:textId="77777777" w:rsidR="00CB326C" w:rsidRPr="00797F18" w:rsidRDefault="002B32BB" w:rsidP="007E046E">
            <w:pPr>
              <w:spacing w:line="480" w:lineRule="auto"/>
              <w:jc w:val="both"/>
            </w:pPr>
            <w:r w:rsidRPr="00797F18">
              <w:t>ab183685</w:t>
            </w:r>
          </w:p>
        </w:tc>
      </w:tr>
      <w:tr w:rsidR="00F13FDA" w:rsidRPr="00797F18" w14:paraId="4CE8F32C" w14:textId="77777777" w:rsidTr="00800595">
        <w:tc>
          <w:tcPr>
            <w:tcW w:w="3020" w:type="dxa"/>
          </w:tcPr>
          <w:p w14:paraId="2133749A" w14:textId="188D2841" w:rsidR="00CB326C" w:rsidRPr="00797F18" w:rsidRDefault="002B32BB" w:rsidP="007E046E">
            <w:pPr>
              <w:spacing w:line="480" w:lineRule="auto"/>
              <w:jc w:val="both"/>
            </w:pPr>
            <w:r w:rsidRPr="00797F18">
              <w:t xml:space="preserve">Rabbit monoclonal anti-CD8 </w:t>
            </w:r>
            <w:r w:rsidR="000904AC">
              <w:t>a</w:t>
            </w:r>
            <w:r w:rsidRPr="00797F18">
              <w:t>ntibody, clone EPR20305</w:t>
            </w:r>
          </w:p>
        </w:tc>
        <w:tc>
          <w:tcPr>
            <w:tcW w:w="3021" w:type="dxa"/>
          </w:tcPr>
          <w:p w14:paraId="4E0D0EB6" w14:textId="77777777" w:rsidR="00CB326C" w:rsidRPr="00797F18" w:rsidRDefault="002B32BB" w:rsidP="007E046E">
            <w:pPr>
              <w:spacing w:line="480" w:lineRule="auto"/>
              <w:jc w:val="both"/>
            </w:pPr>
            <w:r w:rsidRPr="00797F18">
              <w:t>Abcam</w:t>
            </w:r>
          </w:p>
        </w:tc>
        <w:tc>
          <w:tcPr>
            <w:tcW w:w="3021" w:type="dxa"/>
          </w:tcPr>
          <w:p w14:paraId="65FA42FE" w14:textId="77777777" w:rsidR="00CB326C" w:rsidRPr="00797F18" w:rsidRDefault="002B32BB" w:rsidP="007E046E">
            <w:pPr>
              <w:spacing w:line="480" w:lineRule="auto"/>
              <w:jc w:val="both"/>
            </w:pPr>
            <w:r w:rsidRPr="00797F18">
              <w:t>ab209775</w:t>
            </w:r>
          </w:p>
        </w:tc>
      </w:tr>
      <w:tr w:rsidR="00F13FDA" w:rsidRPr="00797F18" w14:paraId="1CA74E8C" w14:textId="77777777" w:rsidTr="00800595">
        <w:tc>
          <w:tcPr>
            <w:tcW w:w="3020" w:type="dxa"/>
          </w:tcPr>
          <w:p w14:paraId="1FC5C437" w14:textId="1F7BB4F3" w:rsidR="00CB326C" w:rsidRPr="00797F18" w:rsidRDefault="002B32BB" w:rsidP="007E046E">
            <w:pPr>
              <w:spacing w:line="480" w:lineRule="auto"/>
              <w:jc w:val="both"/>
            </w:pPr>
            <w:r w:rsidRPr="00797F18">
              <w:t xml:space="preserve">Rat anti-F4/80 </w:t>
            </w:r>
            <w:r w:rsidR="000904AC">
              <w:t>a</w:t>
            </w:r>
            <w:r w:rsidRPr="00797F18">
              <w:t>ntibody, clone BM8</w:t>
            </w:r>
          </w:p>
        </w:tc>
        <w:tc>
          <w:tcPr>
            <w:tcW w:w="3021" w:type="dxa"/>
          </w:tcPr>
          <w:p w14:paraId="010534AC" w14:textId="77777777" w:rsidR="00CB326C" w:rsidRPr="00797F18" w:rsidRDefault="002B32BB" w:rsidP="007E046E">
            <w:pPr>
              <w:spacing w:line="480" w:lineRule="auto"/>
              <w:jc w:val="both"/>
            </w:pPr>
            <w:r w:rsidRPr="00797F18">
              <w:t>Thermo Fisher Scientific</w:t>
            </w:r>
          </w:p>
        </w:tc>
        <w:tc>
          <w:tcPr>
            <w:tcW w:w="3021" w:type="dxa"/>
          </w:tcPr>
          <w:p w14:paraId="3FC250EC" w14:textId="77777777" w:rsidR="00CB326C" w:rsidRPr="00797F18" w:rsidRDefault="002B32BB" w:rsidP="007E046E">
            <w:pPr>
              <w:spacing w:line="480" w:lineRule="auto"/>
              <w:jc w:val="both"/>
            </w:pPr>
            <w:r w:rsidRPr="00797F18">
              <w:t>14-4801-82</w:t>
            </w:r>
          </w:p>
        </w:tc>
      </w:tr>
      <w:tr w:rsidR="00F13FDA" w:rsidRPr="00797F18" w14:paraId="379C0F0D" w14:textId="77777777" w:rsidTr="00800595">
        <w:tc>
          <w:tcPr>
            <w:tcW w:w="3020" w:type="dxa"/>
          </w:tcPr>
          <w:p w14:paraId="597D0382" w14:textId="1E70597F" w:rsidR="00CB326C" w:rsidRPr="00797F18" w:rsidRDefault="002B32BB" w:rsidP="007E046E">
            <w:pPr>
              <w:spacing w:line="480" w:lineRule="auto"/>
              <w:jc w:val="both"/>
            </w:pPr>
            <w:r w:rsidRPr="00797F18">
              <w:lastRenderedPageBreak/>
              <w:t xml:space="preserve">Mouse anti-EF5 </w:t>
            </w:r>
            <w:r w:rsidR="000904AC">
              <w:t>a</w:t>
            </w:r>
            <w:r w:rsidRPr="00797F18">
              <w:t>ntibody (Cy3 conjugate), clone ELK3-51</w:t>
            </w:r>
          </w:p>
        </w:tc>
        <w:tc>
          <w:tcPr>
            <w:tcW w:w="3021" w:type="dxa"/>
          </w:tcPr>
          <w:p w14:paraId="2BFC8A57" w14:textId="77777777" w:rsidR="00CB326C" w:rsidRPr="00797F18" w:rsidRDefault="002B32BB" w:rsidP="007E046E">
            <w:pPr>
              <w:spacing w:line="480" w:lineRule="auto"/>
              <w:jc w:val="both"/>
            </w:pPr>
            <w:r w:rsidRPr="00797F18">
              <w:t>EMD Millipore</w:t>
            </w:r>
          </w:p>
        </w:tc>
        <w:tc>
          <w:tcPr>
            <w:tcW w:w="3021" w:type="dxa"/>
          </w:tcPr>
          <w:p w14:paraId="1253E59A" w14:textId="77777777" w:rsidR="00CB326C" w:rsidRPr="00797F18" w:rsidRDefault="002B32BB" w:rsidP="007E046E">
            <w:pPr>
              <w:spacing w:line="480" w:lineRule="auto"/>
              <w:jc w:val="both"/>
            </w:pPr>
            <w:r w:rsidRPr="00797F18">
              <w:t>AF3628-SP, part no. CS222730</w:t>
            </w:r>
          </w:p>
        </w:tc>
      </w:tr>
      <w:tr w:rsidR="00F13FDA" w:rsidRPr="00797F18" w14:paraId="7CDE842C" w14:textId="77777777" w:rsidTr="00800595">
        <w:tc>
          <w:tcPr>
            <w:tcW w:w="3020" w:type="dxa"/>
          </w:tcPr>
          <w:p w14:paraId="78FA31D9" w14:textId="432F6DBF" w:rsidR="00CB326C" w:rsidRPr="00797F18" w:rsidRDefault="002B32BB" w:rsidP="007E046E">
            <w:pPr>
              <w:spacing w:line="480" w:lineRule="auto"/>
              <w:jc w:val="both"/>
            </w:pPr>
            <w:r w:rsidRPr="00797F18">
              <w:t xml:space="preserve">Donkey </w:t>
            </w:r>
            <w:r w:rsidR="000904AC">
              <w:t>a</w:t>
            </w:r>
            <w:r w:rsidRPr="00797F18">
              <w:t xml:space="preserve">nti-Rabbit IgG </w:t>
            </w:r>
            <w:r w:rsidR="000904AC">
              <w:t>a</w:t>
            </w:r>
            <w:r w:rsidRPr="00797F18">
              <w:t>ntibody (Cy3®)</w:t>
            </w:r>
          </w:p>
        </w:tc>
        <w:tc>
          <w:tcPr>
            <w:tcW w:w="3021" w:type="dxa"/>
          </w:tcPr>
          <w:p w14:paraId="315740A7" w14:textId="77777777" w:rsidR="00CB326C" w:rsidRPr="00797F18" w:rsidRDefault="002B32BB" w:rsidP="007E046E">
            <w:pPr>
              <w:spacing w:line="480" w:lineRule="auto"/>
              <w:jc w:val="both"/>
            </w:pPr>
            <w:r w:rsidRPr="00797F18">
              <w:t>Jackson Immunoresearch</w:t>
            </w:r>
          </w:p>
        </w:tc>
        <w:tc>
          <w:tcPr>
            <w:tcW w:w="3021" w:type="dxa"/>
          </w:tcPr>
          <w:p w14:paraId="7B581304" w14:textId="77777777" w:rsidR="00CB326C" w:rsidRPr="00797F18" w:rsidRDefault="002B32BB" w:rsidP="007E046E">
            <w:pPr>
              <w:spacing w:line="480" w:lineRule="auto"/>
              <w:jc w:val="both"/>
            </w:pPr>
            <w:r w:rsidRPr="00797F18">
              <w:t>711-165-152</w:t>
            </w:r>
          </w:p>
        </w:tc>
      </w:tr>
      <w:tr w:rsidR="00F13FDA" w:rsidRPr="00797F18" w14:paraId="6D28645C" w14:textId="77777777" w:rsidTr="00800595">
        <w:tc>
          <w:tcPr>
            <w:tcW w:w="3020" w:type="dxa"/>
          </w:tcPr>
          <w:p w14:paraId="7F8198C5" w14:textId="4D49846B" w:rsidR="00CB326C" w:rsidRPr="00797F18" w:rsidRDefault="002B32BB" w:rsidP="007E046E">
            <w:pPr>
              <w:spacing w:line="480" w:lineRule="auto"/>
              <w:jc w:val="both"/>
            </w:pPr>
            <w:r w:rsidRPr="00797F18">
              <w:t xml:space="preserve">Donkey </w:t>
            </w:r>
            <w:r w:rsidR="000904AC">
              <w:t>a</w:t>
            </w:r>
            <w:r w:rsidRPr="00797F18">
              <w:t>nti-</w:t>
            </w:r>
            <w:r w:rsidR="000904AC">
              <w:t>g</w:t>
            </w:r>
            <w:r w:rsidRPr="00797F18">
              <w:t xml:space="preserve">oat IgG </w:t>
            </w:r>
            <w:r w:rsidR="000904AC">
              <w:t>a</w:t>
            </w:r>
            <w:r w:rsidRPr="00797F18">
              <w:t>ntibody (Alexa Fluor® 647)</w:t>
            </w:r>
          </w:p>
        </w:tc>
        <w:tc>
          <w:tcPr>
            <w:tcW w:w="3021" w:type="dxa"/>
          </w:tcPr>
          <w:p w14:paraId="29CEC976" w14:textId="77777777" w:rsidR="00CB326C" w:rsidRPr="00797F18" w:rsidRDefault="002B32BB" w:rsidP="007E046E">
            <w:pPr>
              <w:spacing w:line="480" w:lineRule="auto"/>
              <w:jc w:val="both"/>
            </w:pPr>
            <w:r w:rsidRPr="00797F18">
              <w:t>Jackson Immunoresearch</w:t>
            </w:r>
          </w:p>
        </w:tc>
        <w:tc>
          <w:tcPr>
            <w:tcW w:w="3021" w:type="dxa"/>
          </w:tcPr>
          <w:p w14:paraId="7D136C23" w14:textId="77777777" w:rsidR="00CB326C" w:rsidRPr="00797F18" w:rsidRDefault="002B32BB" w:rsidP="007E046E">
            <w:pPr>
              <w:spacing w:line="480" w:lineRule="auto"/>
              <w:jc w:val="both"/>
            </w:pPr>
            <w:r w:rsidRPr="00797F18">
              <w:t>705-605-147</w:t>
            </w:r>
          </w:p>
        </w:tc>
      </w:tr>
      <w:tr w:rsidR="00F13FDA" w:rsidRPr="00797F18" w14:paraId="0C7705C9" w14:textId="77777777" w:rsidTr="00800595">
        <w:tc>
          <w:tcPr>
            <w:tcW w:w="3020" w:type="dxa"/>
          </w:tcPr>
          <w:p w14:paraId="419F221F" w14:textId="659C1B88" w:rsidR="00CB326C" w:rsidRPr="00797F18" w:rsidRDefault="002B32BB" w:rsidP="007E046E">
            <w:pPr>
              <w:spacing w:line="480" w:lineRule="auto"/>
              <w:jc w:val="both"/>
            </w:pPr>
            <w:r w:rsidRPr="00797F18">
              <w:t xml:space="preserve">Donkey </w:t>
            </w:r>
            <w:r w:rsidR="000904AC">
              <w:t>a</w:t>
            </w:r>
            <w:r w:rsidRPr="00797F18">
              <w:t>nti-</w:t>
            </w:r>
            <w:r w:rsidR="000904AC">
              <w:t>r</w:t>
            </w:r>
            <w:r w:rsidRPr="00797F18">
              <w:t>at IgG (Alexa Fluor® 488)</w:t>
            </w:r>
          </w:p>
        </w:tc>
        <w:tc>
          <w:tcPr>
            <w:tcW w:w="3021" w:type="dxa"/>
          </w:tcPr>
          <w:p w14:paraId="10ECCD1E" w14:textId="77777777" w:rsidR="00CB326C" w:rsidRPr="00797F18" w:rsidRDefault="002B32BB" w:rsidP="007E046E">
            <w:pPr>
              <w:spacing w:line="480" w:lineRule="auto"/>
              <w:jc w:val="both"/>
            </w:pPr>
            <w:r w:rsidRPr="00797F18">
              <w:t>Jackson Immunoresearch</w:t>
            </w:r>
          </w:p>
        </w:tc>
        <w:tc>
          <w:tcPr>
            <w:tcW w:w="3021" w:type="dxa"/>
          </w:tcPr>
          <w:p w14:paraId="6785A0CF" w14:textId="77777777" w:rsidR="00CB326C" w:rsidRPr="00797F18" w:rsidRDefault="002B32BB" w:rsidP="007E046E">
            <w:pPr>
              <w:spacing w:line="480" w:lineRule="auto"/>
              <w:jc w:val="both"/>
            </w:pPr>
            <w:r w:rsidRPr="00797F18">
              <w:t>712-545-150</w:t>
            </w:r>
          </w:p>
        </w:tc>
      </w:tr>
    </w:tbl>
    <w:p w14:paraId="4D25A8AA" w14:textId="77777777" w:rsidR="00CB326C" w:rsidRPr="00797F18" w:rsidRDefault="00CB326C" w:rsidP="007E046E">
      <w:pPr>
        <w:spacing w:line="480" w:lineRule="auto"/>
        <w:jc w:val="both"/>
      </w:pPr>
    </w:p>
    <w:p w14:paraId="38C467E3" w14:textId="77777777" w:rsidR="00CB326C" w:rsidRPr="00797F18" w:rsidRDefault="002B32BB" w:rsidP="007E046E">
      <w:pPr>
        <w:pStyle w:val="Heading2"/>
        <w:spacing w:line="480" w:lineRule="auto"/>
      </w:pPr>
      <w:r w:rsidRPr="00797F18">
        <w:t xml:space="preserve">Radiosensitivity evaluation </w:t>
      </w:r>
      <w:r w:rsidRPr="00797F18">
        <w:rPr>
          <w:i/>
        </w:rPr>
        <w:t>in vitro</w:t>
      </w:r>
      <w:r w:rsidRPr="00797F18">
        <w:t xml:space="preserve"> and </w:t>
      </w:r>
      <w:r w:rsidRPr="00797F18">
        <w:rPr>
          <w:i/>
        </w:rPr>
        <w:t>in vivo</w:t>
      </w:r>
    </w:p>
    <w:p w14:paraId="61D2390B" w14:textId="150D2825" w:rsidR="00CB326C" w:rsidRPr="00797F18" w:rsidRDefault="002B32BB" w:rsidP="007E046E">
      <w:pPr>
        <w:spacing w:line="480" w:lineRule="auto"/>
        <w:jc w:val="both"/>
      </w:pPr>
      <w:r w:rsidRPr="00797F18">
        <w:rPr>
          <w:color w:val="000000"/>
          <w:shd w:val="clear" w:color="auto" w:fill="FFFFFF"/>
        </w:rPr>
        <w:t xml:space="preserve">To assess </w:t>
      </w:r>
      <w:r w:rsidRPr="00797F18">
        <w:t xml:space="preserve">the </w:t>
      </w:r>
      <w:r w:rsidRPr="00797F18">
        <w:rPr>
          <w:i/>
        </w:rPr>
        <w:t xml:space="preserve">in vitro </w:t>
      </w:r>
      <w:r w:rsidRPr="00797F18">
        <w:t>reproductive integrity of cells after irradiation,</w:t>
      </w:r>
      <w:r w:rsidRPr="00797F18">
        <w:rPr>
          <w:rFonts w:ascii="Calibri" w:eastAsia="Calibri" w:hAnsi="Calibri" w:cs="Times New Roman"/>
        </w:rPr>
        <w:t xml:space="preserve"> a</w:t>
      </w:r>
      <w:r w:rsidRPr="00797F18">
        <w:t xml:space="preserve"> </w:t>
      </w:r>
      <w:proofErr w:type="spellStart"/>
      <w:r w:rsidRPr="00797F18">
        <w:t>clonogenic</w:t>
      </w:r>
      <w:proofErr w:type="spellEnd"/>
      <w:r w:rsidRPr="00797F18">
        <w:t xml:space="preserve"> assay was performed</w:t>
      </w:r>
      <w:r w:rsidR="00356338">
        <w:t xml:space="preserve"> [3]</w:t>
      </w:r>
      <w:r w:rsidRPr="00797F18">
        <w:t>. Cells were trypsinized, counted, and seeded into wells of a 6-well plate according to the irradiation dose they received (</w:t>
      </w:r>
      <w:r w:rsidRPr="00797F18">
        <w:rPr>
          <w:rFonts w:ascii="Calibri" w:eastAsia="Calibri" w:hAnsi="Calibri" w:cs="Times New Roman"/>
        </w:rPr>
        <w:t>control</w:t>
      </w:r>
      <w:r w:rsidRPr="00797F18">
        <w:t xml:space="preserve"> - 50, 2 Gy - 100, 4 Gy - 300, 6 Gy - 1000, 8 Gy - 3000, 10 Gy – 5000, 12 </w:t>
      </w:r>
      <w:proofErr w:type="spellStart"/>
      <w:r w:rsidRPr="00797F18">
        <w:t>Gy</w:t>
      </w:r>
      <w:proofErr w:type="spellEnd"/>
      <w:r w:rsidRPr="00797F18">
        <w:t xml:space="preserve"> - 8000 cells).</w:t>
      </w:r>
      <w:r w:rsidRPr="00797F18">
        <w:rPr>
          <w:rFonts w:ascii="Calibri" w:eastAsia="Calibri" w:hAnsi="Calibri" w:cs="Times New Roman"/>
        </w:rPr>
        <w:t xml:space="preserve"> </w:t>
      </w:r>
      <w:r w:rsidRPr="00797F18">
        <w:t>After attachment, ~3 h after seeding</w:t>
      </w:r>
      <w:r w:rsidRPr="00797F18">
        <w:rPr>
          <w:rFonts w:ascii="Calibri" w:eastAsia="Calibri" w:hAnsi="Calibri" w:cs="Times New Roman"/>
        </w:rPr>
        <w:t>, they</w:t>
      </w:r>
      <w:r w:rsidRPr="00797F18">
        <w:t xml:space="preserve"> were irradiated with the </w:t>
      </w:r>
      <w:r w:rsidRPr="00797F18">
        <w:rPr>
          <w:color w:val="000000"/>
          <w:shd w:val="clear" w:color="auto" w:fill="FFFFFF"/>
        </w:rPr>
        <w:t>Gulmay 225 X-ray system (Gulmay Medical Ltd., Byfleet, UK) with 0.55 mm Cu and 1.8 mm Al filtering. The dose rate was 1.73 Gy/min.</w:t>
      </w:r>
      <w:r w:rsidRPr="00797F18">
        <w:t xml:space="preserve"> After irradiation, plates were incubated in a 5% CO</w:t>
      </w:r>
      <w:r w:rsidRPr="00797F18">
        <w:rPr>
          <w:vertAlign w:val="subscript"/>
        </w:rPr>
        <w:t>2</w:t>
      </w:r>
      <w:r w:rsidRPr="00797F18">
        <w:t xml:space="preserve"> humidified incubator at 37 °C for six days before the colonies were fixed and stained with crystal violet staining solution (0.5% crystal violet </w:t>
      </w:r>
      <w:r w:rsidRPr="00797F18">
        <w:rPr>
          <w:color w:val="000000"/>
          <w:shd w:val="clear" w:color="auto" w:fill="FFFFFF"/>
        </w:rPr>
        <w:t>(Sigma Aldrich)</w:t>
      </w:r>
      <w:r w:rsidRPr="00797F18">
        <w:t xml:space="preserve"> in 80% methanol)</w:t>
      </w:r>
      <w:r w:rsidRPr="00797F18">
        <w:rPr>
          <w:color w:val="000000"/>
          <w:shd w:val="clear" w:color="auto" w:fill="FFFFFF"/>
        </w:rPr>
        <w:t xml:space="preserve">. Colonies consisting of at least 50 cells were counted. Plating efficiency was calculated as the ratio between the number of counted colonies and the number of seeded cells. </w:t>
      </w:r>
      <w:r w:rsidRPr="00797F18">
        <w:rPr>
          <w:rFonts w:ascii="Calibri" w:eastAsia="Calibri" w:hAnsi="Calibri" w:cs="Times New Roman"/>
          <w:color w:val="000000"/>
        </w:rPr>
        <w:t>The surviving</w:t>
      </w:r>
      <w:r w:rsidRPr="00797F18">
        <w:rPr>
          <w:color w:val="000000"/>
          <w:shd w:val="clear" w:color="auto" w:fill="FFFFFF"/>
        </w:rPr>
        <w:t xml:space="preserve"> fraction of the cells was determined by normalizing the plating efficiencies of the irradiated groups to the plating efficiency of the unirradiated control group.</w:t>
      </w:r>
    </w:p>
    <w:p w14:paraId="58E34312" w14:textId="02232E82" w:rsidR="00CB326C" w:rsidRPr="00797F18" w:rsidRDefault="002B32BB" w:rsidP="007E046E">
      <w:pPr>
        <w:spacing w:line="480" w:lineRule="auto"/>
        <w:jc w:val="both"/>
      </w:pPr>
      <w:r w:rsidRPr="00797F18">
        <w:t xml:space="preserve">To evaluate the radiosensitivity of tumors </w:t>
      </w:r>
      <w:r w:rsidRPr="00797F18">
        <w:rPr>
          <w:i/>
        </w:rPr>
        <w:t xml:space="preserve">in vivo, </w:t>
      </w:r>
      <w:r w:rsidRPr="00797F18">
        <w:t>mice were randomly divided into the control group (n = 11–12) and irradiated group (n = 9–14) when tumor volumes reached 50-60 mm</w:t>
      </w:r>
      <w:r w:rsidRPr="00797F18">
        <w:rPr>
          <w:vertAlign w:val="superscript"/>
        </w:rPr>
        <w:t>3</w:t>
      </w:r>
      <w:r w:rsidRPr="00797F18">
        <w:t xml:space="preserve"> using </w:t>
      </w:r>
      <w:r w:rsidRPr="00797F18">
        <w:rPr>
          <w:rFonts w:ascii="Calibri" w:eastAsia="Calibri" w:hAnsi="Calibri" w:cs="Times New Roman"/>
        </w:rPr>
        <w:t xml:space="preserve">a GraphPad </w:t>
      </w:r>
      <w:proofErr w:type="spellStart"/>
      <w:r w:rsidRPr="00797F18">
        <w:rPr>
          <w:rFonts w:ascii="Calibri" w:eastAsia="Calibri" w:hAnsi="Calibri" w:cs="Times New Roman"/>
        </w:rPr>
        <w:t>QuickCalcs</w:t>
      </w:r>
      <w:proofErr w:type="spellEnd"/>
      <w:r w:rsidRPr="00797F18">
        <w:t xml:space="preserve"> random number generator. Mice assigned to the irradiated group were irradiated with a single dose of 15 Gy using the </w:t>
      </w:r>
      <w:r w:rsidRPr="00797F18">
        <w:rPr>
          <w:color w:val="000000"/>
          <w:shd w:val="clear" w:color="auto" w:fill="FFFFFF"/>
        </w:rPr>
        <w:t xml:space="preserve">Gulmay 225 X-ray system with 0.55 mm Cu and 1.8 mm Al filtering, and </w:t>
      </w:r>
      <w:r w:rsidRPr="00797F18">
        <w:rPr>
          <w:color w:val="000000"/>
          <w:shd w:val="clear" w:color="auto" w:fill="FFFFFF"/>
        </w:rPr>
        <w:lastRenderedPageBreak/>
        <w:t>1.92 Gy/min dose rate</w:t>
      </w:r>
      <w:r w:rsidRPr="00797F18">
        <w:t xml:space="preserve">. Local delivery of the irradiation dose to the tumor was ensured </w:t>
      </w:r>
      <w:r w:rsidR="009B1797">
        <w:t>using</w:t>
      </w:r>
      <w:r w:rsidRPr="00797F18">
        <w:t xml:space="preserve"> lead shielding. Tumor growth was evaluated by measuring the tumor volumes as described above and determining the time tumors needed to grow from 50-60 mm</w:t>
      </w:r>
      <w:r w:rsidRPr="00797F18">
        <w:rPr>
          <w:vertAlign w:val="superscript"/>
        </w:rPr>
        <w:t>3</w:t>
      </w:r>
      <w:r w:rsidRPr="00797F18">
        <w:t xml:space="preserve"> to 100 mm</w:t>
      </w:r>
      <w:r w:rsidRPr="00797F18">
        <w:rPr>
          <w:vertAlign w:val="superscript"/>
        </w:rPr>
        <w:t>3</w:t>
      </w:r>
      <w:r w:rsidRPr="00797F18">
        <w:t xml:space="preserve"> (time to 100 mm</w:t>
      </w:r>
      <w:r w:rsidRPr="00797F18">
        <w:rPr>
          <w:vertAlign w:val="superscript"/>
        </w:rPr>
        <w:t>3</w:t>
      </w:r>
      <w:r w:rsidRPr="00797F18">
        <w:t xml:space="preserve">). </w:t>
      </w:r>
      <w:r w:rsidRPr="00797F18">
        <w:rPr>
          <w:rFonts w:ascii="Calibri" w:eastAsia="Calibri" w:hAnsi="Calibri" w:cs="Times New Roman"/>
        </w:rPr>
        <w:t>The growth</w:t>
      </w:r>
      <w:r w:rsidRPr="00797F18">
        <w:t xml:space="preserve"> delay of irradiated tumors was calculated by subtracting the average time the nonirradiated tumors needed to reach 100 mm</w:t>
      </w:r>
      <w:r w:rsidRPr="00797F18">
        <w:rPr>
          <w:vertAlign w:val="superscript"/>
        </w:rPr>
        <w:t>3</w:t>
      </w:r>
      <w:r w:rsidRPr="00797F18">
        <w:t xml:space="preserve"> from the time that each irradiated tumor needed to reach 100 mm</w:t>
      </w:r>
      <w:r w:rsidRPr="00797F18">
        <w:rPr>
          <w:vertAlign w:val="superscript"/>
        </w:rPr>
        <w:t>3</w:t>
      </w:r>
      <w:r w:rsidRPr="00797F18">
        <w:t>.</w:t>
      </w:r>
    </w:p>
    <w:p w14:paraId="2190EED8" w14:textId="77777777" w:rsidR="00CB326C" w:rsidRPr="00797F18" w:rsidRDefault="002B32BB" w:rsidP="007E046E">
      <w:pPr>
        <w:pStyle w:val="Heading2"/>
        <w:spacing w:line="480" w:lineRule="auto"/>
      </w:pPr>
      <w:r w:rsidRPr="00797F18">
        <w:t>Statistical analysis</w:t>
      </w:r>
    </w:p>
    <w:p w14:paraId="50279E1F" w14:textId="795F0962" w:rsidR="00CB326C" w:rsidRPr="00797F18" w:rsidRDefault="002B32BB" w:rsidP="007E046E">
      <w:pPr>
        <w:spacing w:line="480" w:lineRule="auto"/>
        <w:jc w:val="both"/>
      </w:pPr>
      <w:bookmarkStart w:id="7" w:name="_Hlk119565783"/>
      <w:r w:rsidRPr="00797F18">
        <w:t xml:space="preserve">Statistical analysis and graph plotting were </w:t>
      </w:r>
      <w:r w:rsidR="0029148E">
        <w:t>performed</w:t>
      </w:r>
      <w:r w:rsidRPr="00797F18">
        <w:t xml:space="preserve"> using GraphPad Prism 9 (La Jolla, CA, USA). Datasets were tested for normal distribution using </w:t>
      </w:r>
      <w:r w:rsidRPr="00797F18">
        <w:rPr>
          <w:rFonts w:ascii="Calibri" w:eastAsia="Calibri" w:hAnsi="Calibri" w:cs="Times New Roman"/>
        </w:rPr>
        <w:t xml:space="preserve">the </w:t>
      </w:r>
      <w:r w:rsidRPr="00797F18">
        <w:t xml:space="preserve">D’Agostino-Pearson normality test. Statistical significance was evaluated using </w:t>
      </w:r>
      <w:r w:rsidRPr="00797F18">
        <w:rPr>
          <w:rFonts w:ascii="Calibri" w:eastAsia="Calibri" w:hAnsi="Calibri" w:cs="Times New Roman"/>
        </w:rPr>
        <w:t>ordinary</w:t>
      </w:r>
      <w:r w:rsidRPr="00797F18">
        <w:t xml:space="preserve"> one-way ANOVA with Tukey’s multiple comparisons test for normally distributed data and </w:t>
      </w:r>
      <w:r w:rsidRPr="00797F18">
        <w:rPr>
          <w:rFonts w:ascii="Calibri" w:eastAsia="Calibri" w:hAnsi="Calibri" w:cs="Times New Roman"/>
        </w:rPr>
        <w:t>nonparametric</w:t>
      </w:r>
      <w:r w:rsidRPr="00797F18">
        <w:t xml:space="preserve"> one-way ANOVA (Kruskal‒Wallis test) for data without</w:t>
      </w:r>
      <w:r w:rsidRPr="00797F18">
        <w:rPr>
          <w:rFonts w:ascii="Calibri" w:eastAsia="Calibri" w:hAnsi="Calibri" w:cs="Times New Roman"/>
        </w:rPr>
        <w:t xml:space="preserve"> a</w:t>
      </w:r>
      <w:r w:rsidRPr="00797F18">
        <w:t xml:space="preserve"> normal distribution. A p value &lt; 0.05 was considered statistically significant. Throughout the manuscript, the following symbols</w:t>
      </w:r>
      <w:r w:rsidRPr="00797F18">
        <w:rPr>
          <w:rFonts w:ascii="Calibri" w:eastAsia="Calibri" w:hAnsi="Calibri" w:cs="Times New Roman"/>
        </w:rPr>
        <w:t xml:space="preserve"> </w:t>
      </w:r>
      <w:r w:rsidRPr="00797F18">
        <w:t>indicate statistical significance: * p &lt; 0.05, ** p &lt; 0.01, *** p &lt; 0.001, and **** p &lt; 0.0001.</w:t>
      </w:r>
      <w:r w:rsidRPr="00797F18">
        <w:rPr>
          <w:rFonts w:ascii="Calibri" w:eastAsia="Calibri" w:hAnsi="Calibri" w:cs="Times New Roman"/>
        </w:rPr>
        <w:t xml:space="preserve"> The sample</w:t>
      </w:r>
      <w:r w:rsidRPr="00797F18">
        <w:t xml:space="preserve"> size (n) for each experiment is presented in </w:t>
      </w:r>
      <w:r w:rsidRPr="00797F18">
        <w:rPr>
          <w:rFonts w:ascii="Calibri" w:eastAsia="Calibri" w:hAnsi="Calibri" w:cs="Times New Roman"/>
        </w:rPr>
        <w:t xml:space="preserve">the </w:t>
      </w:r>
      <w:r w:rsidRPr="00797F18">
        <w:t>figure legends and represents the number of biological replicates unless otherwise stated. All experiments were repeated at least two times.</w:t>
      </w:r>
    </w:p>
    <w:p w14:paraId="23AA1203" w14:textId="60FACC6E" w:rsidR="001C13BD" w:rsidRDefault="001C13BD" w:rsidP="007E046E">
      <w:pPr>
        <w:spacing w:line="480" w:lineRule="auto"/>
        <w:jc w:val="both"/>
      </w:pPr>
    </w:p>
    <w:p w14:paraId="10818057" w14:textId="142E603A" w:rsidR="0031136C" w:rsidRDefault="0031136C" w:rsidP="0031136C">
      <w:pPr>
        <w:pStyle w:val="Heading1"/>
        <w:numPr>
          <w:ilvl w:val="0"/>
          <w:numId w:val="0"/>
        </w:numPr>
        <w:ind w:left="432" w:hanging="432"/>
      </w:pPr>
      <w:r>
        <w:t>References</w:t>
      </w:r>
    </w:p>
    <w:p w14:paraId="522E430C" w14:textId="77777777" w:rsidR="0031136C" w:rsidRPr="0031136C" w:rsidRDefault="0031136C" w:rsidP="0031136C"/>
    <w:bookmarkEnd w:id="7"/>
    <w:p w14:paraId="7BDEFF21" w14:textId="553D0F69" w:rsidR="00356338" w:rsidRDefault="00356338" w:rsidP="00356338">
      <w:pPr>
        <w:spacing w:line="480" w:lineRule="auto"/>
        <w:ind w:left="709" w:hanging="709"/>
        <w:rPr>
          <w:rFonts w:eastAsia="Times New Roman"/>
        </w:rPr>
      </w:pPr>
      <w:r w:rsidRPr="00356338">
        <w:rPr>
          <w:rFonts w:eastAsia="Times New Roman"/>
        </w:rPr>
        <w:t>1.</w:t>
      </w:r>
      <w:r>
        <w:rPr>
          <w:rFonts w:eastAsia="Times New Roman"/>
        </w:rPr>
        <w:tab/>
      </w:r>
      <w:proofErr w:type="spellStart"/>
      <w:r w:rsidRPr="00356338">
        <w:rPr>
          <w:rFonts w:eastAsia="Times New Roman"/>
        </w:rPr>
        <w:t>Schindelin</w:t>
      </w:r>
      <w:proofErr w:type="spellEnd"/>
      <w:r w:rsidRPr="00356338">
        <w:rPr>
          <w:rFonts w:eastAsia="Times New Roman"/>
        </w:rPr>
        <w:t xml:space="preserve"> J, </w:t>
      </w:r>
      <w:proofErr w:type="spellStart"/>
      <w:r w:rsidRPr="00356338">
        <w:rPr>
          <w:rFonts w:eastAsia="Times New Roman"/>
        </w:rPr>
        <w:t>Arganda</w:t>
      </w:r>
      <w:proofErr w:type="spellEnd"/>
      <w:r w:rsidRPr="00356338">
        <w:rPr>
          <w:rFonts w:eastAsia="Times New Roman"/>
        </w:rPr>
        <w:t xml:space="preserve">-Carreras I, </w:t>
      </w:r>
      <w:proofErr w:type="spellStart"/>
      <w:r w:rsidRPr="00356338">
        <w:rPr>
          <w:rFonts w:eastAsia="Times New Roman"/>
        </w:rPr>
        <w:t>Frise</w:t>
      </w:r>
      <w:proofErr w:type="spellEnd"/>
      <w:r w:rsidRPr="00356338">
        <w:rPr>
          <w:rFonts w:eastAsia="Times New Roman"/>
        </w:rPr>
        <w:t xml:space="preserve"> E, </w:t>
      </w:r>
      <w:proofErr w:type="spellStart"/>
      <w:r w:rsidRPr="00356338">
        <w:rPr>
          <w:rFonts w:eastAsia="Times New Roman"/>
        </w:rPr>
        <w:t>Kaynig</w:t>
      </w:r>
      <w:proofErr w:type="spellEnd"/>
      <w:r w:rsidRPr="00356338">
        <w:rPr>
          <w:rFonts w:eastAsia="Times New Roman"/>
        </w:rPr>
        <w:t xml:space="preserve"> V, </w:t>
      </w:r>
      <w:proofErr w:type="spellStart"/>
      <w:r w:rsidRPr="00356338">
        <w:rPr>
          <w:rFonts w:eastAsia="Times New Roman"/>
        </w:rPr>
        <w:t>Longair</w:t>
      </w:r>
      <w:proofErr w:type="spellEnd"/>
      <w:r w:rsidRPr="00356338">
        <w:rPr>
          <w:rFonts w:eastAsia="Times New Roman"/>
        </w:rPr>
        <w:t xml:space="preserve"> M, </w:t>
      </w:r>
      <w:proofErr w:type="spellStart"/>
      <w:r w:rsidRPr="00356338">
        <w:rPr>
          <w:rFonts w:eastAsia="Times New Roman"/>
        </w:rPr>
        <w:t>Pietzsch</w:t>
      </w:r>
      <w:proofErr w:type="spellEnd"/>
      <w:r w:rsidRPr="00356338">
        <w:rPr>
          <w:rFonts w:eastAsia="Times New Roman"/>
        </w:rPr>
        <w:t xml:space="preserve"> T, et al. Fiji: an open-source platform for biological-image analysis. Nat Methods. </w:t>
      </w:r>
      <w:proofErr w:type="gramStart"/>
      <w:r w:rsidRPr="00356338">
        <w:rPr>
          <w:rFonts w:eastAsia="Times New Roman"/>
        </w:rPr>
        <w:t>2012;9:676</w:t>
      </w:r>
      <w:proofErr w:type="gramEnd"/>
      <w:r w:rsidRPr="00356338">
        <w:rPr>
          <w:rFonts w:eastAsia="Times New Roman"/>
        </w:rPr>
        <w:t xml:space="preserve">–82. </w:t>
      </w:r>
    </w:p>
    <w:p w14:paraId="22850D42" w14:textId="5FD3FAE1" w:rsidR="00356338" w:rsidRDefault="00356338" w:rsidP="00356338">
      <w:pPr>
        <w:spacing w:line="480" w:lineRule="auto"/>
        <w:ind w:left="709" w:hanging="709"/>
        <w:rPr>
          <w:rFonts w:eastAsia="Times New Roman"/>
        </w:rPr>
      </w:pPr>
      <w:r>
        <w:rPr>
          <w:rFonts w:eastAsia="Times New Roman"/>
        </w:rPr>
        <w:t xml:space="preserve">2. </w:t>
      </w:r>
      <w:r>
        <w:rPr>
          <w:rFonts w:eastAsia="Times New Roman"/>
        </w:rPr>
        <w:tab/>
      </w:r>
      <w:proofErr w:type="spellStart"/>
      <w:r>
        <w:rPr>
          <w:rFonts w:eastAsia="Times New Roman"/>
        </w:rPr>
        <w:t>Jonkman</w:t>
      </w:r>
      <w:proofErr w:type="spellEnd"/>
      <w:r>
        <w:rPr>
          <w:rFonts w:eastAsia="Times New Roman"/>
        </w:rPr>
        <w:t xml:space="preserve"> JEN, </w:t>
      </w:r>
      <w:proofErr w:type="spellStart"/>
      <w:r>
        <w:rPr>
          <w:rFonts w:eastAsia="Times New Roman"/>
        </w:rPr>
        <w:t>Cathcart</w:t>
      </w:r>
      <w:proofErr w:type="spellEnd"/>
      <w:r>
        <w:rPr>
          <w:rFonts w:eastAsia="Times New Roman"/>
        </w:rPr>
        <w:t xml:space="preserve"> JA, Xu F, Bartolini ME, Amon JE, Stevens KM, et al. An introduction to the wound healing assay using live-cell microscopy. Cell </w:t>
      </w:r>
      <w:proofErr w:type="spellStart"/>
      <w:r>
        <w:rPr>
          <w:rFonts w:eastAsia="Times New Roman"/>
        </w:rPr>
        <w:t>Adh</w:t>
      </w:r>
      <w:proofErr w:type="spellEnd"/>
      <w:r>
        <w:rPr>
          <w:rFonts w:eastAsia="Times New Roman"/>
        </w:rPr>
        <w:t xml:space="preserve"> </w:t>
      </w:r>
      <w:proofErr w:type="spellStart"/>
      <w:r>
        <w:rPr>
          <w:rFonts w:eastAsia="Times New Roman"/>
        </w:rPr>
        <w:t>Migr</w:t>
      </w:r>
      <w:proofErr w:type="spellEnd"/>
      <w:r>
        <w:rPr>
          <w:rFonts w:eastAsia="Times New Roman"/>
        </w:rPr>
        <w:t xml:space="preserve">. </w:t>
      </w:r>
      <w:proofErr w:type="gramStart"/>
      <w:r>
        <w:rPr>
          <w:rFonts w:eastAsia="Times New Roman"/>
        </w:rPr>
        <w:t>2014;8:440</w:t>
      </w:r>
      <w:proofErr w:type="gramEnd"/>
      <w:r>
        <w:rPr>
          <w:rFonts w:eastAsia="Times New Roman"/>
        </w:rPr>
        <w:t>–51.</w:t>
      </w:r>
    </w:p>
    <w:p w14:paraId="66DEFC77" w14:textId="79CEF8DE" w:rsidR="004221AE" w:rsidRPr="0031136C" w:rsidRDefault="00356338" w:rsidP="0031136C">
      <w:pPr>
        <w:spacing w:line="480" w:lineRule="auto"/>
        <w:ind w:left="709" w:hanging="709"/>
        <w:rPr>
          <w:rFonts w:eastAsia="Times New Roman"/>
        </w:rPr>
      </w:pPr>
      <w:r>
        <w:rPr>
          <w:rFonts w:eastAsia="Times New Roman"/>
        </w:rPr>
        <w:t xml:space="preserve">3. </w:t>
      </w:r>
      <w:r>
        <w:rPr>
          <w:rFonts w:eastAsia="Times New Roman"/>
        </w:rPr>
        <w:tab/>
        <w:t xml:space="preserve">Franken NAP, </w:t>
      </w:r>
      <w:proofErr w:type="spellStart"/>
      <w:r>
        <w:rPr>
          <w:rFonts w:eastAsia="Times New Roman"/>
        </w:rPr>
        <w:t>Rodermond</w:t>
      </w:r>
      <w:proofErr w:type="spellEnd"/>
      <w:r>
        <w:rPr>
          <w:rFonts w:eastAsia="Times New Roman"/>
        </w:rPr>
        <w:t xml:space="preserve"> HM, </w:t>
      </w:r>
      <w:proofErr w:type="spellStart"/>
      <w:r>
        <w:rPr>
          <w:rFonts w:eastAsia="Times New Roman"/>
        </w:rPr>
        <w:t>Stap</w:t>
      </w:r>
      <w:proofErr w:type="spellEnd"/>
      <w:r>
        <w:rPr>
          <w:rFonts w:eastAsia="Times New Roman"/>
        </w:rPr>
        <w:t xml:space="preserve"> J, </w:t>
      </w:r>
      <w:proofErr w:type="spellStart"/>
      <w:r>
        <w:rPr>
          <w:rFonts w:eastAsia="Times New Roman"/>
        </w:rPr>
        <w:t>Haveman</w:t>
      </w:r>
      <w:proofErr w:type="spellEnd"/>
      <w:r>
        <w:rPr>
          <w:rFonts w:eastAsia="Times New Roman"/>
        </w:rPr>
        <w:t xml:space="preserve"> J, van Bree C. </w:t>
      </w:r>
      <w:proofErr w:type="spellStart"/>
      <w:r>
        <w:rPr>
          <w:rFonts w:eastAsia="Times New Roman"/>
        </w:rPr>
        <w:t>Clonogenic</w:t>
      </w:r>
      <w:proofErr w:type="spellEnd"/>
      <w:r>
        <w:rPr>
          <w:rFonts w:eastAsia="Times New Roman"/>
        </w:rPr>
        <w:t xml:space="preserve"> assay of cells in vitro. Nat </w:t>
      </w:r>
      <w:proofErr w:type="spellStart"/>
      <w:r>
        <w:rPr>
          <w:rFonts w:eastAsia="Times New Roman"/>
        </w:rPr>
        <w:t>Protoc</w:t>
      </w:r>
      <w:proofErr w:type="spellEnd"/>
      <w:r>
        <w:rPr>
          <w:rFonts w:eastAsia="Times New Roman"/>
        </w:rPr>
        <w:t xml:space="preserve">. </w:t>
      </w:r>
      <w:proofErr w:type="gramStart"/>
      <w:r>
        <w:rPr>
          <w:rFonts w:eastAsia="Times New Roman"/>
        </w:rPr>
        <w:t>2006;1:2315</w:t>
      </w:r>
      <w:proofErr w:type="gramEnd"/>
      <w:r>
        <w:rPr>
          <w:rFonts w:eastAsia="Times New Roman"/>
        </w:rPr>
        <w:t>–9.</w:t>
      </w:r>
    </w:p>
    <w:sectPr w:rsidR="004221AE" w:rsidRPr="0031136C" w:rsidSect="00DC463A">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B9A9E8" w14:textId="77777777" w:rsidR="00FD1570" w:rsidRDefault="00FD1570" w:rsidP="002D189E">
      <w:pPr>
        <w:spacing w:after="0" w:line="240" w:lineRule="auto"/>
      </w:pPr>
      <w:r>
        <w:separator/>
      </w:r>
    </w:p>
  </w:endnote>
  <w:endnote w:type="continuationSeparator" w:id="0">
    <w:p w14:paraId="2CAFEA2F" w14:textId="77777777" w:rsidR="00FD1570" w:rsidRDefault="00FD1570" w:rsidP="002D1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4D9D15" w14:textId="77777777" w:rsidR="00FD1570" w:rsidRDefault="00FD1570" w:rsidP="002D189E">
      <w:pPr>
        <w:spacing w:after="0" w:line="240" w:lineRule="auto"/>
      </w:pPr>
      <w:r>
        <w:separator/>
      </w:r>
    </w:p>
  </w:footnote>
  <w:footnote w:type="continuationSeparator" w:id="0">
    <w:p w14:paraId="046BC5C4" w14:textId="77777777" w:rsidR="00FD1570" w:rsidRDefault="00FD1570" w:rsidP="002D18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DE521C"/>
    <w:multiLevelType w:val="multilevel"/>
    <w:tmpl w:val="ACB64AA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6693657D"/>
    <w:multiLevelType w:val="hybridMultilevel"/>
    <w:tmpl w:val="652234C0"/>
    <w:lvl w:ilvl="0" w:tplc="701670D0">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26C"/>
    <w:rsid w:val="000262FE"/>
    <w:rsid w:val="00031817"/>
    <w:rsid w:val="00081C18"/>
    <w:rsid w:val="000904AC"/>
    <w:rsid w:val="000C1677"/>
    <w:rsid w:val="000D6D2A"/>
    <w:rsid w:val="000E3435"/>
    <w:rsid w:val="000E5BEA"/>
    <w:rsid w:val="0010421D"/>
    <w:rsid w:val="00110A73"/>
    <w:rsid w:val="0012148D"/>
    <w:rsid w:val="0014276D"/>
    <w:rsid w:val="0014601B"/>
    <w:rsid w:val="00185F6C"/>
    <w:rsid w:val="00195460"/>
    <w:rsid w:val="001C13BD"/>
    <w:rsid w:val="001D1205"/>
    <w:rsid w:val="001E0A41"/>
    <w:rsid w:val="00246238"/>
    <w:rsid w:val="00253B4A"/>
    <w:rsid w:val="0029148E"/>
    <w:rsid w:val="002B32BB"/>
    <w:rsid w:val="002D189E"/>
    <w:rsid w:val="002F2996"/>
    <w:rsid w:val="0031136C"/>
    <w:rsid w:val="00322FEC"/>
    <w:rsid w:val="00326F03"/>
    <w:rsid w:val="00330DCB"/>
    <w:rsid w:val="003345C7"/>
    <w:rsid w:val="00356338"/>
    <w:rsid w:val="00365CC0"/>
    <w:rsid w:val="00376892"/>
    <w:rsid w:val="003B5BA5"/>
    <w:rsid w:val="003B616C"/>
    <w:rsid w:val="004221AE"/>
    <w:rsid w:val="00427E62"/>
    <w:rsid w:val="00451C55"/>
    <w:rsid w:val="004563F0"/>
    <w:rsid w:val="004B665D"/>
    <w:rsid w:val="004C402F"/>
    <w:rsid w:val="00507406"/>
    <w:rsid w:val="00552A13"/>
    <w:rsid w:val="00595F6F"/>
    <w:rsid w:val="005B0B5E"/>
    <w:rsid w:val="005D24A2"/>
    <w:rsid w:val="0062009D"/>
    <w:rsid w:val="006211DA"/>
    <w:rsid w:val="006501F8"/>
    <w:rsid w:val="006839FD"/>
    <w:rsid w:val="006B0B39"/>
    <w:rsid w:val="006B2F94"/>
    <w:rsid w:val="006E11C5"/>
    <w:rsid w:val="006F5FAA"/>
    <w:rsid w:val="00721A69"/>
    <w:rsid w:val="007248F6"/>
    <w:rsid w:val="00724DA0"/>
    <w:rsid w:val="007514F4"/>
    <w:rsid w:val="0077708F"/>
    <w:rsid w:val="00786092"/>
    <w:rsid w:val="00793C37"/>
    <w:rsid w:val="007954D7"/>
    <w:rsid w:val="00797F18"/>
    <w:rsid w:val="007C3105"/>
    <w:rsid w:val="007D653B"/>
    <w:rsid w:val="007E046E"/>
    <w:rsid w:val="00800595"/>
    <w:rsid w:val="00847967"/>
    <w:rsid w:val="00853FA2"/>
    <w:rsid w:val="00874F95"/>
    <w:rsid w:val="00880A9E"/>
    <w:rsid w:val="008907FC"/>
    <w:rsid w:val="008B2551"/>
    <w:rsid w:val="008C1B08"/>
    <w:rsid w:val="008C2505"/>
    <w:rsid w:val="00910E37"/>
    <w:rsid w:val="00950C92"/>
    <w:rsid w:val="00960468"/>
    <w:rsid w:val="009B1797"/>
    <w:rsid w:val="00A42B47"/>
    <w:rsid w:val="00A50B56"/>
    <w:rsid w:val="00A54732"/>
    <w:rsid w:val="00A858C8"/>
    <w:rsid w:val="00A85E6E"/>
    <w:rsid w:val="00B11AE4"/>
    <w:rsid w:val="00B25925"/>
    <w:rsid w:val="00B75E98"/>
    <w:rsid w:val="00B77EFD"/>
    <w:rsid w:val="00B97A8F"/>
    <w:rsid w:val="00BC5630"/>
    <w:rsid w:val="00BD6ACB"/>
    <w:rsid w:val="00C02E68"/>
    <w:rsid w:val="00C75BCC"/>
    <w:rsid w:val="00C92541"/>
    <w:rsid w:val="00C96743"/>
    <w:rsid w:val="00CB326C"/>
    <w:rsid w:val="00D30C10"/>
    <w:rsid w:val="00D50A9C"/>
    <w:rsid w:val="00D64ADE"/>
    <w:rsid w:val="00D95DB0"/>
    <w:rsid w:val="00DA7A85"/>
    <w:rsid w:val="00DB412E"/>
    <w:rsid w:val="00DC463A"/>
    <w:rsid w:val="00DD20CA"/>
    <w:rsid w:val="00DD27F8"/>
    <w:rsid w:val="00DE58C8"/>
    <w:rsid w:val="00DF001C"/>
    <w:rsid w:val="00DF7634"/>
    <w:rsid w:val="00E0509F"/>
    <w:rsid w:val="00E2078D"/>
    <w:rsid w:val="00E56279"/>
    <w:rsid w:val="00E93388"/>
    <w:rsid w:val="00EA3FAD"/>
    <w:rsid w:val="00ED13C3"/>
    <w:rsid w:val="00ED3642"/>
    <w:rsid w:val="00EE3997"/>
    <w:rsid w:val="00F13FDA"/>
    <w:rsid w:val="00F65C78"/>
    <w:rsid w:val="00F84DF5"/>
    <w:rsid w:val="00FC5509"/>
    <w:rsid w:val="00FD1570"/>
    <w:rsid w:val="00FD67A6"/>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DC8755"/>
  <w15:chartTrackingRefBased/>
  <w15:docId w15:val="{F679D26E-C77D-4E5A-BD04-A91778C9F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326C"/>
    <w:rPr>
      <w:lang w:val="en-US"/>
    </w:rPr>
  </w:style>
  <w:style w:type="paragraph" w:styleId="Heading1">
    <w:name w:val="heading 1"/>
    <w:basedOn w:val="Normal"/>
    <w:next w:val="Normal"/>
    <w:link w:val="Heading1Char"/>
    <w:uiPriority w:val="9"/>
    <w:qFormat/>
    <w:rsid w:val="00CB326C"/>
    <w:pPr>
      <w:keepNext/>
      <w:keepLines/>
      <w:numPr>
        <w:numId w:val="1"/>
      </w:numPr>
      <w:spacing w:before="240" w:after="0"/>
      <w:jc w:val="both"/>
      <w:outlineLvl w:val="0"/>
    </w:pPr>
    <w:rPr>
      <w:rFonts w:ascii="Calibri" w:eastAsiaTheme="majorEastAsia" w:hAnsi="Calibri" w:cs="Calibri"/>
      <w:b/>
      <w:color w:val="000000" w:themeColor="text1"/>
      <w:sz w:val="26"/>
      <w:szCs w:val="26"/>
    </w:rPr>
  </w:style>
  <w:style w:type="paragraph" w:styleId="Heading2">
    <w:name w:val="heading 2"/>
    <w:basedOn w:val="Normal"/>
    <w:next w:val="Normal"/>
    <w:link w:val="Heading2Char"/>
    <w:uiPriority w:val="9"/>
    <w:unhideWhenUsed/>
    <w:qFormat/>
    <w:rsid w:val="00CB326C"/>
    <w:pPr>
      <w:keepNext/>
      <w:keepLines/>
      <w:numPr>
        <w:ilvl w:val="1"/>
        <w:numId w:val="1"/>
      </w:numPr>
      <w:spacing w:before="40" w:after="0"/>
      <w:outlineLvl w:val="1"/>
    </w:pPr>
    <w:rPr>
      <w:rFonts w:asciiTheme="majorHAnsi" w:eastAsiaTheme="majorEastAsia" w:hAnsiTheme="majorHAnsi" w:cstheme="majorBidi"/>
      <w:b/>
      <w:color w:val="000000" w:themeColor="text1"/>
      <w:sz w:val="24"/>
      <w:szCs w:val="26"/>
    </w:rPr>
  </w:style>
  <w:style w:type="paragraph" w:styleId="Heading3">
    <w:name w:val="heading 3"/>
    <w:basedOn w:val="Normal"/>
    <w:next w:val="Normal"/>
    <w:link w:val="Heading3Char"/>
    <w:uiPriority w:val="9"/>
    <w:semiHidden/>
    <w:unhideWhenUsed/>
    <w:qFormat/>
    <w:rsid w:val="00CB326C"/>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B326C"/>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B326C"/>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B326C"/>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B326C"/>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B326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B326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26C"/>
    <w:rPr>
      <w:rFonts w:ascii="Calibri" w:eastAsiaTheme="majorEastAsia" w:hAnsi="Calibri" w:cs="Calibri"/>
      <w:b/>
      <w:color w:val="000000" w:themeColor="text1"/>
      <w:sz w:val="26"/>
      <w:szCs w:val="26"/>
      <w:lang w:val="en-US"/>
    </w:rPr>
  </w:style>
  <w:style w:type="character" w:customStyle="1" w:styleId="Heading2Char">
    <w:name w:val="Heading 2 Char"/>
    <w:basedOn w:val="DefaultParagraphFont"/>
    <w:link w:val="Heading2"/>
    <w:uiPriority w:val="9"/>
    <w:rsid w:val="00CB326C"/>
    <w:rPr>
      <w:rFonts w:asciiTheme="majorHAnsi" w:eastAsiaTheme="majorEastAsia" w:hAnsiTheme="majorHAnsi" w:cstheme="majorBidi"/>
      <w:b/>
      <w:color w:val="000000" w:themeColor="text1"/>
      <w:sz w:val="24"/>
      <w:szCs w:val="26"/>
      <w:lang w:val="en-US"/>
    </w:rPr>
  </w:style>
  <w:style w:type="character" w:customStyle="1" w:styleId="Heading3Char">
    <w:name w:val="Heading 3 Char"/>
    <w:basedOn w:val="DefaultParagraphFont"/>
    <w:link w:val="Heading3"/>
    <w:uiPriority w:val="9"/>
    <w:semiHidden/>
    <w:rsid w:val="00CB326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CB326C"/>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B326C"/>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B326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B326C"/>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B326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B326C"/>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CB326C"/>
    <w:rPr>
      <w:sz w:val="16"/>
      <w:szCs w:val="16"/>
    </w:rPr>
  </w:style>
  <w:style w:type="paragraph" w:styleId="CommentText">
    <w:name w:val="annotation text"/>
    <w:basedOn w:val="Normal"/>
    <w:link w:val="CommentTextChar"/>
    <w:uiPriority w:val="99"/>
    <w:unhideWhenUsed/>
    <w:rsid w:val="00CB326C"/>
    <w:pPr>
      <w:spacing w:line="240" w:lineRule="auto"/>
    </w:pPr>
    <w:rPr>
      <w:sz w:val="20"/>
      <w:szCs w:val="20"/>
    </w:rPr>
  </w:style>
  <w:style w:type="character" w:customStyle="1" w:styleId="CommentTextChar">
    <w:name w:val="Comment Text Char"/>
    <w:basedOn w:val="DefaultParagraphFont"/>
    <w:link w:val="CommentText"/>
    <w:uiPriority w:val="99"/>
    <w:rsid w:val="00CB326C"/>
    <w:rPr>
      <w:sz w:val="20"/>
      <w:szCs w:val="20"/>
    </w:rPr>
  </w:style>
  <w:style w:type="table" w:styleId="TableGrid">
    <w:name w:val="Table Grid"/>
    <w:basedOn w:val="TableNormal"/>
    <w:uiPriority w:val="39"/>
    <w:rsid w:val="00CB32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B32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326C"/>
    <w:rPr>
      <w:rFonts w:ascii="Segoe UI" w:hAnsi="Segoe UI" w:cs="Segoe UI"/>
      <w:sz w:val="18"/>
      <w:szCs w:val="18"/>
    </w:rPr>
  </w:style>
  <w:style w:type="character" w:styleId="PlaceholderText">
    <w:name w:val="Placeholder Text"/>
    <w:basedOn w:val="DefaultParagraphFont"/>
    <w:uiPriority w:val="99"/>
    <w:semiHidden/>
    <w:rsid w:val="00CB326C"/>
    <w:rPr>
      <w:color w:val="808080"/>
    </w:rPr>
  </w:style>
  <w:style w:type="paragraph" w:styleId="CommentSubject">
    <w:name w:val="annotation subject"/>
    <w:basedOn w:val="CommentText"/>
    <w:next w:val="CommentText"/>
    <w:link w:val="CommentSubjectChar"/>
    <w:uiPriority w:val="99"/>
    <w:semiHidden/>
    <w:unhideWhenUsed/>
    <w:rsid w:val="00E0509F"/>
    <w:rPr>
      <w:b/>
      <w:bCs/>
    </w:rPr>
  </w:style>
  <w:style w:type="character" w:customStyle="1" w:styleId="CommentSubjectChar">
    <w:name w:val="Comment Subject Char"/>
    <w:basedOn w:val="CommentTextChar"/>
    <w:link w:val="CommentSubject"/>
    <w:uiPriority w:val="99"/>
    <w:semiHidden/>
    <w:rsid w:val="00E0509F"/>
    <w:rPr>
      <w:b/>
      <w:bCs/>
      <w:sz w:val="20"/>
      <w:szCs w:val="20"/>
      <w:lang w:val="en-US"/>
    </w:rPr>
  </w:style>
  <w:style w:type="paragraph" w:styleId="Revision">
    <w:name w:val="Revision"/>
    <w:hidden/>
    <w:uiPriority w:val="99"/>
    <w:semiHidden/>
    <w:rsid w:val="002D189E"/>
    <w:pPr>
      <w:spacing w:after="0" w:line="240" w:lineRule="auto"/>
    </w:pPr>
    <w:rPr>
      <w:lang w:val="en-US"/>
    </w:rPr>
  </w:style>
  <w:style w:type="paragraph" w:styleId="Header">
    <w:name w:val="header"/>
    <w:basedOn w:val="Normal"/>
    <w:link w:val="HeaderChar"/>
    <w:uiPriority w:val="99"/>
    <w:unhideWhenUsed/>
    <w:rsid w:val="002D18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89E"/>
    <w:rPr>
      <w:lang w:val="en-US"/>
    </w:rPr>
  </w:style>
  <w:style w:type="paragraph" w:styleId="Footer">
    <w:name w:val="footer"/>
    <w:basedOn w:val="Normal"/>
    <w:link w:val="FooterChar"/>
    <w:uiPriority w:val="99"/>
    <w:unhideWhenUsed/>
    <w:rsid w:val="002D18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89E"/>
    <w:rPr>
      <w:lang w:val="en-US"/>
    </w:rPr>
  </w:style>
  <w:style w:type="paragraph" w:styleId="ListParagraph">
    <w:name w:val="List Paragraph"/>
    <w:basedOn w:val="Normal"/>
    <w:uiPriority w:val="34"/>
    <w:qFormat/>
    <w:rsid w:val="00356338"/>
    <w:pPr>
      <w:ind w:left="720"/>
      <w:contextualSpacing/>
    </w:pPr>
  </w:style>
  <w:style w:type="character" w:styleId="LineNumber">
    <w:name w:val="line number"/>
    <w:basedOn w:val="DefaultParagraphFont"/>
    <w:uiPriority w:val="99"/>
    <w:semiHidden/>
    <w:unhideWhenUsed/>
    <w:rsid w:val="00DC4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072651">
      <w:bodyDiv w:val="1"/>
      <w:marLeft w:val="0"/>
      <w:marRight w:val="0"/>
      <w:marTop w:val="0"/>
      <w:marBottom w:val="0"/>
      <w:divBdr>
        <w:top w:val="none" w:sz="0" w:space="0" w:color="auto"/>
        <w:left w:val="none" w:sz="0" w:space="0" w:color="auto"/>
        <w:bottom w:val="none" w:sz="0" w:space="0" w:color="auto"/>
        <w:right w:val="none" w:sz="0" w:space="0" w:color="auto"/>
      </w:divBdr>
      <w:divsChild>
        <w:div w:id="94331279">
          <w:marLeft w:val="640"/>
          <w:marRight w:val="0"/>
          <w:marTop w:val="0"/>
          <w:marBottom w:val="0"/>
          <w:divBdr>
            <w:top w:val="none" w:sz="0" w:space="0" w:color="auto"/>
            <w:left w:val="none" w:sz="0" w:space="0" w:color="auto"/>
            <w:bottom w:val="none" w:sz="0" w:space="0" w:color="auto"/>
            <w:right w:val="none" w:sz="0" w:space="0" w:color="auto"/>
          </w:divBdr>
        </w:div>
        <w:div w:id="1625575977">
          <w:marLeft w:val="640"/>
          <w:marRight w:val="0"/>
          <w:marTop w:val="0"/>
          <w:marBottom w:val="0"/>
          <w:divBdr>
            <w:top w:val="none" w:sz="0" w:space="0" w:color="auto"/>
            <w:left w:val="none" w:sz="0" w:space="0" w:color="auto"/>
            <w:bottom w:val="none" w:sz="0" w:space="0" w:color="auto"/>
            <w:right w:val="none" w:sz="0" w:space="0" w:color="auto"/>
          </w:divBdr>
        </w:div>
        <w:div w:id="1992253543">
          <w:marLeft w:val="640"/>
          <w:marRight w:val="0"/>
          <w:marTop w:val="0"/>
          <w:marBottom w:val="0"/>
          <w:divBdr>
            <w:top w:val="none" w:sz="0" w:space="0" w:color="auto"/>
            <w:left w:val="none" w:sz="0" w:space="0" w:color="auto"/>
            <w:bottom w:val="none" w:sz="0" w:space="0" w:color="auto"/>
            <w:right w:val="none" w:sz="0" w:space="0" w:color="auto"/>
          </w:divBdr>
        </w:div>
      </w:divsChild>
    </w:div>
    <w:div w:id="1276983455">
      <w:bodyDiv w:val="1"/>
      <w:marLeft w:val="0"/>
      <w:marRight w:val="0"/>
      <w:marTop w:val="0"/>
      <w:marBottom w:val="0"/>
      <w:divBdr>
        <w:top w:val="none" w:sz="0" w:space="0" w:color="auto"/>
        <w:left w:val="none" w:sz="0" w:space="0" w:color="auto"/>
        <w:bottom w:val="none" w:sz="0" w:space="0" w:color="auto"/>
        <w:right w:val="none" w:sz="0" w:space="0" w:color="auto"/>
      </w:divBdr>
      <w:divsChild>
        <w:div w:id="637417989">
          <w:marLeft w:val="480"/>
          <w:marRight w:val="0"/>
          <w:marTop w:val="0"/>
          <w:marBottom w:val="0"/>
          <w:divBdr>
            <w:top w:val="none" w:sz="0" w:space="0" w:color="auto"/>
            <w:left w:val="none" w:sz="0" w:space="0" w:color="auto"/>
            <w:bottom w:val="none" w:sz="0" w:space="0" w:color="auto"/>
            <w:right w:val="none" w:sz="0" w:space="0" w:color="auto"/>
          </w:divBdr>
        </w:div>
        <w:div w:id="1235746955">
          <w:marLeft w:val="480"/>
          <w:marRight w:val="0"/>
          <w:marTop w:val="0"/>
          <w:marBottom w:val="0"/>
          <w:divBdr>
            <w:top w:val="none" w:sz="0" w:space="0" w:color="auto"/>
            <w:left w:val="none" w:sz="0" w:space="0" w:color="auto"/>
            <w:bottom w:val="none" w:sz="0" w:space="0" w:color="auto"/>
            <w:right w:val="none" w:sz="0" w:space="0" w:color="auto"/>
          </w:divBdr>
        </w:div>
        <w:div w:id="158113313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rlz=1C1GCEA_enSI1009SI1009&amp;q=Waltham&amp;stick=H4sIAAAAAAAAAOPgE-LUz9U3MMuNLzBS4gAxM6qMTbW0spOt9POL0hPzMqsSSzLz81A4VhmpiSmFpYlFJalFxYtY2cMTc0oyEnN3sDLuYmfiYAAAslROp1UAAAA&amp;sa=X&amp;ved=2ahUKEwisq9bmoen4AhWuVfEDHZ1lC3MQmxMoAXoECEsQA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45FDD0B-4CFC-41C5-A87F-5F63D6195F4F}">
  <we:reference id="wa104382081" version="1.46.0.0" store="sl-SI" storeType="omex"/>
  <we:alternateReferences/>
  <we:properties>
    <we:property name="MENDELEY_CITATIONS" value="[{&quot;citationID&quot;:&quot;MENDELEY_CITATION_f7c86615-0e94-4471-93d1-895a6ff2e2c5&quot;,&quot;properties&quot;:{&quot;noteIndex&quot;:0},&quot;isEdited&quot;:false,&quot;manualOverride&quot;:{&quot;isManuallyOverridden&quot;:false,&quot;manualOverrideText&quot;:&quot;&quot;,&quot;citeprocText&quot;:&quot;&lt;sup&gt;1&lt;/sup&gt;&quot;},&quot;citationTag&quot;:&quot;MENDELEY_CITATION_v3_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&quot;,&quot;citationItems&quot;:[{&quot;id&quot;:&quot;72cd2b3c-d728-36df-b89d-5514042ac346&quot;,&quot;isTemporary&quot;:false,&quot;itemData&quot;:{&quot;type&quot;:&quot;article-journal&quot;,&quot;id&quot;:&quot;72cd2b3c-d728-36df-b89d-5514042ac346&quot;,&quot;title&quot;:&quot;Fiji: an open-source platform for biological-image analysis&quot;,&quot;author&quot;:[{&quot;family&quot;:&quot;Schindelin&quot;,&quot;given&quot;:&quot;Johannes&quot;,&quot;parse-names&quot;:false,&quot;dropping-particle&quot;:&quot;&quot;,&quot;non-dropping-particle&quot;:&quot;&quot;},{&quot;family&quot;:&quot;Arganda-Carreras&quot;,&quot;given&quot;:&quot;Ignacio&quot;,&quot;parse-names&quot;:false,&quot;dropping-particle&quot;:&quot;&quot;,&quot;non-dropping-particle&quot;:&quot;&quot;},{&quot;family&quot;:&quot;Frise&quot;,&quot;given&quot;:&quot;Erwin&quot;,&quot;parse-names&quot;:false,&quot;dropping-particle&quot;:&quot;&quot;,&quot;non-dropping-particle&quot;:&quot;&quot;},{&quot;family&quot;:&quot;Kaynig&quot;,&quot;given&quot;:&quot;Verena&quot;,&quot;parse-names&quot;:false,&quot;dropping-particle&quot;:&quot;&quot;,&quot;non-dropping-particle&quot;:&quot;&quot;},{&quot;family&quot;:&quot;Longair&quot;,&quot;given&quot;:&quot;Mark&quot;,&quot;parse-names&quot;:false,&quot;dropping-particle&quot;:&quot;&quot;,&quot;non-dropping-particle&quot;:&quot;&quot;},{&quot;family&quot;:&quot;Pietzsch&quot;,&quot;given&quot;:&quot;Tobias&quot;,&quot;parse-names&quot;:false,&quot;dropping-particle&quot;:&quot;&quot;,&quot;non-dropping-particle&quot;:&quot;&quot;},{&quot;family&quot;:&quot;Preibisch&quot;,&quot;given&quot;:&quot;Stephan&quot;,&quot;parse-names&quot;:false,&quot;dropping-particle&quot;:&quot;&quot;,&quot;non-dropping-particle&quot;:&quot;&quot;},{&quot;family&quot;:&quot;Rueden&quot;,&quot;given&quot;:&quot;Curtis&quot;,&quot;parse-names&quot;:false,&quot;dropping-particle&quot;:&quot;&quot;,&quot;non-dropping-particle&quot;:&quot;&quot;},{&quot;family&quot;:&quot;Saalfeld&quot;,&quot;given&quot;:&quot;Stephan&quot;,&quot;parse-names&quot;:false,&quot;dropping-particle&quot;:&quot;&quot;,&quot;non-dropping-particle&quot;:&quot;&quot;},{&quot;family&quot;:&quot;Schmid&quot;,&quot;given&quot;:&quot;Benjamin&quot;,&quot;parse-names&quot;:false,&quot;dropping-particle&quot;:&quot;&quot;,&quot;non-dropping-particle&quot;:&quot;&quot;},{&quot;family&quot;:&quot;Tinevez&quot;,&quot;given&quot;:&quot;Jean Yves&quot;,&quot;parse-names&quot;:false,&quot;dropping-particle&quot;:&quot;&quot;,&quot;non-dropping-particle&quot;:&quot;&quot;},{&quot;family&quot;:&quot;White&quot;,&quot;given&quot;:&quot;Daniel James&quot;,&quot;parse-names&quot;:false,&quot;dropping-particle&quot;:&quot;&quot;,&quot;non-dropping-particle&quot;:&quot;&quot;},{&quot;family&quot;:&quot;Hartenstein&quot;,&quot;given&quot;:&quot;Volker&quot;,&quot;parse-names&quot;:false,&quot;dropping-particle&quot;:&quot;&quot;,&quot;non-dropping-particle&quot;:&quot;&quot;},{&quot;family&quot;:&quot;Eliceiri&quot;,&quot;given&quot;:&quot;Kevin&quot;,&quot;parse-names&quot;:false,&quot;dropping-particle&quot;:&quot;&quot;,&quot;non-dropping-particle&quot;:&quot;&quot;},{&quot;family&quot;:&quot;Tomancak&quot;,&quot;given&quot;:&quot;Pavel&quot;,&quot;parse-names&quot;:false,&quot;dropping-particle&quot;:&quot;&quot;,&quot;non-dropping-particle&quot;:&quot;&quot;},{&quot;family&quot;:&quot;Cardona&quot;,&quot;given&quot;:&quot;Albert&quot;,&quot;parse-names&quot;:false,&quot;dropping-particle&quot;:&quot;&quot;,&quot;non-dropping-particle&quot;:&quot;&quot;}],&quot;container-title&quot;:&quot;Nature methods&quot;,&quot;accessed&quot;:{&quot;date-parts&quot;:[[2022,8,30]]},&quot;DOI&quot;:&quot;10.1038/NMETH.2019&quot;,&quot;ISSN&quot;:&quot;1548-7105&quot;,&quot;PMID&quot;:&quot;22743772&quot;,&quot;URL&quot;:&quot;https://pubmed.ncbi.nlm.nih.gov/22743772/&quot;,&quot;issued&quot;:{&quot;date-parts&quot;:[[2012,7]]},&quot;page&quot;:&quot;676-682&quot;,&quot;abstract&quot;:&quot;Fiji is a distribution of the popular open-source software ImageJ focused on biological-image analysis. Fiji uses modern software engineering practices to combine powerful software libraries with a broad range of scripting languages to enable rapid prototyping of image-processing algorithms. Fiji facilitates the transformation of new algorithms into ImageJ plugins that can be shared with end users through an integrated update system. We propose Fiji as a platform for productive collaboration between computer science and biology research communities. © 2012 Nature America, Inc. All rights reserved.&quot;,&quot;publisher&quot;:&quot;Nat Methods&quot;,&quot;issue&quot;:&quot;7&quot;,&quot;volume&quot;:&quot;9&quot;,&quot;container-title-short&quot;:&quot;Nat Methods&quot;}}]},{&quot;citationID&quot;:&quot;MENDELEY_CITATION_89c2ecab-bc70-48a0-ab6f-44f7b4440470&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&quot;,&quot;citationItems&quot;:[{&quot;id&quot;:&quot;3a18ee47-5c9b-3dfd-9a67-fa05a3797ef3&quot;,&quot;itemData&quot;:{&quot;type&quot;:&quot;article-journal&quot;,&quot;id&quot;:&quot;3a18ee47-5c9b-3dfd-9a67-fa05a3797ef3&quot;,&quot;title&quot;:&quot;An introduction to the wound healing assay using live-cell microscopy&quot;,&quot;author&quot;:[{&quot;family&quot;:&quot;Jonkman&quot;,&quot;given&quot;:&quot;James E.N.&quot;,&quot;parse-names&quot;:false,&quot;dropping-particle&quot;:&quot;&quot;,&quot;non-dropping-particle&quot;:&quot;&quot;},{&quot;family&quot;:&quot;Cathcart&quot;,&quot;given&quot;:&quot;Judith A.&quot;,&quot;parse-names&quot;:false,&quot;dropping-particle&quot;:&quot;&quot;,&quot;non-dropping-particle&quot;:&quot;&quot;},{&quot;family&quot;:&quot;Xu&quot;,&quot;given&quot;:&quot;Feng&quot;,&quot;parse-names&quot;:false,&quot;dropping-particle&quot;:&quot;&quot;,&quot;non-dropping-particle&quot;:&quot;&quot;},{&quot;family&quot;:&quot;Bartolini&quot;,&quot;given&quot;:&quot;Miria E.&quot;,&quot;parse-names&quot;:false,&quot;dropping-particle&quot;:&quot;&quot;,&quot;non-dropping-particle&quot;:&quot;&quot;},{&quot;family&quot;:&quot;Amon&quot;,&quot;given&quot;:&quot;Jennifer E.&quot;,&quot;parse-names&quot;:false,&quot;dropping-particle&quot;:&quot;&quot;,&quot;non-dropping-particle&quot;:&quot;&quot;},{&quot;family&quot;:&quot;Stevens&quot;,&quot;given&quot;:&quot;Katarzyna M.&quot;,&quot;parse-names&quot;:false,&quot;dropping-particle&quot;:&quot;&quot;,&quot;non-dropping-particle&quot;:&quot;&quot;},{&quot;family&quot;:&quot;Colarusso&quot;,&quot;given&quot;:&quot;Pina&quot;,&quot;parse-names&quot;:false,&quot;dropping-particle&quot;:&quot;&quot;,&quot;non-dropping-particle&quot;:&quot;&quot;}],&quot;container-title&quot;:&quot;Cell adhesion &amp; migration&quot;,&quot;container-title-short&quot;:&quot;Cell Adh Migr&quot;,&quot;accessed&quot;:{&quot;date-parts&quot;:[[2022,12,15]]},&quot;DOI&quot;:&quot;10.4161/CAM.36224&quot;,&quot;ISSN&quot;:&quot;1933-6926&quot;,&quot;PMID&quot;:&quot;25482647&quot;,&quot;URL&quot;:&quot;https://pubmed.ncbi.nlm.nih.gov/25482647/&quot;,&quot;issued&quot;:{&quot;date-parts&quot;:[[2014,9,1]]},&quot;page&quot;:&quot;440-451&quot;,&quot;abstract&quot;:&quot;The wound healing assay is used in a range of disciplines to study the coordinated movement of a cell population. In this technical review, we describe the workflow of the wound healing assay as monitored by optical microscopy. Although the assay is straightforward, a lack of standardization in its application makes it difficult to compare results and reproduce experiments among researchers. We recommend general guidelines for consistency, including: (1) sample preparation including the creation of the gap, (2) microscope equipment requirements, (3) image acquisition, and (4) the use of image analysis to measure the gap size and its rate of closure over time. We also describe parameters that are specific to the particular research question, such as seeding density and matrix coatings. All of these parameters must be carefully controlled within a given set of experiments in order to achieve accurate and reproducible results.&quot;,&quot;publisher&quot;:&quot;Cell Adh Migr&quot;,&quot;issue&quot;:&quot;5&quot;,&quot;volume&quot;:&quot;8&quot;},&quot;isTemporary&quot;:false}]},{&quot;citationID&quot;:&quot;MENDELEY_CITATION_e1415c6b-5d1e-4927-be59-4ff1b9d069f1&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&quot;,&quot;citationItems&quot;:[{&quot;id&quot;:&quot;2fcdab49-1c26-3c98-a4e8-84a368bd675a&quot;,&quot;itemData&quot;:{&quot;type&quot;:&quot;article-journal&quot;,&quot;id&quot;:&quot;2fcdab49-1c26-3c98-a4e8-84a368bd675a&quot;,&quot;title&quot;:&quot;Clonogenic assay of cells in vitro&quot;,&quot;author&quot;:[{&quot;family&quot;:&quot;Franken&quot;,&quot;given&quot;:&quot;Nicolaas A.P.&quot;,&quot;parse-names&quot;:false,&quot;dropping-particle&quot;:&quot;&quot;,&quot;non-dropping-particle&quot;:&quot;&quot;},{&quot;family&quot;:&quot;Rodermond&quot;,&quot;given&quot;:&quot;Hans M.&quot;,&quot;parse-names&quot;:false,&quot;dropping-particle&quot;:&quot;&quot;,&quot;non-dropping-particle&quot;:&quot;&quot;},{&quot;family&quot;:&quot;Stap&quot;,&quot;given&quot;:&quot;Jan&quot;,&quot;parse-names&quot;:false,&quot;dropping-particle&quot;:&quot;&quot;,&quot;non-dropping-particle&quot;:&quot;&quot;},{&quot;family&quot;:&quot;Haveman&quot;,&quot;given&quot;:&quot;Jaap&quot;,&quot;parse-names&quot;:false,&quot;dropping-particle&quot;:&quot;&quot;,&quot;non-dropping-particle&quot;:&quot;&quot;},{&quot;family&quot;:&quot;Bree&quot;,&quot;given&quot;:&quot;Chris&quot;,&quot;parse-names&quot;:false,&quot;dropping-particle&quot;:&quot;&quot;,&quot;non-dropping-particle&quot;:&quot;van&quot;}],&quot;container-title&quot;:&quot;Nature protocols&quot;,&quot;container-title-short&quot;:&quot;Nat Protoc&quot;,&quot;accessed&quot;:{&quot;date-parts&quot;:[[2022,12,11]]},&quot;DOI&quot;:&quot;10.1038/NPROT.2006.339&quot;,&quot;ISSN&quot;:&quot;1750-2799&quot;,&quot;PMID&quot;:&quot;17406473&quot;,&quot;URL&quot;:&quot;https://pubmed.ncbi.nlm.nih.gov/17406473/&quot;,&quot;issued&quot;:{&quot;date-parts&quot;:[[2006,12]]},&quot;page&quot;:&quot;2315-2319&quot;,&quot;abstract&quot;:&quot;Clonogenic assay or colony formation assay is an in vitro cell survival assay based on the ability of a single cell to grow into a colony. The colony is defined to consist of at least 50 cells. The assay essentially tests every cell in the population for its ability to undergo \&quot;unlimited\&quot; division. Clonogenic assay is the method of choice to determine cell reproductive death after treatment with ionizing radiation, but can also be used to determine the effectiveness of other cytotoxic agents. Only a fraction of seeded cells retains the capacity to produce colonies. Before or after treatment, cells are seeded out in appropriate dilutions to form colonies in 1-3 weeks. Colonies are fixed with glutaraldehyde (6.0% v/v), stained with crystal violet (0.5% w/v) and counted using a stereomicroscope. A method for the analysis of radiation dose-survival curves is included.&quot;,&quot;publisher&quot;:&quot;Nat Protoc&quot;,&quot;issue&quot;:&quot;5&quot;,&quot;volume&quot;:&quot;1&quot;},&quot;isTemporary&quot;:false}]}]"/>
    <we:property name="MENDELEY_CITATIONS_STYLE" value="{&quot;id&quot;:&quot;https://www.zotero.org/styles/nature&quot;,&quot;title&quot;:&quot;Nature&quot;,&quot;format&quot;:&quot;numeric&quot;,&quot;defaultLocale&quot;:&quot;en-GB&quot;,&quot;isLocaleCodeValid&quot;:true}"/>
    <we:property name="MENDELEY_CITATIONS_LOCALE_CODE" value="&quot;en-G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94AF6-CA92-4D04-B253-A97D30544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3398</Words>
  <Characters>19370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Serša Gregor</dc:creator>
  <cp:lastModifiedBy>Modic Živa</cp:lastModifiedBy>
  <cp:revision>4</cp:revision>
  <dcterms:created xsi:type="dcterms:W3CDTF">2023-02-23T14:16:00Z</dcterms:created>
  <dcterms:modified xsi:type="dcterms:W3CDTF">2023-02-27T11:54:00Z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minderText">
    <vt:lpwstr>_MWWWKKRZ</vt:lpwstr>
  </property>
</Properties>
</file>