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6E284" w14:textId="77777777" w:rsidR="00A9786D" w:rsidRPr="00044DE9" w:rsidRDefault="00A9786D" w:rsidP="00A9786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044DE9">
        <w:rPr>
          <w:rFonts w:ascii="Times New Roman" w:hAnsi="Times New Roman" w:cs="Times New Roman"/>
          <w:b/>
          <w:bCs/>
          <w:color w:val="000000" w:themeColor="text1"/>
        </w:rPr>
        <w:t>Supplementary materials</w:t>
      </w:r>
    </w:p>
    <w:p w14:paraId="19DC9D39" w14:textId="77777777" w:rsidR="00A9786D" w:rsidRPr="00F96777" w:rsidRDefault="00A9786D" w:rsidP="00A9786D">
      <w:pPr>
        <w:pStyle w:val="NormalWeb"/>
        <w:shd w:val="clear" w:color="auto" w:fill="FFFFFF"/>
        <w:tabs>
          <w:tab w:val="left" w:pos="3506"/>
        </w:tabs>
        <w:adjustRightInd w:val="0"/>
        <w:snapToGrid w:val="0"/>
        <w:spacing w:before="0" w:beforeAutospacing="0" w:after="0" w:afterAutospacing="0" w:line="360" w:lineRule="auto"/>
        <w:jc w:val="both"/>
        <w:rPr>
          <w:kern w:val="2"/>
        </w:rPr>
      </w:pPr>
      <w:r>
        <w:rPr>
          <w:rFonts w:hint="eastAsia"/>
          <w:kern w:val="2"/>
        </w:rPr>
        <w:t>T</w:t>
      </w:r>
      <w:r>
        <w:rPr>
          <w:kern w:val="2"/>
        </w:rPr>
        <w:t xml:space="preserve">able 1.  </w:t>
      </w:r>
      <w:r w:rsidRPr="00F96777">
        <w:rPr>
          <w:kern w:val="2"/>
        </w:rPr>
        <w:t>139 necroptosis-related genes</w:t>
      </w:r>
      <w:r>
        <w:rPr>
          <w:kern w:val="2"/>
        </w:rPr>
        <w:t xml:space="preserve"> b</w:t>
      </w:r>
      <w:r w:rsidRPr="00F96777">
        <w:rPr>
          <w:kern w:val="2"/>
        </w:rPr>
        <w:t xml:space="preserve">ased on </w:t>
      </w:r>
      <w:r>
        <w:rPr>
          <w:kern w:val="2"/>
        </w:rPr>
        <w:t xml:space="preserve">the </w:t>
      </w:r>
      <w:r w:rsidRPr="00F96777">
        <w:rPr>
          <w:kern w:val="2"/>
        </w:rPr>
        <w:t>KEGG</w:t>
      </w:r>
      <w:r>
        <w:rPr>
          <w:kern w:val="2"/>
        </w:rPr>
        <w:t xml:space="preserve"> </w:t>
      </w:r>
      <w:r w:rsidRPr="00F96777">
        <w:rPr>
          <w:kern w:val="2"/>
        </w:rPr>
        <w:t>database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5579"/>
      </w:tblGrid>
      <w:tr w:rsidR="00A9786D" w:rsidRPr="004B2A68" w14:paraId="54E4ABD6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F88612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 xml:space="preserve">Necroptosis-related genes 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E051AD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Name</w:t>
            </w:r>
          </w:p>
        </w:tc>
      </w:tr>
      <w:tr w:rsidR="00A9786D" w:rsidRPr="004B2A68" w14:paraId="365B100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3A10DE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AIFM1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49E421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apoptosis inducing factor mitochondria associated 1 </w:t>
            </w:r>
          </w:p>
        </w:tc>
      </w:tr>
      <w:tr w:rsidR="00A9786D" w:rsidRPr="004B2A68" w14:paraId="5511ACD4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E83A16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ALOX15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AD4E99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arachidonate 15-lipoxygenase </w:t>
            </w:r>
          </w:p>
        </w:tc>
      </w:tr>
      <w:tr w:rsidR="00A9786D" w:rsidRPr="004B2A68" w14:paraId="3C917705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22027B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BAX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6A17EF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BCL2 associated X, apoptosis regulator </w:t>
            </w:r>
          </w:p>
        </w:tc>
      </w:tr>
      <w:tr w:rsidR="00A9786D" w:rsidRPr="004B2A68" w14:paraId="095C99AA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38FBCC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BCL2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C490BF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BCL2 apoptosis regulator </w:t>
            </w:r>
          </w:p>
        </w:tc>
      </w:tr>
      <w:tr w:rsidR="00A9786D" w:rsidRPr="004B2A68" w14:paraId="3471D562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07FB23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BID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DE4252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BH3 interacting domain death agonist </w:t>
            </w:r>
          </w:p>
        </w:tc>
      </w:tr>
      <w:tr w:rsidR="00A9786D" w:rsidRPr="004B2A68" w14:paraId="0FD9527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E13DB7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BIRC2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AD6DC9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baculoviral IAP repeat containing 2 </w:t>
            </w:r>
          </w:p>
        </w:tc>
      </w:tr>
      <w:tr w:rsidR="00A9786D" w:rsidRPr="004B2A68" w14:paraId="7FE0B654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F3D6F4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BIRC3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2E1EA2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baculoviral IAP repeat containing 3 </w:t>
            </w:r>
          </w:p>
        </w:tc>
      </w:tr>
      <w:tr w:rsidR="00A9786D" w:rsidRPr="004B2A68" w14:paraId="3E18E5C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ABF9E6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CAMK2A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42C2F2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calcium/calmodulin dependent protein kinase II alpha </w:t>
            </w:r>
          </w:p>
        </w:tc>
      </w:tr>
      <w:tr w:rsidR="00A9786D" w:rsidRPr="004B2A68" w14:paraId="46345899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C3490A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CAMK2B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79E7D2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calcium/calmodulin dependent protein kinase II beta </w:t>
            </w:r>
          </w:p>
        </w:tc>
      </w:tr>
      <w:tr w:rsidR="00A9786D" w:rsidRPr="004B2A68" w14:paraId="5BFAD95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137C31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CAMK2D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3443D9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calcium/calmodulin dependent protein kinase II delta </w:t>
            </w:r>
          </w:p>
        </w:tc>
      </w:tr>
      <w:tr w:rsidR="00A9786D" w:rsidRPr="004B2A68" w14:paraId="31864A6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16FB2A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CAMK2G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52542F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calcium/calmodulin dependent protein kinase II gamma </w:t>
            </w:r>
          </w:p>
        </w:tc>
      </w:tr>
      <w:tr w:rsidR="00A9786D" w:rsidRPr="004B2A68" w14:paraId="5437AD54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7E1417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CAPN1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7982E5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calpain 1 </w:t>
            </w:r>
          </w:p>
        </w:tc>
      </w:tr>
      <w:tr w:rsidR="00A9786D" w:rsidRPr="004B2A68" w14:paraId="63AED57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7015FE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CAPN2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AC932C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calpain 2 </w:t>
            </w:r>
          </w:p>
        </w:tc>
      </w:tr>
      <w:tr w:rsidR="00A9786D" w:rsidRPr="004B2A68" w14:paraId="15CEAD4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540EF4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CASP1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72872F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caspase 1 </w:t>
            </w:r>
          </w:p>
        </w:tc>
      </w:tr>
      <w:tr w:rsidR="00A9786D" w:rsidRPr="004B2A68" w14:paraId="01B09FF6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4DAE7F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CASP8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D02DBA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caspase 8 </w:t>
            </w:r>
          </w:p>
        </w:tc>
      </w:tr>
      <w:tr w:rsidR="00A9786D" w:rsidRPr="004B2A68" w14:paraId="4E2C3E7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FF5462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CFLAR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F904ED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CASP8 and FADD like apoptosis regulator </w:t>
            </w:r>
          </w:p>
        </w:tc>
      </w:tr>
      <w:tr w:rsidR="00A9786D" w:rsidRPr="004B2A68" w14:paraId="35478E5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265C20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CHMP1A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4D0B1F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charged multivesicular body protein 1A </w:t>
            </w:r>
          </w:p>
        </w:tc>
      </w:tr>
      <w:tr w:rsidR="00A9786D" w:rsidRPr="004B2A68" w14:paraId="53A4E9AF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52CA25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CHMP1B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C5D557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charged multivesicular body protein 1B </w:t>
            </w:r>
          </w:p>
        </w:tc>
      </w:tr>
      <w:tr w:rsidR="00A9786D" w:rsidRPr="004B2A68" w14:paraId="7695387F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8A5B99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CHMP2A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8CE8A1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charged multivesicular body protein 2A </w:t>
            </w:r>
          </w:p>
        </w:tc>
      </w:tr>
      <w:tr w:rsidR="00A9786D" w:rsidRPr="004B2A68" w14:paraId="114415CA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5A568A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CHMP2B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5ACCD1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charged multivesicular body protein 2B </w:t>
            </w:r>
          </w:p>
        </w:tc>
      </w:tr>
      <w:tr w:rsidR="00A9786D" w:rsidRPr="004B2A68" w14:paraId="1DF0BAE7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C04AF9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CHMP3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AD0F91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charged multivesicular body protein 3 </w:t>
            </w:r>
          </w:p>
        </w:tc>
      </w:tr>
      <w:tr w:rsidR="00A9786D" w:rsidRPr="004B2A68" w14:paraId="01FBC08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73EF7B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CHMP4A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5B1685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charged multivesicular body protein 4A </w:t>
            </w:r>
          </w:p>
        </w:tc>
      </w:tr>
      <w:tr w:rsidR="00A9786D" w:rsidRPr="004B2A68" w14:paraId="09799029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2167B8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CHMP4B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38D942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charged multivesicular body protein 4B </w:t>
            </w:r>
          </w:p>
        </w:tc>
      </w:tr>
      <w:tr w:rsidR="00A9786D" w:rsidRPr="004B2A68" w14:paraId="446D706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79C2F4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CHMP4C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DCE0A4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charged multivesicular body protein 4C </w:t>
            </w:r>
          </w:p>
        </w:tc>
      </w:tr>
      <w:tr w:rsidR="00A9786D" w:rsidRPr="004B2A68" w14:paraId="7AE5245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57E101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CHMP5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03CE33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charged multivesicular body protein 5 </w:t>
            </w:r>
          </w:p>
        </w:tc>
      </w:tr>
      <w:tr w:rsidR="00A9786D" w:rsidRPr="004B2A68" w14:paraId="54BCC571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3B037B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CHMP6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A56F33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charged multivesicular body protein 6 </w:t>
            </w:r>
          </w:p>
        </w:tc>
      </w:tr>
      <w:tr w:rsidR="00A9786D" w:rsidRPr="004B2A68" w14:paraId="0FD4D6A4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8EF58B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CHMP7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12A539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charged multivesicular body protein 7 </w:t>
            </w:r>
          </w:p>
        </w:tc>
      </w:tr>
      <w:tr w:rsidR="00A9786D" w:rsidRPr="004B2A68" w14:paraId="3F896EA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33B19C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CYBB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D59F7E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cytochrome b-245 beta chain </w:t>
            </w:r>
          </w:p>
        </w:tc>
      </w:tr>
      <w:tr w:rsidR="00A9786D" w:rsidRPr="004B2A68" w14:paraId="3A2CA041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666ECEA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CYLD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59B843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CYLD lysine 63 deubiquitinase </w:t>
            </w:r>
          </w:p>
        </w:tc>
      </w:tr>
      <w:tr w:rsidR="00A9786D" w:rsidRPr="004B2A68" w14:paraId="7DE42861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D0CA8C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lastRenderedPageBreak/>
              <w:t>DNM1L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9B3482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dynamin 1 like </w:t>
            </w:r>
          </w:p>
        </w:tc>
      </w:tr>
      <w:tr w:rsidR="00A9786D" w:rsidRPr="004B2A68" w14:paraId="0F67C1B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4EE092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EIF2AK2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AE0DC1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eukaryotic translation initiation factor 2 alpha kinase 2 </w:t>
            </w:r>
          </w:p>
        </w:tc>
      </w:tr>
      <w:tr w:rsidR="00A9786D" w:rsidRPr="004B2A68" w14:paraId="5A08140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A80144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FADD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E97A0F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Fas associated via death domain </w:t>
            </w:r>
          </w:p>
        </w:tc>
      </w:tr>
      <w:tr w:rsidR="00A9786D" w:rsidRPr="004B2A68" w14:paraId="457C70EF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2F43B2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FAF1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E8D803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Fas associated factor 1 </w:t>
            </w:r>
          </w:p>
        </w:tc>
      </w:tr>
      <w:tr w:rsidR="00A9786D" w:rsidRPr="004B2A68" w14:paraId="7F4F0FC9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2055F2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FAS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32075A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Fas cell surface death receptor </w:t>
            </w:r>
          </w:p>
        </w:tc>
      </w:tr>
      <w:tr w:rsidR="00A9786D" w:rsidRPr="004B2A68" w14:paraId="7C696AC5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71D9D1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FASLG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62033A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Fas ligand </w:t>
            </w:r>
          </w:p>
        </w:tc>
      </w:tr>
      <w:tr w:rsidR="00A9786D" w:rsidRPr="004B2A68" w14:paraId="58CAF527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3320C1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FTH1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2079AC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ferritin heavy chain 1 </w:t>
            </w:r>
          </w:p>
        </w:tc>
      </w:tr>
      <w:tr w:rsidR="00A9786D" w:rsidRPr="004B2A68" w14:paraId="7E60229A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D2BBFF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FTL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2706F0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ferritin light chain </w:t>
            </w:r>
          </w:p>
        </w:tc>
      </w:tr>
      <w:tr w:rsidR="00A9786D" w:rsidRPr="004B2A68" w14:paraId="740F6C9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91C5D9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GLUD1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03F363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glutamate dehydrogenase 1 </w:t>
            </w:r>
          </w:p>
        </w:tc>
      </w:tr>
      <w:tr w:rsidR="00A9786D" w:rsidRPr="004B2A68" w14:paraId="7E62A277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EC6A95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GLUD2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65A39A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glutamate dehydrogenase 2 </w:t>
            </w:r>
          </w:p>
        </w:tc>
      </w:tr>
      <w:tr w:rsidR="00A9786D" w:rsidRPr="004B2A68" w14:paraId="5FA2CA16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8FFB78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GLUL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530791A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glutamate-ammonia ligase </w:t>
            </w:r>
          </w:p>
        </w:tc>
      </w:tr>
      <w:tr w:rsidR="00A9786D" w:rsidRPr="004B2A68" w14:paraId="71AAC7D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32FA0B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H2AB1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5351D1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H2A.B variant histone 1</w:t>
            </w:r>
          </w:p>
        </w:tc>
      </w:tr>
      <w:tr w:rsidR="00A9786D" w:rsidRPr="004B2A68" w14:paraId="42F5C27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FC0651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H2AB2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2F2AD7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H2A.B variant histone 2</w:t>
            </w:r>
          </w:p>
        </w:tc>
      </w:tr>
      <w:tr w:rsidR="00A9786D" w:rsidRPr="004B2A68" w14:paraId="7F5501E7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931277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H2AB3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DC3E5D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H2A.B variant histone 3</w:t>
            </w:r>
          </w:p>
        </w:tc>
      </w:tr>
      <w:tr w:rsidR="00A9786D" w:rsidRPr="004B2A68" w14:paraId="45E06A24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B36FFD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801BDF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1</w:t>
            </w:r>
          </w:p>
        </w:tc>
      </w:tr>
      <w:tr w:rsidR="00A9786D" w:rsidRPr="004B2A68" w14:paraId="3F77AAC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D54CBA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H2AC11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914D68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11</w:t>
            </w:r>
          </w:p>
        </w:tc>
      </w:tr>
      <w:tr w:rsidR="00A9786D" w:rsidRPr="004B2A68" w14:paraId="6E588255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CDE652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H2AC12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ADCA95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12</w:t>
            </w:r>
          </w:p>
        </w:tc>
      </w:tr>
      <w:tr w:rsidR="00A9786D" w:rsidRPr="004B2A68" w14:paraId="3C541D74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48CE50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H2AC13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C3AF19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13</w:t>
            </w:r>
          </w:p>
        </w:tc>
      </w:tr>
      <w:tr w:rsidR="00A9786D" w:rsidRPr="004B2A68" w14:paraId="5392D1B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1FAC9E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H2AC14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D215A5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14</w:t>
            </w:r>
          </w:p>
        </w:tc>
      </w:tr>
      <w:tr w:rsidR="00A9786D" w:rsidRPr="004B2A68" w14:paraId="53CB0072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284F0E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H2AC15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119BF4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15</w:t>
            </w:r>
          </w:p>
        </w:tc>
      </w:tr>
      <w:tr w:rsidR="00A9786D" w:rsidRPr="004B2A68" w14:paraId="73FB9C4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DDCFB7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H2AC16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1A7F8A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16</w:t>
            </w:r>
          </w:p>
        </w:tc>
      </w:tr>
      <w:tr w:rsidR="00A9786D" w:rsidRPr="004B2A68" w14:paraId="41048163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6A80A3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H2AC17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79BD9E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17</w:t>
            </w:r>
          </w:p>
        </w:tc>
      </w:tr>
      <w:tr w:rsidR="00A9786D" w:rsidRPr="004B2A68" w14:paraId="1BF9BE96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4E48B7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H2AC18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EC6CED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18</w:t>
            </w:r>
          </w:p>
        </w:tc>
      </w:tr>
      <w:tr w:rsidR="00A9786D" w:rsidRPr="004B2A68" w14:paraId="072CE367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71147F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H2AC19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D03003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19</w:t>
            </w:r>
          </w:p>
        </w:tc>
      </w:tr>
      <w:tr w:rsidR="00A9786D" w:rsidRPr="004B2A68" w14:paraId="67AAF99E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01CA59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H2AC20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60923B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20</w:t>
            </w:r>
          </w:p>
        </w:tc>
      </w:tr>
      <w:tr w:rsidR="00A9786D" w:rsidRPr="004B2A68" w14:paraId="35D15F6A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53704B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H2AC21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ABC533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21</w:t>
            </w:r>
          </w:p>
        </w:tc>
      </w:tr>
      <w:tr w:rsidR="00A9786D" w:rsidRPr="004B2A68" w14:paraId="1619CDE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C4637B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H2AC4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CD3D83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H2A clustered histone 4</w:t>
            </w:r>
          </w:p>
        </w:tc>
      </w:tr>
      <w:tr w:rsidR="00A9786D" w:rsidRPr="004B2A68" w14:paraId="7DEFB7F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6FD0BBA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H2AC6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4B7E59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H2A clustered histone 6 </w:t>
            </w:r>
          </w:p>
        </w:tc>
      </w:tr>
      <w:tr w:rsidR="00A9786D" w:rsidRPr="004B2A68" w14:paraId="029DC727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072082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H2AC7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1AE9BD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H2A clustered histone 7 </w:t>
            </w:r>
          </w:p>
        </w:tc>
      </w:tr>
      <w:tr w:rsidR="00A9786D" w:rsidRPr="004B2A68" w14:paraId="290E9BE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9EDC52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H2AC8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1B287C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H2A clustered histone 8 </w:t>
            </w:r>
          </w:p>
        </w:tc>
      </w:tr>
      <w:tr w:rsidR="00A9786D" w:rsidRPr="004B2A68" w14:paraId="40C420CF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07FCDE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H2AJ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209E5D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H2A.J histone </w:t>
            </w:r>
          </w:p>
        </w:tc>
      </w:tr>
      <w:tr w:rsidR="00A9786D" w:rsidRPr="004B2A68" w14:paraId="516C42B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F2B70A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H2AW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08D8D2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H2A.W histone </w:t>
            </w:r>
          </w:p>
        </w:tc>
      </w:tr>
      <w:tr w:rsidR="00A9786D" w:rsidRPr="004B2A68" w14:paraId="61BD877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1485FD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lastRenderedPageBreak/>
              <w:t>H2AX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092907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H2A.X variant histone </w:t>
            </w:r>
          </w:p>
        </w:tc>
      </w:tr>
      <w:tr w:rsidR="00A9786D" w:rsidRPr="004B2A68" w14:paraId="6C8477F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F01BBD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H2AZ1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08FED0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H2A.Z variant histone 1 </w:t>
            </w:r>
          </w:p>
        </w:tc>
      </w:tr>
      <w:tr w:rsidR="00A9786D" w:rsidRPr="004B2A68" w14:paraId="2A6989F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0FBEDF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H2AZ2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BE4FA7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H2A.Z variant histone 2 </w:t>
            </w:r>
          </w:p>
        </w:tc>
      </w:tr>
      <w:tr w:rsidR="00A9786D" w:rsidRPr="004B2A68" w14:paraId="59621914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DDF71D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HMGB1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01E66F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high mobility group box 1 </w:t>
            </w:r>
          </w:p>
        </w:tc>
      </w:tr>
      <w:tr w:rsidR="00A9786D" w:rsidRPr="004B2A68" w14:paraId="1444FF47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369096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HSP90AA1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F99A46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heat shock protein 90 alpha family class A member 1 </w:t>
            </w:r>
          </w:p>
        </w:tc>
      </w:tr>
      <w:tr w:rsidR="00A9786D" w:rsidRPr="004B2A68" w14:paraId="571D59F2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60203E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HSP90AB1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65DCA0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heat shock protein 90 alpha family class B member 1 </w:t>
            </w:r>
          </w:p>
        </w:tc>
      </w:tr>
      <w:tr w:rsidR="00A9786D" w:rsidRPr="004B2A68" w14:paraId="6C6909D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C10711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DCFEAA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1 </w:t>
            </w:r>
          </w:p>
        </w:tc>
      </w:tr>
      <w:tr w:rsidR="00A9786D" w:rsidRPr="004B2A68" w14:paraId="3445ED7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4AA5CE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IFNA10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6BB234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10 </w:t>
            </w:r>
          </w:p>
        </w:tc>
      </w:tr>
      <w:tr w:rsidR="00A9786D" w:rsidRPr="004B2A68" w14:paraId="2E94B6FE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9B45D7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IFNA13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772EA5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13 </w:t>
            </w:r>
          </w:p>
        </w:tc>
      </w:tr>
      <w:tr w:rsidR="00A9786D" w:rsidRPr="004B2A68" w14:paraId="0A7A891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A3CE84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IFNA14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DA7692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14 </w:t>
            </w:r>
          </w:p>
        </w:tc>
      </w:tr>
      <w:tr w:rsidR="00A9786D" w:rsidRPr="004B2A68" w14:paraId="28C2B09E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9EAE5F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IFNA16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3860D8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16 </w:t>
            </w:r>
          </w:p>
        </w:tc>
      </w:tr>
      <w:tr w:rsidR="00A9786D" w:rsidRPr="004B2A68" w14:paraId="5020D696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FFE616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IFNA17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CECB67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17 </w:t>
            </w:r>
          </w:p>
        </w:tc>
      </w:tr>
      <w:tr w:rsidR="00A9786D" w:rsidRPr="004B2A68" w14:paraId="6445EA7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6D50CF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65E21D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2 </w:t>
            </w:r>
          </w:p>
        </w:tc>
      </w:tr>
      <w:tr w:rsidR="00A9786D" w:rsidRPr="004B2A68" w14:paraId="2817886F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94170A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IFNA21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E8BE68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interferon alpha 21</w:t>
            </w:r>
          </w:p>
        </w:tc>
      </w:tr>
      <w:tr w:rsidR="00A9786D" w:rsidRPr="004B2A68" w14:paraId="61EF627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9D9D76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IFNA4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52A46E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4 </w:t>
            </w:r>
          </w:p>
        </w:tc>
      </w:tr>
      <w:tr w:rsidR="00A9786D" w:rsidRPr="004B2A68" w14:paraId="4A4699C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7A03DF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IFNA5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975764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5 </w:t>
            </w:r>
          </w:p>
        </w:tc>
      </w:tr>
      <w:tr w:rsidR="00A9786D" w:rsidRPr="004B2A68" w14:paraId="53801935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186D61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IFNA6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CD005E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6 </w:t>
            </w:r>
          </w:p>
        </w:tc>
      </w:tr>
      <w:tr w:rsidR="00A9786D" w:rsidRPr="004B2A68" w14:paraId="3DFD356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453E47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IFNA7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16F82E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7 </w:t>
            </w:r>
          </w:p>
        </w:tc>
      </w:tr>
      <w:tr w:rsidR="00A9786D" w:rsidRPr="004B2A68" w14:paraId="770F33C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5F587D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IFNA8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768B5B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8 </w:t>
            </w:r>
          </w:p>
        </w:tc>
      </w:tr>
      <w:tr w:rsidR="00A9786D" w:rsidRPr="004B2A68" w14:paraId="3145E3AA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D42F38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IFNAR1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C8624F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and beta receptor subunit 1 </w:t>
            </w:r>
          </w:p>
        </w:tc>
      </w:tr>
      <w:tr w:rsidR="00A9786D" w:rsidRPr="004B2A68" w14:paraId="3CBE4297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13BBDD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IFNAR2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BEF773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alpha and beta receptor subunit 2 </w:t>
            </w:r>
          </w:p>
        </w:tc>
      </w:tr>
      <w:tr w:rsidR="00A9786D" w:rsidRPr="004B2A68" w14:paraId="4394728E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A0D761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IFNB1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1793FE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beta 1 </w:t>
            </w:r>
          </w:p>
        </w:tc>
      </w:tr>
      <w:tr w:rsidR="00A9786D" w:rsidRPr="004B2A68" w14:paraId="5016AD04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0FB86E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IFNG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C742E0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gamma </w:t>
            </w:r>
          </w:p>
        </w:tc>
      </w:tr>
      <w:tr w:rsidR="00A9786D" w:rsidRPr="004B2A68" w14:paraId="69BE6687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0F8509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IFNGR1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137838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gamma receptor 1 </w:t>
            </w:r>
          </w:p>
        </w:tc>
      </w:tr>
      <w:tr w:rsidR="00A9786D" w:rsidRPr="004B2A68" w14:paraId="7000901A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8702C9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IFNGR2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26CB8F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gamma receptor 2 </w:t>
            </w:r>
          </w:p>
        </w:tc>
      </w:tr>
      <w:tr w:rsidR="00A9786D" w:rsidRPr="004B2A68" w14:paraId="2259F1D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0A5345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IL1A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CD7155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interleukin 1 alpha </w:t>
            </w:r>
          </w:p>
        </w:tc>
      </w:tr>
      <w:tr w:rsidR="00A9786D" w:rsidRPr="004B2A68" w14:paraId="04FFC504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F9E782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IL1B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D75385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interleukin 1 beta </w:t>
            </w:r>
          </w:p>
        </w:tc>
      </w:tr>
      <w:tr w:rsidR="00A9786D" w:rsidRPr="004B2A68" w14:paraId="53DFA91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335E8A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IL33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62AD2A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interleukin 33 </w:t>
            </w:r>
          </w:p>
        </w:tc>
      </w:tr>
      <w:tr w:rsidR="00A9786D" w:rsidRPr="004B2A68" w14:paraId="7C1891F5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6674E3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IRF9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4318DC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interferon regulatory factor 9 </w:t>
            </w:r>
          </w:p>
        </w:tc>
      </w:tr>
      <w:tr w:rsidR="00A9786D" w:rsidRPr="004B2A68" w14:paraId="5BCE8431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5A46A9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JAK1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F996BE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Janus kinase 1 </w:t>
            </w:r>
          </w:p>
        </w:tc>
      </w:tr>
      <w:tr w:rsidR="00A9786D" w:rsidRPr="004B2A68" w14:paraId="7B1DDD1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CB239D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JAK2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C62F35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Janus kinase 2 </w:t>
            </w:r>
          </w:p>
        </w:tc>
      </w:tr>
      <w:tr w:rsidR="00A9786D" w:rsidRPr="004B2A68" w14:paraId="45891855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3B8AEA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JAK3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F100B2A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Janus kinase 3 </w:t>
            </w:r>
          </w:p>
        </w:tc>
      </w:tr>
      <w:tr w:rsidR="00A9786D" w:rsidRPr="004B2A68" w14:paraId="3CDC4841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777590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lastRenderedPageBreak/>
              <w:t>JMJD7-PLA2G4B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8A068AA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>Phospholipase A2</w:t>
            </w:r>
          </w:p>
        </w:tc>
      </w:tr>
      <w:tr w:rsidR="00A9786D" w:rsidRPr="004B2A68" w14:paraId="03157055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9CCC14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MACROH2A1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F1E93B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macroH2A.1 histone </w:t>
            </w:r>
          </w:p>
        </w:tc>
      </w:tr>
      <w:tr w:rsidR="00A9786D" w:rsidRPr="004B2A68" w14:paraId="79372A0A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8831DC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MACROH2A2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91B592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macroH2A.2 histone </w:t>
            </w:r>
          </w:p>
        </w:tc>
      </w:tr>
      <w:tr w:rsidR="00A9786D" w:rsidRPr="004B2A68" w14:paraId="5A4FE88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454C6C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MAPK10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35AB7F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mitogen-activated protein kinase 10 </w:t>
            </w:r>
          </w:p>
        </w:tc>
      </w:tr>
      <w:tr w:rsidR="00A9786D" w:rsidRPr="004B2A68" w14:paraId="749EA75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6994C0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MAPK8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2077EF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mitogen-activated protein kinase 8 </w:t>
            </w:r>
          </w:p>
        </w:tc>
      </w:tr>
      <w:tr w:rsidR="00A9786D" w:rsidRPr="004B2A68" w14:paraId="5EC37FC2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585A34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MAPK9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2D48A1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mitogen-activated protein kinase 9 </w:t>
            </w:r>
          </w:p>
        </w:tc>
      </w:tr>
      <w:tr w:rsidR="00A9786D" w:rsidRPr="004B2A68" w14:paraId="272F1AA9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D090DD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MLKL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F63EAA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mixed lineage kinase domain like pseudokinase </w:t>
            </w:r>
          </w:p>
        </w:tc>
      </w:tr>
      <w:tr w:rsidR="00A9786D" w:rsidRPr="004B2A68" w14:paraId="680F64D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51E8C2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NLRP3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FF2937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NLR family pyrin domain containing 3 </w:t>
            </w:r>
          </w:p>
        </w:tc>
      </w:tr>
      <w:tr w:rsidR="00A9786D" w:rsidRPr="004B2A68" w14:paraId="0090CA6A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19D541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PARP1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BAEEB9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poly(ADP-ribose) polymerase 1 </w:t>
            </w:r>
          </w:p>
        </w:tc>
      </w:tr>
      <w:tr w:rsidR="00A9786D" w:rsidRPr="004B2A68" w14:paraId="16411812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DB1EDC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PGAM5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DFC61C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rPr>
                <w:kern w:val="2"/>
              </w:rPr>
            </w:pPr>
            <w:r w:rsidRPr="004B2A68">
              <w:rPr>
                <w:kern w:val="2"/>
              </w:rPr>
              <w:t>PGAM family member 5, mitochondrial serine/threonine protein phosphatase</w:t>
            </w:r>
          </w:p>
        </w:tc>
      </w:tr>
      <w:tr w:rsidR="00A9786D" w:rsidRPr="004B2A68" w14:paraId="08CBFD0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A45242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PLA2G4A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989068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phospholipase A2 group IVA </w:t>
            </w:r>
          </w:p>
        </w:tc>
      </w:tr>
      <w:tr w:rsidR="00A9786D" w:rsidRPr="004B2A68" w14:paraId="4CDD1D09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4B7A24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PLA2G4B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3DA683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phospholipase A2 group IVB </w:t>
            </w:r>
          </w:p>
        </w:tc>
      </w:tr>
      <w:tr w:rsidR="00A9786D" w:rsidRPr="004B2A68" w14:paraId="3DFBA05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9AFC34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PLA2G4C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6E4436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phospholipase A2 group IVC </w:t>
            </w:r>
          </w:p>
        </w:tc>
      </w:tr>
      <w:tr w:rsidR="00A9786D" w:rsidRPr="004B2A68" w14:paraId="1092C206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943DB9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PLA2G4D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B4CE8F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phospholipase A2 group IVD </w:t>
            </w:r>
          </w:p>
        </w:tc>
      </w:tr>
      <w:tr w:rsidR="00A9786D" w:rsidRPr="004B2A68" w14:paraId="0C262ED5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92A15A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PLA2G4E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E8E823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phospholipase A2 group IVE </w:t>
            </w:r>
          </w:p>
        </w:tc>
      </w:tr>
      <w:tr w:rsidR="00A9786D" w:rsidRPr="004B2A68" w14:paraId="46B89602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FDF535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PLA2G4F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58DA9D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phospholipase A2 group IVF </w:t>
            </w:r>
          </w:p>
        </w:tc>
      </w:tr>
      <w:tr w:rsidR="00A9786D" w:rsidRPr="004B2A68" w14:paraId="514B1D9F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25FB7D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PPIA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D1BDF1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peptidylprolyl isomerase A </w:t>
            </w:r>
          </w:p>
        </w:tc>
      </w:tr>
      <w:tr w:rsidR="00A9786D" w:rsidRPr="004B2A68" w14:paraId="16F8F633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9BC3E8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PPID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5B835E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peptidylprolyl isomerase D </w:t>
            </w:r>
          </w:p>
        </w:tc>
      </w:tr>
      <w:tr w:rsidR="00A9786D" w:rsidRPr="004B2A68" w14:paraId="09B74DA9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809D21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PYCARD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BCE058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PYD and CARD domain containing </w:t>
            </w:r>
          </w:p>
        </w:tc>
      </w:tr>
      <w:tr w:rsidR="00A9786D" w:rsidRPr="004B2A68" w14:paraId="537C31D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82B0DA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PYGB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6B7C7E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glycogen phosphorylase B </w:t>
            </w:r>
          </w:p>
        </w:tc>
      </w:tr>
      <w:tr w:rsidR="00A9786D" w:rsidRPr="004B2A68" w14:paraId="2324B13E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E91184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PYGL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F5CB8A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glycogen phosphorylase L </w:t>
            </w:r>
          </w:p>
        </w:tc>
      </w:tr>
      <w:tr w:rsidR="00A9786D" w:rsidRPr="004B2A68" w14:paraId="7DD2D640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1B0519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PYGM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437054A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glycogen phosphorylase, muscle associated </w:t>
            </w:r>
          </w:p>
        </w:tc>
      </w:tr>
      <w:tr w:rsidR="00A9786D" w:rsidRPr="004B2A68" w14:paraId="4015AD8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C72448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RBCK1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6BB721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RANBP2-type and C3HC4-type zinc finger containing 1 </w:t>
            </w:r>
          </w:p>
        </w:tc>
      </w:tr>
      <w:tr w:rsidR="00A9786D" w:rsidRPr="004B2A68" w14:paraId="4F2807E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AAF22E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RIPK1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BDBED3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receptor interacting serine/threonine kinase 1 </w:t>
            </w:r>
          </w:p>
        </w:tc>
      </w:tr>
      <w:tr w:rsidR="00A9786D" w:rsidRPr="004B2A68" w14:paraId="546D30FE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DC4409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RIPK3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CEE137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receptor interacting serine/threonine kinase 3 </w:t>
            </w:r>
          </w:p>
        </w:tc>
      </w:tr>
      <w:tr w:rsidR="00A9786D" w:rsidRPr="004B2A68" w14:paraId="1DCF6C5A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BFD50D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RNF103-CHMP3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0126C3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RNF103-CHMP3 readthrough </w:t>
            </w:r>
          </w:p>
        </w:tc>
      </w:tr>
      <w:tr w:rsidR="00A9786D" w:rsidRPr="004B2A68" w14:paraId="46DBE5D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97C8CC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RNF31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A310D6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ring finger protein 31 </w:t>
            </w:r>
          </w:p>
        </w:tc>
      </w:tr>
      <w:tr w:rsidR="00A9786D" w:rsidRPr="004B2A68" w14:paraId="2CA81A31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D0E00A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SHARPIN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D3C482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SHANK associated RH domain interactor </w:t>
            </w:r>
          </w:p>
        </w:tc>
      </w:tr>
      <w:tr w:rsidR="00A9786D" w:rsidRPr="004B2A68" w14:paraId="6C4F068E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8019B7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SLC25A31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0B64A5A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solute carrier family 25 member 31 </w:t>
            </w:r>
          </w:p>
        </w:tc>
      </w:tr>
      <w:tr w:rsidR="00A9786D" w:rsidRPr="004B2A68" w14:paraId="46B7F2F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EBB67B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SLC25A4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6863BF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solute carrier family 25 member 4 </w:t>
            </w:r>
          </w:p>
        </w:tc>
      </w:tr>
      <w:tr w:rsidR="00A9786D" w:rsidRPr="004B2A68" w14:paraId="7CFD9CC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9F18F7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lastRenderedPageBreak/>
              <w:t>SLC25A5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31A24A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solute carrier family 25 member 5 </w:t>
            </w:r>
          </w:p>
        </w:tc>
      </w:tr>
      <w:tr w:rsidR="00A9786D" w:rsidRPr="004B2A68" w14:paraId="74D1398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8750E6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SLC25A6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DB7876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solute carrier family 25 member 6 </w:t>
            </w:r>
          </w:p>
        </w:tc>
      </w:tr>
      <w:tr w:rsidR="00A9786D" w:rsidRPr="004B2A68" w14:paraId="5ECB43B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999C19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SMPD1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AA4C94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sphingomyelin phosphodiesterase 1 </w:t>
            </w:r>
          </w:p>
        </w:tc>
      </w:tr>
      <w:tr w:rsidR="00A9786D" w:rsidRPr="004B2A68" w14:paraId="5CE9B34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6F1E54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SPATA2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8F4A84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spermatogenesis associated 2 </w:t>
            </w:r>
          </w:p>
        </w:tc>
      </w:tr>
      <w:tr w:rsidR="00A9786D" w:rsidRPr="004B2A68" w14:paraId="581021FE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C9020F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SPATA2L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04C3EC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spermatogenesis associated 2 like </w:t>
            </w:r>
          </w:p>
        </w:tc>
      </w:tr>
      <w:tr w:rsidR="00A9786D" w:rsidRPr="004B2A68" w14:paraId="1D01E5E5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DF4E9B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SQSTM1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7B7B0A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sequestosome 1 </w:t>
            </w:r>
          </w:p>
        </w:tc>
      </w:tr>
      <w:tr w:rsidR="00A9786D" w:rsidRPr="004B2A68" w14:paraId="2ECCACD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CDD3E2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STAT1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EA5842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signal transducer and activator of transcription 1 </w:t>
            </w:r>
          </w:p>
        </w:tc>
      </w:tr>
      <w:tr w:rsidR="00A9786D" w:rsidRPr="004B2A68" w14:paraId="65807AF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D1026C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STAT2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FAD46C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signal transducer and activator of transcription 2 </w:t>
            </w:r>
          </w:p>
        </w:tc>
      </w:tr>
      <w:tr w:rsidR="00A9786D" w:rsidRPr="004B2A68" w14:paraId="6140497A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CFAEECA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STAT3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1A77BA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signal transducer and activator of transcription 3 </w:t>
            </w:r>
          </w:p>
        </w:tc>
      </w:tr>
      <w:tr w:rsidR="00A9786D" w:rsidRPr="004B2A68" w14:paraId="3E90307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A4FBEE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STAT4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05BD89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signal transducer and activator of transcription 4 </w:t>
            </w:r>
          </w:p>
        </w:tc>
      </w:tr>
      <w:tr w:rsidR="00A9786D" w:rsidRPr="004B2A68" w14:paraId="48A6FB82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CA0B78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STAT5A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CAE600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signal transducer and activator of transcription 5A </w:t>
            </w:r>
          </w:p>
        </w:tc>
      </w:tr>
      <w:tr w:rsidR="00A9786D" w:rsidRPr="004B2A68" w14:paraId="498BCB46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90B739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STAT5B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75DEE4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signal transducer and activator of transcription 5B </w:t>
            </w:r>
          </w:p>
        </w:tc>
      </w:tr>
      <w:tr w:rsidR="00A9786D" w:rsidRPr="004B2A68" w14:paraId="4EAE3553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3022B5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STAT6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544E26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signal transducer and activator of transcription 6 </w:t>
            </w:r>
          </w:p>
        </w:tc>
      </w:tr>
      <w:tr w:rsidR="00A9786D" w:rsidRPr="004B2A68" w14:paraId="1ECAAF99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C409BE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TICAM1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5AAA6B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toll like receptor adaptor molecule 1 </w:t>
            </w:r>
          </w:p>
        </w:tc>
      </w:tr>
      <w:tr w:rsidR="00A9786D" w:rsidRPr="004B2A68" w14:paraId="7C1A3B01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0BF306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TICAM2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1B01B7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toll like receptor adaptor molecule 2 </w:t>
            </w:r>
          </w:p>
        </w:tc>
      </w:tr>
      <w:tr w:rsidR="00A9786D" w:rsidRPr="004B2A68" w14:paraId="2E3C3C59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5569DF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TLR3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6F69EF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toll like receptor 3 </w:t>
            </w:r>
          </w:p>
        </w:tc>
      </w:tr>
      <w:tr w:rsidR="00A9786D" w:rsidRPr="004B2A68" w14:paraId="61470522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7E3F00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TLR4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E7C4A9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toll like receptor 4 </w:t>
            </w:r>
          </w:p>
        </w:tc>
      </w:tr>
      <w:tr w:rsidR="00A9786D" w:rsidRPr="004B2A68" w14:paraId="69CE62F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C9CC79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TNF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5A298D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tumor necrosis factor </w:t>
            </w:r>
          </w:p>
        </w:tc>
      </w:tr>
      <w:tr w:rsidR="00A9786D" w:rsidRPr="004B2A68" w14:paraId="2900610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DB7AF6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TNFAIP3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AD06D5C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TNF alpha induced protein 3 </w:t>
            </w:r>
          </w:p>
        </w:tc>
      </w:tr>
      <w:tr w:rsidR="00A9786D" w:rsidRPr="004B2A68" w14:paraId="5166683F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E9808AA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TNFRSF10A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9912C88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TNF receptor superfamily member 10a </w:t>
            </w:r>
          </w:p>
        </w:tc>
      </w:tr>
      <w:tr w:rsidR="00A9786D" w:rsidRPr="004B2A68" w14:paraId="207DD655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0BA290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TNFRSF10B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0C5D4B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TNF receptor superfamily member 10b </w:t>
            </w:r>
          </w:p>
        </w:tc>
      </w:tr>
      <w:tr w:rsidR="00A9786D" w:rsidRPr="004B2A68" w14:paraId="4AD5C552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69445A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TNFRSF1A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141228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TNF receptor superfamily member 1A </w:t>
            </w:r>
          </w:p>
        </w:tc>
      </w:tr>
      <w:tr w:rsidR="00A9786D" w:rsidRPr="004B2A68" w14:paraId="27AAFB28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5FFAA7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TNFSF10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C3A67C0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TNF superfamily member 10 </w:t>
            </w:r>
          </w:p>
        </w:tc>
      </w:tr>
      <w:tr w:rsidR="00A9786D" w:rsidRPr="004B2A68" w14:paraId="63D6DEC7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6571EF2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TRADD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EF122F4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TNFRSF1A associated via death domain </w:t>
            </w:r>
          </w:p>
        </w:tc>
      </w:tr>
      <w:tr w:rsidR="00A9786D" w:rsidRPr="004B2A68" w14:paraId="4DE2212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52D66F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TRAF2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9D3D01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TNF receptor associated factor 2 </w:t>
            </w:r>
          </w:p>
        </w:tc>
      </w:tr>
      <w:tr w:rsidR="00A9786D" w:rsidRPr="004B2A68" w14:paraId="33110883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771F7EB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TRAF5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0E4CCAE9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TNF receptor associated factor 5 </w:t>
            </w:r>
          </w:p>
        </w:tc>
      </w:tr>
      <w:tr w:rsidR="00A9786D" w:rsidRPr="004B2A68" w14:paraId="1C8A8AE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F80687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TRPM7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6C33DBF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transient receptor potential cation channel subfamily M member 7 </w:t>
            </w:r>
          </w:p>
        </w:tc>
      </w:tr>
      <w:tr w:rsidR="00A9786D" w:rsidRPr="004B2A68" w14:paraId="15C44C93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0A001A56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TYK2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0FF1B3A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tyrosine kinase 2 </w:t>
            </w:r>
          </w:p>
        </w:tc>
      </w:tr>
      <w:tr w:rsidR="00A9786D" w:rsidRPr="004B2A68" w14:paraId="653C410E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26BA685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USP21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841894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ubiquitin specific peptidase 21 </w:t>
            </w:r>
          </w:p>
        </w:tc>
      </w:tr>
      <w:tr w:rsidR="00A9786D" w:rsidRPr="004B2A68" w14:paraId="22AC8482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398B53D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VDAC1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246DC85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voltage dependent anion channel 1 </w:t>
            </w:r>
          </w:p>
        </w:tc>
      </w:tr>
      <w:tr w:rsidR="00A9786D" w:rsidRPr="004B2A68" w14:paraId="224F66D3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4F643835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VDAC2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52CD1FF2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voltage dependent anion channel 2 </w:t>
            </w:r>
          </w:p>
        </w:tc>
      </w:tr>
      <w:tr w:rsidR="00A9786D" w:rsidRPr="004B2A68" w14:paraId="5B8947CB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B28734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lastRenderedPageBreak/>
              <w:t>VDAC3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9DC828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voltage dependent anion channel 3 </w:t>
            </w:r>
          </w:p>
        </w:tc>
      </w:tr>
      <w:tr w:rsidR="00A9786D" w:rsidRPr="004B2A68" w14:paraId="0606179C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C941827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VPS4A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186F6F1B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vacuolar protein sorting 4 homolog A </w:t>
            </w:r>
          </w:p>
        </w:tc>
      </w:tr>
      <w:tr w:rsidR="00A9786D" w:rsidRPr="004B2A68" w14:paraId="1AE9DD6D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32C46303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VPS4B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33172B6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vacuolar protein sorting 4 homolog B </w:t>
            </w:r>
          </w:p>
        </w:tc>
      </w:tr>
      <w:tr w:rsidR="00A9786D" w:rsidRPr="004B2A68" w14:paraId="7FF46C56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18E0567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XIAP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71630CF1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X-linked inhibitor of apoptosis </w:t>
            </w:r>
          </w:p>
        </w:tc>
      </w:tr>
      <w:tr w:rsidR="00A9786D" w:rsidRPr="004B2A68" w14:paraId="6CCC2FF1" w14:textId="77777777" w:rsidTr="004E1148">
        <w:trPr>
          <w:trHeight w:val="320"/>
        </w:trPr>
        <w:tc>
          <w:tcPr>
            <w:tcW w:w="2835" w:type="dxa"/>
            <w:shd w:val="clear" w:color="auto" w:fill="auto"/>
            <w:noWrap/>
            <w:hideMark/>
          </w:tcPr>
          <w:p w14:paraId="5EED29EF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rFonts w:hint="eastAsia"/>
                <w:kern w:val="2"/>
              </w:rPr>
              <w:t>ZBP1</w:t>
            </w:r>
          </w:p>
        </w:tc>
        <w:tc>
          <w:tcPr>
            <w:tcW w:w="5579" w:type="dxa"/>
            <w:shd w:val="clear" w:color="auto" w:fill="auto"/>
            <w:noWrap/>
            <w:hideMark/>
          </w:tcPr>
          <w:p w14:paraId="4B6E980E" w14:textId="77777777" w:rsidR="00A9786D" w:rsidRPr="004B2A68" w:rsidRDefault="00A9786D" w:rsidP="004E1148">
            <w:pPr>
              <w:pStyle w:val="NormalWeb"/>
              <w:shd w:val="clear" w:color="auto" w:fill="FFFFFF"/>
              <w:tabs>
                <w:tab w:val="left" w:pos="3506"/>
              </w:tabs>
              <w:adjustRightInd w:val="0"/>
              <w:snapToGrid w:val="0"/>
              <w:spacing w:line="360" w:lineRule="auto"/>
              <w:jc w:val="both"/>
              <w:rPr>
                <w:kern w:val="2"/>
              </w:rPr>
            </w:pPr>
            <w:r w:rsidRPr="004B2A68">
              <w:rPr>
                <w:kern w:val="2"/>
              </w:rPr>
              <w:t xml:space="preserve">Z-DNA binding protein 1 </w:t>
            </w:r>
          </w:p>
        </w:tc>
      </w:tr>
    </w:tbl>
    <w:p w14:paraId="70582F1A" w14:textId="77777777" w:rsidR="00A9786D" w:rsidRDefault="00A9786D" w:rsidP="00A9786D">
      <w:pPr>
        <w:pStyle w:val="NormalWeb"/>
        <w:shd w:val="clear" w:color="auto" w:fill="FFFFFF"/>
        <w:tabs>
          <w:tab w:val="left" w:pos="3506"/>
        </w:tabs>
        <w:adjustRightInd w:val="0"/>
        <w:snapToGrid w:val="0"/>
        <w:spacing w:before="0" w:beforeAutospacing="0" w:after="0" w:afterAutospacing="0" w:line="360" w:lineRule="auto"/>
        <w:jc w:val="both"/>
        <w:rPr>
          <w:kern w:val="2"/>
        </w:rPr>
      </w:pPr>
    </w:p>
    <w:p w14:paraId="0213F0B6" w14:textId="77777777" w:rsidR="00A9786D" w:rsidRDefault="00A9786D" w:rsidP="00A9786D">
      <w:pPr>
        <w:pStyle w:val="NormalWeb"/>
        <w:shd w:val="clear" w:color="auto" w:fill="FFFFFF"/>
        <w:tabs>
          <w:tab w:val="left" w:pos="3506"/>
        </w:tabs>
        <w:adjustRightInd w:val="0"/>
        <w:snapToGrid w:val="0"/>
        <w:spacing w:before="0" w:beforeAutospacing="0" w:after="0" w:afterAutospacing="0" w:line="360" w:lineRule="auto"/>
        <w:jc w:val="both"/>
        <w:rPr>
          <w:kern w:val="2"/>
        </w:rPr>
      </w:pPr>
      <w:r>
        <w:rPr>
          <w:kern w:val="2"/>
        </w:rPr>
        <w:br w:type="page"/>
      </w:r>
    </w:p>
    <w:p w14:paraId="520617C2" w14:textId="77777777" w:rsidR="00A9786D" w:rsidRDefault="00A9786D" w:rsidP="00A9786D">
      <w:pPr>
        <w:pStyle w:val="NormalWeb"/>
        <w:shd w:val="clear" w:color="auto" w:fill="FFFFFF"/>
        <w:tabs>
          <w:tab w:val="left" w:pos="3506"/>
        </w:tabs>
        <w:adjustRightInd w:val="0"/>
        <w:snapToGrid w:val="0"/>
        <w:spacing w:before="0" w:beforeAutospacing="0" w:after="0" w:afterAutospacing="0" w:line="360" w:lineRule="auto"/>
        <w:jc w:val="center"/>
        <w:rPr>
          <w:kern w:val="2"/>
        </w:rPr>
      </w:pPr>
      <w:r w:rsidRPr="004B2A68">
        <w:rPr>
          <w:noProof/>
          <w:kern w:val="2"/>
        </w:rPr>
        <w:lastRenderedPageBreak/>
        <w:drawing>
          <wp:inline distT="0" distB="0" distL="0" distR="0" wp14:anchorId="565E113D" wp14:editId="71C8399C">
            <wp:extent cx="4471035" cy="4298315"/>
            <wp:effectExtent l="0" t="0" r="0" b="0"/>
            <wp:docPr id="4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1035" cy="42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A5CAC" w14:textId="77777777" w:rsidR="00A9786D" w:rsidRDefault="00A9786D" w:rsidP="00A9786D">
      <w:pPr>
        <w:pStyle w:val="NormalWeb"/>
        <w:shd w:val="clear" w:color="auto" w:fill="FFFFFF"/>
        <w:tabs>
          <w:tab w:val="left" w:pos="3506"/>
        </w:tabs>
        <w:adjustRightInd w:val="0"/>
        <w:snapToGrid w:val="0"/>
        <w:spacing w:before="0" w:beforeAutospacing="0" w:after="0" w:afterAutospacing="0" w:line="360" w:lineRule="auto"/>
        <w:rPr>
          <w:noProof/>
          <w:kern w:val="2"/>
        </w:rPr>
      </w:pPr>
      <w:r w:rsidRPr="00F96777">
        <w:rPr>
          <w:b/>
          <w:bCs/>
          <w:noProof/>
          <w:kern w:val="2"/>
        </w:rPr>
        <w:t>Supplementary Fig.</w:t>
      </w:r>
      <w:r>
        <w:rPr>
          <w:b/>
          <w:bCs/>
          <w:noProof/>
          <w:kern w:val="2"/>
        </w:rPr>
        <w:t xml:space="preserve"> </w:t>
      </w:r>
      <w:r w:rsidRPr="00F96777">
        <w:rPr>
          <w:b/>
          <w:bCs/>
          <w:noProof/>
          <w:kern w:val="2"/>
        </w:rPr>
        <w:t xml:space="preserve">1 </w:t>
      </w:r>
      <w:r>
        <w:rPr>
          <w:noProof/>
          <w:kern w:val="2"/>
        </w:rPr>
        <w:t xml:space="preserve"> </w:t>
      </w:r>
      <w:r w:rsidRPr="00F96777">
        <w:rPr>
          <w:noProof/>
          <w:kern w:val="2"/>
        </w:rPr>
        <w:t>the PPI</w:t>
      </w:r>
      <w:r>
        <w:rPr>
          <w:noProof/>
          <w:kern w:val="2"/>
        </w:rPr>
        <w:t xml:space="preserve"> </w:t>
      </w:r>
      <w:r w:rsidRPr="00F96777">
        <w:rPr>
          <w:noProof/>
          <w:kern w:val="2"/>
        </w:rPr>
        <w:t>network of the necroptosis-related genes</w:t>
      </w:r>
      <w:r>
        <w:rPr>
          <w:noProof/>
          <w:kern w:val="2"/>
        </w:rPr>
        <w:t xml:space="preserve"> based on</w:t>
      </w:r>
      <w:r w:rsidRPr="00F96777">
        <w:rPr>
          <w:noProof/>
          <w:kern w:val="2"/>
        </w:rPr>
        <w:t xml:space="preserve"> the String database</w:t>
      </w:r>
    </w:p>
    <w:p w14:paraId="4452123E" w14:textId="77777777" w:rsidR="00A9786D" w:rsidRDefault="00A9786D" w:rsidP="00A9786D">
      <w:pPr>
        <w:pStyle w:val="NormalWeb"/>
        <w:shd w:val="clear" w:color="auto" w:fill="FFFFFF"/>
        <w:tabs>
          <w:tab w:val="left" w:pos="3506"/>
        </w:tabs>
        <w:adjustRightInd w:val="0"/>
        <w:snapToGrid w:val="0"/>
        <w:spacing w:before="0" w:beforeAutospacing="0" w:after="0" w:afterAutospacing="0" w:line="360" w:lineRule="auto"/>
        <w:jc w:val="center"/>
        <w:rPr>
          <w:kern w:val="2"/>
        </w:rPr>
      </w:pPr>
      <w:r>
        <w:rPr>
          <w:noProof/>
          <w:kern w:val="2"/>
        </w:rPr>
        <w:br w:type="page"/>
      </w:r>
      <w:r w:rsidRPr="004B2A68">
        <w:rPr>
          <w:noProof/>
          <w:kern w:val="2"/>
        </w:rPr>
        <w:lastRenderedPageBreak/>
        <w:drawing>
          <wp:inline distT="0" distB="0" distL="0" distR="0" wp14:anchorId="2956F774" wp14:editId="085FF8A2">
            <wp:extent cx="3420110" cy="3204210"/>
            <wp:effectExtent l="0" t="0" r="0" b="0"/>
            <wp:docPr id="9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320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2B39C" w14:textId="77777777" w:rsidR="00A9786D" w:rsidRPr="00F96777" w:rsidRDefault="00A9786D" w:rsidP="00A9786D">
      <w:pPr>
        <w:pStyle w:val="NormalWeb"/>
        <w:shd w:val="clear" w:color="auto" w:fill="FFFFFF"/>
        <w:tabs>
          <w:tab w:val="left" w:pos="3506"/>
        </w:tabs>
        <w:adjustRightInd w:val="0"/>
        <w:snapToGrid w:val="0"/>
        <w:spacing w:before="0" w:beforeAutospacing="0" w:after="0" w:afterAutospacing="0" w:line="360" w:lineRule="auto"/>
        <w:rPr>
          <w:kern w:val="2"/>
        </w:rPr>
      </w:pPr>
      <w:r w:rsidRPr="00F96777">
        <w:rPr>
          <w:b/>
          <w:bCs/>
          <w:noProof/>
          <w:kern w:val="2"/>
        </w:rPr>
        <w:t>Supplementary Fig.</w:t>
      </w:r>
      <w:r>
        <w:rPr>
          <w:b/>
          <w:bCs/>
          <w:noProof/>
          <w:kern w:val="2"/>
        </w:rPr>
        <w:t xml:space="preserve"> 2  </w:t>
      </w:r>
      <w:r w:rsidRPr="00F96777">
        <w:rPr>
          <w:noProof/>
          <w:kern w:val="2"/>
        </w:rPr>
        <w:t>(A-B) KEGG functional enrichment analysis of DEGs</w:t>
      </w:r>
    </w:p>
    <w:p w14:paraId="66012E67" w14:textId="77777777" w:rsidR="00A9786D" w:rsidRPr="00044DE9" w:rsidRDefault="00A9786D" w:rsidP="00A9786D">
      <w:pPr>
        <w:rPr>
          <w:color w:val="000000" w:themeColor="text1"/>
        </w:rPr>
      </w:pPr>
    </w:p>
    <w:p w14:paraId="303EE7E0" w14:textId="77777777" w:rsidR="000D4074" w:rsidRPr="00A9786D" w:rsidRDefault="000D4074" w:rsidP="00A9786D"/>
    <w:sectPr w:rsidR="000D4074" w:rsidRPr="00A9786D" w:rsidSect="00A9786D">
      <w:footerReference w:type="even" r:id="rId6"/>
      <w:footerReference w:type="default" r:id="rId7"/>
      <w:pgSz w:w="11900" w:h="16840"/>
      <w:pgMar w:top="1531" w:right="1418" w:bottom="1531" w:left="1701" w:header="851" w:footer="992" w:gutter="0"/>
      <w:pgNumType w:start="1"/>
      <w:cols w:space="425"/>
      <w:docGrid w:type="linesAndChars" w:linePitch="4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051996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4D20A02" w14:textId="77777777" w:rsidR="00AE4334" w:rsidRDefault="00A9786D" w:rsidP="009D601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8D6E08A" w14:textId="77777777" w:rsidR="00AE4334" w:rsidRDefault="00A978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830958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9BE70BD" w14:textId="77777777" w:rsidR="00AE4334" w:rsidRDefault="00A9786D" w:rsidP="009D601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9F7AF51" w14:textId="77777777" w:rsidR="00AE4334" w:rsidRDefault="00A9786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86D"/>
    <w:rsid w:val="000D4074"/>
    <w:rsid w:val="001E4B73"/>
    <w:rsid w:val="005314AC"/>
    <w:rsid w:val="009B53F0"/>
    <w:rsid w:val="00A97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57A25"/>
  <w15:chartTrackingRefBased/>
  <w15:docId w15:val="{A680CEA7-B43C-41DD-ABE8-6B763D7DF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86D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A9786D"/>
    <w:pPr>
      <w:spacing w:before="100" w:beforeAutospacing="1" w:after="100" w:afterAutospacing="1"/>
    </w:pPr>
    <w:rPr>
      <w:rFonts w:ascii="Times New Roman" w:eastAsia="DengXi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9786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9786D"/>
    <w:rPr>
      <w:rFonts w:ascii="SimSun" w:eastAsia="SimSun" w:hAnsi="SimSun" w:cs="SimSun"/>
      <w:sz w:val="18"/>
      <w:szCs w:val="18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A978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968</Words>
  <Characters>5521</Characters>
  <Application>Microsoft Office Word</Application>
  <DocSecurity>0</DocSecurity>
  <Lines>46</Lines>
  <Paragraphs>12</Paragraphs>
  <ScaleCrop>false</ScaleCrop>
  <Company>Springer Nature</Company>
  <LinksUpToDate>false</LinksUpToDate>
  <CharactersWithSpaces>6477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2023-03-18T04:07:00Z</dcterms:created>
  <dcterms:modified xsi:type="dcterms:W3CDTF">2023-03-18T04:08:00Z</dcterms:modified>
</cp:coreProperties>
</file>