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0CB44" w14:textId="3F556B2B"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 xml:space="preserve">Supplemental </w:t>
      </w:r>
      <w:r w:rsidR="0075479E">
        <w:rPr>
          <w:rFonts w:ascii="Times New Roman" w:hAnsi="Times New Roman" w:cs="Times New Roman"/>
          <w:b/>
          <w:bCs/>
        </w:rPr>
        <w:t>f</w:t>
      </w:r>
      <w:r w:rsidRPr="009C0D0D">
        <w:rPr>
          <w:rFonts w:ascii="Times New Roman" w:hAnsi="Times New Roman" w:cs="Times New Roman"/>
          <w:b/>
          <w:bCs/>
        </w:rPr>
        <w:t>igure</w:t>
      </w:r>
      <w:r w:rsidR="0075479E">
        <w:rPr>
          <w:rFonts w:ascii="Times New Roman" w:hAnsi="Times New Roman" w:cs="Times New Roman"/>
          <w:b/>
          <w:bCs/>
        </w:rPr>
        <w:t>s and l</w:t>
      </w:r>
      <w:r w:rsidRPr="009C0D0D">
        <w:rPr>
          <w:rFonts w:ascii="Times New Roman" w:hAnsi="Times New Roman" w:cs="Times New Roman"/>
          <w:b/>
          <w:bCs/>
        </w:rPr>
        <w:t>egends</w:t>
      </w:r>
    </w:p>
    <w:p w14:paraId="21A2C89F" w14:textId="369BF221" w:rsidR="0075479E" w:rsidRDefault="0075479E" w:rsidP="0075479E">
      <w:pPr>
        <w:spacing w:line="360" w:lineRule="auto"/>
        <w:ind w:right="270"/>
        <w:jc w:val="center"/>
        <w:rPr>
          <w:rFonts w:ascii="Times New Roman" w:hAnsi="Times New Roman" w:cs="Times New Roman"/>
          <w:b/>
          <w:bCs/>
        </w:rPr>
      </w:pPr>
      <w:r>
        <w:rPr>
          <w:rFonts w:ascii="Times New Roman" w:hAnsi="Times New Roman" w:cs="Times New Roman"/>
          <w:b/>
          <w:bCs/>
          <w:noProof/>
        </w:rPr>
        <w:drawing>
          <wp:inline distT="0" distB="0" distL="0" distR="0" wp14:anchorId="17A4A499" wp14:editId="1497DDCB">
            <wp:extent cx="4416552" cy="4907280"/>
            <wp:effectExtent l="0" t="0" r="3175" b="762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16552" cy="4907280"/>
                    </a:xfrm>
                    <a:prstGeom prst="rect">
                      <a:avLst/>
                    </a:prstGeom>
                  </pic:spPr>
                </pic:pic>
              </a:graphicData>
            </a:graphic>
          </wp:inline>
        </w:drawing>
      </w:r>
    </w:p>
    <w:p w14:paraId="0C7A277C" w14:textId="77777777" w:rsidR="0075479E" w:rsidRDefault="0075479E" w:rsidP="00853C5D">
      <w:pPr>
        <w:spacing w:line="360" w:lineRule="auto"/>
        <w:ind w:right="270"/>
        <w:jc w:val="both"/>
        <w:rPr>
          <w:rFonts w:ascii="Times New Roman" w:hAnsi="Times New Roman" w:cs="Times New Roman"/>
          <w:b/>
          <w:bCs/>
        </w:rPr>
      </w:pPr>
    </w:p>
    <w:p w14:paraId="14B2AEB9" w14:textId="057E980B"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S1</w:t>
      </w:r>
      <w:r w:rsidR="0075479E">
        <w:rPr>
          <w:rFonts w:ascii="Times New Roman" w:hAnsi="Times New Roman" w:cs="Times New Roman"/>
          <w:b/>
          <w:bCs/>
        </w:rPr>
        <w:t>.</w:t>
      </w:r>
      <w:r w:rsidRPr="009C0D0D">
        <w:rPr>
          <w:rFonts w:ascii="Times New Roman" w:hAnsi="Times New Roman" w:cs="Times New Roman"/>
          <w:b/>
          <w:bCs/>
        </w:rPr>
        <w:t xml:space="preserve"> PIXN blocks endocytosis-mediated entry of SARS-CoV-2</w:t>
      </w:r>
    </w:p>
    <w:p w14:paraId="25E59978"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(A) PIXN (LC1541) and MTAN inhibit the entry of luciferase-expressing pseudoviral particles coated with the spike of the SARS-CoV-2 Omicron variant. Error bars indicate means </w:t>
      </w:r>
      <w:r w:rsidRPr="009C0D0D">
        <w:rPr>
          <w:rFonts w:ascii="Times New Roman" w:hAnsi="Times New Roman" w:cs="Times New Roman"/>
        </w:rPr>
        <w:sym w:font="Symbol" w:char="F0B1"/>
      </w:r>
      <w:r w:rsidRPr="009C0D0D">
        <w:rPr>
          <w:rFonts w:ascii="Times New Roman" w:hAnsi="Times New Roman" w:cs="Times New Roman"/>
        </w:rPr>
        <w:t xml:space="preserve"> SD, n=3.</w:t>
      </w:r>
    </w:p>
    <w:p w14:paraId="743D5526"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(B) Heparan sulfate binds to PIXN and MTAN. The indicated drugs (50 </w:t>
      </w:r>
      <w:r w:rsidRPr="009C0D0D">
        <w:rPr>
          <w:rFonts w:ascii="Times New Roman" w:hAnsi="Times New Roman" w:cs="Times New Roman"/>
        </w:rPr>
        <w:sym w:font="Symbol" w:char="F06D"/>
      </w:r>
      <w:r w:rsidRPr="009C0D0D">
        <w:rPr>
          <w:rFonts w:ascii="Times New Roman" w:hAnsi="Times New Roman" w:cs="Times New Roman"/>
        </w:rPr>
        <w:t>M) were incubated with purified heparan sulfate at the indicated concentrations. The change of Absorbance at 650 nm was recorded. The fitted curves represent the average of three experiments.</w:t>
      </w:r>
    </w:p>
    <w:p w14:paraId="2F54983B" w14:textId="5D86A5FE" w:rsidR="00CB4F1E" w:rsidRDefault="00853C5D" w:rsidP="00371A7E">
      <w:pPr>
        <w:spacing w:line="360" w:lineRule="auto"/>
        <w:ind w:right="270"/>
        <w:jc w:val="both"/>
        <w:rPr>
          <w:rFonts w:ascii="Times New Roman" w:hAnsi="Times New Roman" w:cs="Times New Roman"/>
        </w:rPr>
      </w:pPr>
      <w:r w:rsidRPr="009C0D0D">
        <w:rPr>
          <w:rFonts w:ascii="Times New Roman" w:hAnsi="Times New Roman" w:cs="Times New Roman"/>
        </w:rPr>
        <w:t xml:space="preserve">(C) The USA-WA1/2020 variant enters cells mostly via endocytosis.  </w:t>
      </w:r>
      <w:r w:rsidR="008F60D9">
        <w:rPr>
          <w:rFonts w:ascii="Times New Roman" w:hAnsi="Times New Roman" w:cs="Times New Roman"/>
        </w:rPr>
        <w:t xml:space="preserve">Vera </w:t>
      </w:r>
      <w:r w:rsidRPr="009C0D0D">
        <w:rPr>
          <w:rFonts w:ascii="Times New Roman" w:hAnsi="Times New Roman" w:cs="Times New Roman"/>
        </w:rPr>
        <w:t>TA6 cells were treated with the USA-WA1/2020 at MOI of 0.1 for 4 h.  Cells were fixed and stained with antibodies against the lysosome-associated protein CSP</w:t>
      </w:r>
      <w:r w:rsidRPr="009C0D0D">
        <w:rPr>
          <w:rFonts w:ascii="Times New Roman" w:hAnsi="Times New Roman" w:cs="Times New Roman"/>
        </w:rPr>
        <w:sym w:font="Symbol" w:char="F061"/>
      </w:r>
      <w:r w:rsidRPr="009C0D0D">
        <w:rPr>
          <w:rFonts w:ascii="Times New Roman" w:hAnsi="Times New Roman" w:cs="Times New Roman"/>
        </w:rPr>
        <w:t xml:space="preserve"> (green), the spike (red), and with </w:t>
      </w:r>
      <w:r w:rsidRPr="009C0D0D">
        <w:rPr>
          <w:rFonts w:ascii="Times New Roman" w:hAnsi="Times New Roman" w:cs="Times New Roman"/>
        </w:rPr>
        <w:lastRenderedPageBreak/>
        <w:t xml:space="preserve">Hoechst (blue). Shown are examples of cells in a 3D view (left). Scale bar, 5 </w:t>
      </w:r>
      <w:r w:rsidRPr="009C0D0D">
        <w:rPr>
          <w:rFonts w:ascii="Times New Roman" w:hAnsi="Times New Roman" w:cs="Times New Roman"/>
        </w:rPr>
        <w:sym w:font="Symbol" w:char="F06D"/>
      </w:r>
      <w:r w:rsidRPr="009C0D0D">
        <w:rPr>
          <w:rFonts w:ascii="Times New Roman" w:hAnsi="Times New Roman" w:cs="Times New Roman"/>
        </w:rPr>
        <w:t>m. The Box1-labeled area is enlarged in the middle panels. The right panels show a surface-rendered view of the Box2-indicated area.</w:t>
      </w:r>
    </w:p>
    <w:p w14:paraId="6E94CCEE" w14:textId="003E91E5" w:rsidR="00853C5D" w:rsidRDefault="00CB4F1E" w:rsidP="00CB4F1E">
      <w:pPr>
        <w:spacing w:after="160" w:line="259" w:lineRule="auto"/>
        <w:rPr>
          <w:rFonts w:ascii="Times New Roman" w:hAnsi="Times New Roman" w:cs="Times New Roman"/>
        </w:rPr>
      </w:pPr>
      <w:r>
        <w:rPr>
          <w:rFonts w:ascii="Times New Roman" w:hAnsi="Times New Roman" w:cs="Times New Roman"/>
        </w:rPr>
        <w:br w:type="page"/>
      </w:r>
    </w:p>
    <w:p w14:paraId="312347D9" w14:textId="292284AB" w:rsidR="0075479E" w:rsidRPr="009C0D0D" w:rsidRDefault="008875DE" w:rsidP="0075479E">
      <w:pPr>
        <w:spacing w:line="360" w:lineRule="auto"/>
        <w:ind w:right="270"/>
        <w:jc w:val="center"/>
        <w:rPr>
          <w:rFonts w:ascii="Times New Roman" w:hAnsi="Times New Roman" w:cs="Times New Roman"/>
        </w:rPr>
      </w:pPr>
      <w:r>
        <w:rPr>
          <w:rFonts w:ascii="Times New Roman" w:hAnsi="Times New Roman" w:cs="Times New Roman"/>
          <w:noProof/>
        </w:rPr>
        <w:lastRenderedPageBreak/>
        <w:drawing>
          <wp:inline distT="0" distB="0" distL="0" distR="0" wp14:anchorId="2C4854A3" wp14:editId="17A07D43">
            <wp:extent cx="5382768" cy="7147560"/>
            <wp:effectExtent l="0" t="0" r="8890" b="0"/>
            <wp:docPr id="9" name="Picture 9"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82768" cy="7147560"/>
                    </a:xfrm>
                    <a:prstGeom prst="rect">
                      <a:avLst/>
                    </a:prstGeom>
                  </pic:spPr>
                </pic:pic>
              </a:graphicData>
            </a:graphic>
          </wp:inline>
        </w:drawing>
      </w:r>
    </w:p>
    <w:p w14:paraId="3E24C3D9" w14:textId="77777777" w:rsidR="0075479E" w:rsidRDefault="0075479E" w:rsidP="00853C5D">
      <w:pPr>
        <w:spacing w:line="360" w:lineRule="auto"/>
        <w:ind w:right="270"/>
        <w:jc w:val="both"/>
        <w:rPr>
          <w:rFonts w:ascii="Times New Roman" w:hAnsi="Times New Roman" w:cs="Times New Roman"/>
          <w:b/>
          <w:bCs/>
        </w:rPr>
      </w:pPr>
    </w:p>
    <w:p w14:paraId="5B60CDFF" w14:textId="5709AAEF"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S2</w:t>
      </w:r>
      <w:r w:rsidR="0075479E">
        <w:rPr>
          <w:rFonts w:ascii="Times New Roman" w:hAnsi="Times New Roman" w:cs="Times New Roman"/>
          <w:b/>
          <w:bCs/>
        </w:rPr>
        <w:t>.</w:t>
      </w:r>
      <w:r w:rsidRPr="009C0D0D">
        <w:rPr>
          <w:rFonts w:ascii="Times New Roman" w:hAnsi="Times New Roman" w:cs="Times New Roman"/>
          <w:b/>
          <w:bCs/>
        </w:rPr>
        <w:t xml:space="preserve"> MTAN (MTAN) binds HS 6-mer NS2S3S6S in a sulfate dependent manner</w:t>
      </w:r>
    </w:p>
    <w:p w14:paraId="2BCBA32D"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(A) MTAN (50 </w:t>
      </w:r>
      <w:r w:rsidRPr="009C0D0D">
        <w:rPr>
          <w:rFonts w:ascii="Times New Roman" w:hAnsi="Times New Roman" w:cs="Times New Roman"/>
        </w:rPr>
        <w:sym w:font="Symbol" w:char="F06D"/>
      </w:r>
      <w:r w:rsidRPr="009C0D0D">
        <w:rPr>
          <w:rFonts w:ascii="Times New Roman" w:hAnsi="Times New Roman" w:cs="Times New Roman"/>
        </w:rPr>
        <w:t>M) was incubated with HS-6-mer NS2S3S6S at the indicated concentrations (</w:t>
      </w:r>
      <w:r w:rsidRPr="009C0D0D">
        <w:rPr>
          <w:rFonts w:ascii="Times New Roman" w:hAnsi="Times New Roman" w:cs="Times New Roman"/>
        </w:rPr>
        <w:sym w:font="Symbol" w:char="F06D"/>
      </w:r>
      <w:r w:rsidRPr="009C0D0D">
        <w:rPr>
          <w:rFonts w:ascii="Times New Roman" w:hAnsi="Times New Roman" w:cs="Times New Roman"/>
        </w:rPr>
        <w:t xml:space="preserve">M). The absorbance spectra of the reactions were measured. </w:t>
      </w:r>
    </w:p>
    <w:p w14:paraId="3E3FD2A2" w14:textId="1DF24F06" w:rsidR="00853C5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lastRenderedPageBreak/>
        <w:t xml:space="preserve">(B) As in (A), except that a HS 6-mer with zero sulfate was used. </w:t>
      </w:r>
    </w:p>
    <w:p w14:paraId="73CE605C" w14:textId="2C8A5154" w:rsidR="0030185D" w:rsidRPr="009C0D0D" w:rsidRDefault="0030185D" w:rsidP="00853C5D">
      <w:pPr>
        <w:spacing w:line="360" w:lineRule="auto"/>
        <w:ind w:right="270"/>
        <w:jc w:val="both"/>
        <w:rPr>
          <w:rFonts w:ascii="Times New Roman" w:hAnsi="Times New Roman" w:cs="Times New Roman"/>
        </w:rPr>
      </w:pPr>
      <w:r>
        <w:rPr>
          <w:rFonts w:ascii="Times New Roman" w:hAnsi="Times New Roman" w:cs="Times New Roman"/>
        </w:rPr>
        <w:t>(C) The structures of HS 6-mers.</w:t>
      </w:r>
    </w:p>
    <w:p w14:paraId="31807029" w14:textId="237A220B" w:rsidR="00853C5D" w:rsidRDefault="00853C5D" w:rsidP="00853C5D">
      <w:pPr>
        <w:spacing w:line="360" w:lineRule="auto"/>
        <w:ind w:right="270"/>
        <w:jc w:val="both"/>
        <w:rPr>
          <w:rFonts w:ascii="Times New Roman" w:hAnsi="Times New Roman" w:cs="Times New Roman"/>
        </w:rPr>
      </w:pPr>
    </w:p>
    <w:p w14:paraId="1F78BB0B" w14:textId="3D3D786D" w:rsidR="0075479E" w:rsidRPr="009C0D0D" w:rsidRDefault="0020699E" w:rsidP="0075479E">
      <w:pPr>
        <w:spacing w:line="360" w:lineRule="auto"/>
        <w:ind w:right="270"/>
        <w:jc w:val="center"/>
        <w:rPr>
          <w:rFonts w:ascii="Times New Roman" w:hAnsi="Times New Roman" w:cs="Times New Roman"/>
        </w:rPr>
      </w:pPr>
      <w:r>
        <w:rPr>
          <w:rFonts w:ascii="Times New Roman" w:hAnsi="Times New Roman" w:cs="Times New Roman"/>
          <w:noProof/>
        </w:rPr>
        <w:drawing>
          <wp:inline distT="0" distB="0" distL="0" distR="0" wp14:anchorId="7A41B5C0" wp14:editId="212ACA2E">
            <wp:extent cx="5370576" cy="6336792"/>
            <wp:effectExtent l="0" t="0" r="1905" b="6985"/>
            <wp:docPr id="5" name="Picture 5"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70576" cy="6336792"/>
                    </a:xfrm>
                    <a:prstGeom prst="rect">
                      <a:avLst/>
                    </a:prstGeom>
                  </pic:spPr>
                </pic:pic>
              </a:graphicData>
            </a:graphic>
          </wp:inline>
        </w:drawing>
      </w:r>
    </w:p>
    <w:p w14:paraId="519C7219" w14:textId="77777777" w:rsidR="0075479E" w:rsidRDefault="0075479E" w:rsidP="00853C5D">
      <w:pPr>
        <w:spacing w:line="360" w:lineRule="auto"/>
        <w:ind w:right="270"/>
        <w:jc w:val="both"/>
        <w:rPr>
          <w:rFonts w:ascii="Times New Roman" w:hAnsi="Times New Roman" w:cs="Times New Roman"/>
          <w:b/>
          <w:bCs/>
        </w:rPr>
      </w:pPr>
    </w:p>
    <w:p w14:paraId="275BB089" w14:textId="4056730D"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S3</w:t>
      </w:r>
      <w:r w:rsidR="0075479E">
        <w:rPr>
          <w:rFonts w:ascii="Times New Roman" w:hAnsi="Times New Roman" w:cs="Times New Roman"/>
          <w:b/>
          <w:bCs/>
        </w:rPr>
        <w:t>.</w:t>
      </w:r>
      <w:r w:rsidRPr="009C0D0D">
        <w:rPr>
          <w:rFonts w:ascii="Times New Roman" w:hAnsi="Times New Roman" w:cs="Times New Roman"/>
          <w:b/>
          <w:bCs/>
        </w:rPr>
        <w:t xml:space="preserve"> The cell surface heparan sulfate promotes spike-induced cell-cell fusion</w:t>
      </w:r>
    </w:p>
    <w:p w14:paraId="039030DE" w14:textId="57617D6A"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lastRenderedPageBreak/>
        <w:t xml:space="preserve">(A) </w:t>
      </w:r>
      <w:r w:rsidR="008F60D9">
        <w:rPr>
          <w:rFonts w:ascii="Times New Roman" w:hAnsi="Times New Roman" w:cs="Times New Roman"/>
        </w:rPr>
        <w:t xml:space="preserve">Vero </w:t>
      </w:r>
      <w:r w:rsidRPr="009C0D0D">
        <w:rPr>
          <w:rFonts w:ascii="Times New Roman" w:hAnsi="Times New Roman" w:cs="Times New Roman"/>
        </w:rPr>
        <w:t xml:space="preserve">TA6 cells were infected with indicated SARS-CoV-2 variants </w:t>
      </w:r>
      <w:r w:rsidR="005A09B2">
        <w:rPr>
          <w:rFonts w:ascii="Times New Roman" w:hAnsi="Times New Roman" w:cs="Times New Roman"/>
        </w:rPr>
        <w:t xml:space="preserve">(MOI=0.5) </w:t>
      </w:r>
      <w:r w:rsidRPr="009C0D0D">
        <w:rPr>
          <w:rFonts w:ascii="Times New Roman" w:hAnsi="Times New Roman" w:cs="Times New Roman"/>
        </w:rPr>
        <w:t xml:space="preserve">for </w:t>
      </w:r>
      <w:r w:rsidR="00933DDC">
        <w:rPr>
          <w:rFonts w:ascii="Times New Roman" w:hAnsi="Times New Roman" w:cs="Times New Roman"/>
        </w:rPr>
        <w:t>4</w:t>
      </w:r>
      <w:r w:rsidRPr="009C0D0D">
        <w:rPr>
          <w:rFonts w:ascii="Times New Roman" w:hAnsi="Times New Roman" w:cs="Times New Roman"/>
        </w:rPr>
        <w:t xml:space="preserve"> h and stained with anti-nucleocapsid protein (red) and the actin staining dye </w:t>
      </w:r>
      <w:hyperlink r:id="rId9" w:history="1">
        <w:r w:rsidRPr="009C0D0D">
          <w:rPr>
            <w:rFonts w:ascii="Times New Roman" w:hAnsi="Times New Roman" w:cs="Times New Roman"/>
          </w:rPr>
          <w:t>Alexa Fluor 488 Phalloidin</w:t>
        </w:r>
      </w:hyperlink>
      <w:r w:rsidRPr="009C0D0D">
        <w:rPr>
          <w:rFonts w:ascii="Times New Roman" w:hAnsi="Times New Roman" w:cs="Times New Roman"/>
        </w:rPr>
        <w:t xml:space="preserve"> (green). Scale bar</w:t>
      </w:r>
      <w:r>
        <w:rPr>
          <w:rFonts w:ascii="Times New Roman" w:hAnsi="Times New Roman" w:cs="Times New Roman"/>
        </w:rPr>
        <w:t>s</w:t>
      </w:r>
      <w:r w:rsidRPr="009C0D0D">
        <w:rPr>
          <w:rFonts w:ascii="Times New Roman" w:hAnsi="Times New Roman" w:cs="Times New Roman"/>
        </w:rPr>
        <w:t>, 1</w:t>
      </w:r>
      <w:r>
        <w:rPr>
          <w:rFonts w:ascii="Times New Roman" w:hAnsi="Times New Roman" w:cs="Times New Roman"/>
        </w:rPr>
        <w:t>5</w:t>
      </w:r>
      <w:r w:rsidRPr="009C0D0D">
        <w:rPr>
          <w:rFonts w:ascii="Times New Roman" w:hAnsi="Times New Roman" w:cs="Times New Roman"/>
        </w:rPr>
        <w:t xml:space="preserve"> </w:t>
      </w:r>
      <w:r w:rsidRPr="009C0D0D">
        <w:rPr>
          <w:rFonts w:ascii="Times New Roman" w:hAnsi="Times New Roman" w:cs="Times New Roman"/>
        </w:rPr>
        <w:sym w:font="Symbol" w:char="F06D"/>
      </w:r>
      <w:r w:rsidRPr="009C0D0D">
        <w:rPr>
          <w:rFonts w:ascii="Times New Roman" w:hAnsi="Times New Roman" w:cs="Times New Roman"/>
        </w:rPr>
        <w:t>m.</w:t>
      </w:r>
    </w:p>
    <w:p w14:paraId="4DAF77DC"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(B, C) PIXN inhibits spike-induced cell-cell fusion. ACE2-GFP cells (green) were incubated with spike/mCherry-expressing cells (magenta) in the absence (Control) or presence of PIXN for 60 minutes. The graph in (C) shows the size of syncytia, as indicated by the number of nuclei per syncytium. </w:t>
      </w:r>
      <w:r>
        <w:rPr>
          <w:rFonts w:ascii="Times New Roman" w:hAnsi="Times New Roman" w:cs="Times New Roman"/>
        </w:rPr>
        <w:t xml:space="preserve">Scale bars, 20 </w:t>
      </w:r>
      <w:r w:rsidRPr="009C0D0D">
        <w:rPr>
          <w:rFonts w:ascii="Times New Roman" w:hAnsi="Times New Roman" w:cs="Times New Roman"/>
        </w:rPr>
        <w:sym w:font="Symbol" w:char="F06D"/>
      </w:r>
      <w:r w:rsidRPr="009C0D0D">
        <w:rPr>
          <w:rFonts w:ascii="Times New Roman" w:hAnsi="Times New Roman" w:cs="Times New Roman"/>
        </w:rPr>
        <w:t>m</w:t>
      </w:r>
      <w:r>
        <w:rPr>
          <w:rFonts w:ascii="Times New Roman" w:hAnsi="Times New Roman" w:cs="Times New Roman"/>
        </w:rPr>
        <w:t>.</w:t>
      </w:r>
    </w:p>
    <w:p w14:paraId="5F960A23"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(D, E) Heparinase I/III treatment inhibits spike-mediated cell-cell fusion.  ACE2-GFP cells (green) were either mock-treated or treated with Heparinase I/III (HPase I/III) for 3 h before incubation with spike/mCherry-expressing cells (red). The graph in (E) measures the syncytium size. ****, p&lt;0.0001 by unpaired student’s t-test, n=3 independent experiments.</w:t>
      </w:r>
    </w:p>
    <w:p w14:paraId="1A0FCB0A" w14:textId="79D1FCC6" w:rsidR="00853C5D" w:rsidRDefault="00853C5D" w:rsidP="00853C5D">
      <w:pPr>
        <w:spacing w:line="360" w:lineRule="auto"/>
        <w:ind w:right="270"/>
        <w:jc w:val="both"/>
        <w:rPr>
          <w:rFonts w:ascii="Times New Roman" w:hAnsi="Times New Roman" w:cs="Times New Roman"/>
        </w:rPr>
      </w:pPr>
    </w:p>
    <w:p w14:paraId="07DB3404" w14:textId="169A4AE8" w:rsidR="0075479E" w:rsidRDefault="0075479E" w:rsidP="0075479E">
      <w:pPr>
        <w:spacing w:line="360" w:lineRule="auto"/>
        <w:ind w:right="270"/>
        <w:jc w:val="center"/>
        <w:rPr>
          <w:rFonts w:ascii="Times New Roman" w:hAnsi="Times New Roman" w:cs="Times New Roman"/>
        </w:rPr>
      </w:pPr>
      <w:r>
        <w:rPr>
          <w:rFonts w:ascii="Times New Roman" w:hAnsi="Times New Roman" w:cs="Times New Roman"/>
          <w:noProof/>
        </w:rPr>
        <w:lastRenderedPageBreak/>
        <w:drawing>
          <wp:inline distT="0" distB="0" distL="0" distR="0" wp14:anchorId="38385869" wp14:editId="0495E96A">
            <wp:extent cx="4472940" cy="8229600"/>
            <wp:effectExtent l="0" t="0" r="3810" b="0"/>
            <wp:docPr id="4" name="Picture 4" descr="Applica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pplication&#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72940" cy="8229600"/>
                    </a:xfrm>
                    <a:prstGeom prst="rect">
                      <a:avLst/>
                    </a:prstGeom>
                  </pic:spPr>
                </pic:pic>
              </a:graphicData>
            </a:graphic>
          </wp:inline>
        </w:drawing>
      </w:r>
    </w:p>
    <w:p w14:paraId="33A1F995" w14:textId="77777777" w:rsidR="0075479E" w:rsidRPr="009C0D0D" w:rsidRDefault="0075479E" w:rsidP="00853C5D">
      <w:pPr>
        <w:spacing w:line="360" w:lineRule="auto"/>
        <w:ind w:right="270"/>
        <w:jc w:val="both"/>
        <w:rPr>
          <w:rFonts w:ascii="Times New Roman" w:hAnsi="Times New Roman" w:cs="Times New Roman"/>
        </w:rPr>
      </w:pPr>
    </w:p>
    <w:p w14:paraId="6AED0ECE" w14:textId="43E58041"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S4</w:t>
      </w:r>
      <w:r w:rsidR="0075479E">
        <w:rPr>
          <w:rFonts w:ascii="Times New Roman" w:hAnsi="Times New Roman" w:cs="Times New Roman"/>
          <w:b/>
          <w:bCs/>
        </w:rPr>
        <w:t>.</w:t>
      </w:r>
      <w:r w:rsidRPr="009C0D0D">
        <w:rPr>
          <w:rFonts w:ascii="Times New Roman" w:hAnsi="Times New Roman" w:cs="Times New Roman"/>
          <w:b/>
          <w:bCs/>
        </w:rPr>
        <w:t xml:space="preserve"> PIXN inhibits spike-stimulated cell-cell fusion in a hemi-fusion state</w:t>
      </w:r>
    </w:p>
    <w:p w14:paraId="235DDC50" w14:textId="599957F5"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(A) ACE2-GFP cells (green) were incubated with spike/mCherry-expressing cells (magenta) in the absence (Control) or presence of PIXN (2 </w:t>
      </w:r>
      <w:r w:rsidRPr="009C0D0D">
        <w:rPr>
          <w:rFonts w:ascii="Times New Roman" w:hAnsi="Times New Roman" w:cs="Times New Roman"/>
        </w:rPr>
        <w:sym w:font="Symbol" w:char="F06D"/>
      </w:r>
      <w:r w:rsidRPr="009C0D0D">
        <w:rPr>
          <w:rFonts w:ascii="Times New Roman" w:hAnsi="Times New Roman" w:cs="Times New Roman"/>
        </w:rPr>
        <w:t xml:space="preserve">M) for 30 or 60 minutes. Shown are representative pictures with examples of </w:t>
      </w:r>
      <w:r w:rsidR="00162B3E">
        <w:rPr>
          <w:rFonts w:ascii="Times New Roman" w:hAnsi="Times New Roman" w:cs="Times New Roman"/>
        </w:rPr>
        <w:t>s</w:t>
      </w:r>
      <w:r w:rsidRPr="009C0D0D">
        <w:rPr>
          <w:rFonts w:ascii="Times New Roman" w:hAnsi="Times New Roman" w:cs="Times New Roman"/>
        </w:rPr>
        <w:t>emi-fusion (</w:t>
      </w:r>
      <w:r w:rsidR="00162B3E">
        <w:rPr>
          <w:rFonts w:ascii="Times New Roman" w:hAnsi="Times New Roman" w:cs="Times New Roman"/>
        </w:rPr>
        <w:t>S</w:t>
      </w:r>
      <w:r w:rsidRPr="009C0D0D">
        <w:rPr>
          <w:rFonts w:ascii="Times New Roman" w:hAnsi="Times New Roman" w:cs="Times New Roman"/>
        </w:rPr>
        <w:t>F) cells highlighted (red boxes). Red arrows show more example of HF cells. Scale bar</w:t>
      </w:r>
      <w:r>
        <w:rPr>
          <w:rFonts w:ascii="Times New Roman" w:hAnsi="Times New Roman" w:cs="Times New Roman"/>
        </w:rPr>
        <w:t>s</w:t>
      </w:r>
      <w:r w:rsidRPr="009C0D0D">
        <w:rPr>
          <w:rFonts w:ascii="Times New Roman" w:hAnsi="Times New Roman" w:cs="Times New Roman"/>
        </w:rPr>
        <w:t xml:space="preserve">, </w:t>
      </w:r>
      <w:r>
        <w:rPr>
          <w:rFonts w:ascii="Times New Roman" w:hAnsi="Times New Roman" w:cs="Times New Roman"/>
        </w:rPr>
        <w:t>2</w:t>
      </w:r>
      <w:r w:rsidRPr="009C0D0D">
        <w:rPr>
          <w:rFonts w:ascii="Times New Roman" w:hAnsi="Times New Roman" w:cs="Times New Roman"/>
        </w:rPr>
        <w:t xml:space="preserve">0 </w:t>
      </w:r>
      <w:r w:rsidRPr="009C0D0D">
        <w:rPr>
          <w:rFonts w:ascii="Times New Roman" w:hAnsi="Times New Roman" w:cs="Times New Roman"/>
        </w:rPr>
        <w:sym w:font="Symbol" w:char="F06D"/>
      </w:r>
      <w:r w:rsidRPr="009C0D0D">
        <w:rPr>
          <w:rFonts w:ascii="Times New Roman" w:hAnsi="Times New Roman" w:cs="Times New Roman"/>
        </w:rPr>
        <w:t>m.</w:t>
      </w:r>
    </w:p>
    <w:p w14:paraId="62D9BD0E" w14:textId="6AD02A31"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(B) PIXN does not inhibit the interaction of HS with the spike. The spike proteins (Lanes 1-4, a mutant with the furin-cleavage site mutated; Lanes 5-8, wild-type spike with a fraction cleaved by the furin protease) were incubated with Sepharose beads (SP), heparin-conjugated beads (HP) or heparin beads prebound with PIXN (HP+PIXN).  The bound proteins and a fraction of the input (15%) were analyzed by SDS-PAGE followed by Coomassie blue staining.</w:t>
      </w:r>
    </w:p>
    <w:p w14:paraId="5636B3AD"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(B) PIXN does not affect the spike-ACE2 interactions. The interaction of ACE2 with spike was measure by an ELISA-based plate assay with the indicated compounds. HP, heparin.</w:t>
      </w:r>
    </w:p>
    <w:p w14:paraId="0B97DBC7"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(C, D) PIXN does not inhibit ACE2-dependent proteolytic processing of the spike. ACE2-GFP cells or control cells without ACE2 overexpression (-) were incubated with spike/mCherry-expressing cells in the absence (Control) or presence of PIXN (2 </w:t>
      </w:r>
      <w:r w:rsidRPr="009C0D0D">
        <w:rPr>
          <w:rFonts w:ascii="Times New Roman" w:hAnsi="Times New Roman" w:cs="Times New Roman"/>
        </w:rPr>
        <w:sym w:font="Symbol" w:char="F06D"/>
      </w:r>
      <w:r w:rsidRPr="009C0D0D">
        <w:rPr>
          <w:rFonts w:ascii="Times New Roman" w:hAnsi="Times New Roman" w:cs="Times New Roman"/>
        </w:rPr>
        <w:t>M) for the indicated time points. Cell extracts were analyzed by immunoblotting with an antibody detecting both fully length spike and the cleaved S2 and S2’ fragment. Note that the conversion of S to S2’ fragment, which is dependent on ACE2, is not affected by PIXN.</w:t>
      </w:r>
    </w:p>
    <w:p w14:paraId="5BD7124B" w14:textId="77777777"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(F) The spike dependent formation of synapse-like cell-cell contracts. ACE2-GFP cells were mixed with mCherry transfected cells (left) or spike/mCherry co-transfected cells (right) for 12 minutes before fixing and analyzed by transmission electron microscopy. N, nucleus.  The arrows indicate synapse-like cell-cell contacts formed between ACE2-GFP and Spike cells. Scale bar, 2 </w:t>
      </w:r>
      <w:r w:rsidRPr="009C0D0D">
        <w:rPr>
          <w:rFonts w:ascii="Times New Roman" w:hAnsi="Times New Roman" w:cs="Times New Roman"/>
        </w:rPr>
        <w:sym w:font="Symbol" w:char="F06D"/>
      </w:r>
      <w:r w:rsidRPr="009C0D0D">
        <w:rPr>
          <w:rFonts w:ascii="Times New Roman" w:hAnsi="Times New Roman" w:cs="Times New Roman"/>
        </w:rPr>
        <w:t>m.</w:t>
      </w:r>
    </w:p>
    <w:p w14:paraId="64E5BF81" w14:textId="06283FC8" w:rsidR="00853C5D" w:rsidRDefault="00853C5D" w:rsidP="00853C5D">
      <w:pPr>
        <w:spacing w:line="360" w:lineRule="auto"/>
        <w:ind w:right="270"/>
        <w:jc w:val="both"/>
        <w:rPr>
          <w:rFonts w:ascii="Times New Roman" w:hAnsi="Times New Roman" w:cs="Times New Roman"/>
        </w:rPr>
      </w:pPr>
    </w:p>
    <w:p w14:paraId="51239EF1" w14:textId="1843E085" w:rsidR="0075479E" w:rsidRDefault="00624197" w:rsidP="0075479E">
      <w:pPr>
        <w:spacing w:line="360" w:lineRule="auto"/>
        <w:ind w:right="270"/>
        <w:jc w:val="center"/>
        <w:rPr>
          <w:rFonts w:ascii="Times New Roman" w:hAnsi="Times New Roman" w:cs="Times New Roman"/>
        </w:rPr>
      </w:pPr>
      <w:r>
        <w:rPr>
          <w:rFonts w:ascii="Times New Roman" w:hAnsi="Times New Roman" w:cs="Times New Roman"/>
          <w:noProof/>
        </w:rPr>
        <w:lastRenderedPageBreak/>
        <w:drawing>
          <wp:inline distT="0" distB="0" distL="0" distR="0" wp14:anchorId="7F0912A6" wp14:editId="280AB2FA">
            <wp:extent cx="5943600" cy="3801745"/>
            <wp:effectExtent l="0" t="0" r="0" b="8255"/>
            <wp:docPr id="8" name="Picture 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801745"/>
                    </a:xfrm>
                    <a:prstGeom prst="rect">
                      <a:avLst/>
                    </a:prstGeom>
                  </pic:spPr>
                </pic:pic>
              </a:graphicData>
            </a:graphic>
          </wp:inline>
        </w:drawing>
      </w:r>
    </w:p>
    <w:p w14:paraId="23D34F80" w14:textId="77777777" w:rsidR="0075479E" w:rsidRPr="009C0D0D" w:rsidRDefault="0075479E" w:rsidP="00853C5D">
      <w:pPr>
        <w:spacing w:line="360" w:lineRule="auto"/>
        <w:ind w:right="270"/>
        <w:jc w:val="both"/>
        <w:rPr>
          <w:rFonts w:ascii="Times New Roman" w:hAnsi="Times New Roman" w:cs="Times New Roman"/>
        </w:rPr>
      </w:pPr>
    </w:p>
    <w:p w14:paraId="5CF0A628" w14:textId="0B65EF34"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S5</w:t>
      </w:r>
      <w:r w:rsidR="0075479E">
        <w:rPr>
          <w:rFonts w:ascii="Times New Roman" w:hAnsi="Times New Roman" w:cs="Times New Roman"/>
          <w:b/>
          <w:bCs/>
        </w:rPr>
        <w:t>.</w:t>
      </w:r>
      <w:r w:rsidRPr="009C0D0D">
        <w:rPr>
          <w:rFonts w:ascii="Times New Roman" w:hAnsi="Times New Roman" w:cs="Times New Roman"/>
          <w:b/>
          <w:bCs/>
        </w:rPr>
        <w:t xml:space="preserve"> Heparan sulfate promotes the assembly of ACE2 super-clusters</w:t>
      </w:r>
    </w:p>
    <w:p w14:paraId="172334C2" w14:textId="3D80D725" w:rsidR="00853C5D" w:rsidRPr="009C0D0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 xml:space="preserve">Synapse-like membrane contact sites </w:t>
      </w:r>
      <w:r>
        <w:rPr>
          <w:rFonts w:ascii="Times New Roman" w:hAnsi="Times New Roman" w:cs="Times New Roman"/>
        </w:rPr>
        <w:t>containing</w:t>
      </w:r>
      <w:r w:rsidRPr="009C0D0D">
        <w:rPr>
          <w:rFonts w:ascii="Times New Roman" w:hAnsi="Times New Roman" w:cs="Times New Roman"/>
        </w:rPr>
        <w:t xml:space="preserve"> ACE2 </w:t>
      </w:r>
      <w:r>
        <w:rPr>
          <w:rFonts w:ascii="Times New Roman" w:hAnsi="Times New Roman" w:cs="Times New Roman"/>
        </w:rPr>
        <w:t>clusters</w:t>
      </w:r>
      <w:r w:rsidRPr="009C0D0D">
        <w:rPr>
          <w:rFonts w:ascii="Times New Roman" w:hAnsi="Times New Roman" w:cs="Times New Roman"/>
        </w:rPr>
        <w:t xml:space="preserve"> are </w:t>
      </w:r>
      <w:r>
        <w:rPr>
          <w:rFonts w:ascii="Times New Roman" w:hAnsi="Times New Roman" w:cs="Times New Roman"/>
        </w:rPr>
        <w:t>encircled by</w:t>
      </w:r>
      <w:r w:rsidRPr="009C0D0D">
        <w:rPr>
          <w:rFonts w:ascii="Times New Roman" w:hAnsi="Times New Roman" w:cs="Times New Roman"/>
        </w:rPr>
        <w:t xml:space="preserve"> actin filaments. ACE2-GFP cells were</w:t>
      </w:r>
      <w:r>
        <w:rPr>
          <w:rFonts w:ascii="Times New Roman" w:hAnsi="Times New Roman" w:cs="Times New Roman"/>
        </w:rPr>
        <w:t xml:space="preserve"> transfected with mCherry-Tractin to label actin filaments and then</w:t>
      </w:r>
      <w:r w:rsidRPr="009C0D0D">
        <w:rPr>
          <w:rFonts w:ascii="Times New Roman" w:hAnsi="Times New Roman" w:cs="Times New Roman"/>
        </w:rPr>
        <w:t xml:space="preserve"> </w:t>
      </w:r>
      <w:r>
        <w:rPr>
          <w:rFonts w:ascii="Times New Roman" w:hAnsi="Times New Roman" w:cs="Times New Roman"/>
        </w:rPr>
        <w:t>co-cultured</w:t>
      </w:r>
      <w:r w:rsidRPr="009C0D0D">
        <w:rPr>
          <w:rFonts w:ascii="Times New Roman" w:hAnsi="Times New Roman" w:cs="Times New Roman"/>
        </w:rPr>
        <w:t xml:space="preserve"> with spike/CFP co-transfected cells (</w:t>
      </w:r>
      <w:r>
        <w:rPr>
          <w:rFonts w:ascii="Times New Roman" w:hAnsi="Times New Roman" w:cs="Times New Roman"/>
        </w:rPr>
        <w:t>red</w:t>
      </w:r>
      <w:r w:rsidRPr="009C0D0D">
        <w:rPr>
          <w:rFonts w:ascii="Times New Roman" w:hAnsi="Times New Roman" w:cs="Times New Roman"/>
        </w:rPr>
        <w:t xml:space="preserve">) for </w:t>
      </w:r>
      <w:r>
        <w:rPr>
          <w:rFonts w:ascii="Times New Roman" w:hAnsi="Times New Roman" w:cs="Times New Roman"/>
        </w:rPr>
        <w:t>5</w:t>
      </w:r>
      <w:r w:rsidRPr="009C0D0D">
        <w:rPr>
          <w:rFonts w:ascii="Times New Roman" w:hAnsi="Times New Roman" w:cs="Times New Roman"/>
        </w:rPr>
        <w:t xml:space="preserve"> minutes before </w:t>
      </w:r>
      <w:r>
        <w:rPr>
          <w:rFonts w:ascii="Times New Roman" w:hAnsi="Times New Roman" w:cs="Times New Roman"/>
        </w:rPr>
        <w:t>3D imaging</w:t>
      </w:r>
      <w:r w:rsidRPr="009C0D0D">
        <w:rPr>
          <w:rFonts w:ascii="Times New Roman" w:hAnsi="Times New Roman" w:cs="Times New Roman"/>
        </w:rPr>
        <w:t>.</w:t>
      </w:r>
      <w:r>
        <w:rPr>
          <w:rFonts w:ascii="Times New Roman" w:hAnsi="Times New Roman" w:cs="Times New Roman"/>
        </w:rPr>
        <w:t xml:space="preserve"> Arrows indicate 3 ACE2 clusters in surface-rendered 3D view (green).  Note that F-tractin-labeled actin filaments are concentrated around the ACE2 clusters. The dashed lines indicate CFP-positive effector cells. Scale bar, 5 </w:t>
      </w:r>
      <w:r w:rsidRPr="009C0D0D">
        <w:rPr>
          <w:rFonts w:ascii="Times New Roman" w:hAnsi="Times New Roman" w:cs="Times New Roman"/>
        </w:rPr>
        <w:sym w:font="Symbol" w:char="F06D"/>
      </w:r>
      <w:r>
        <w:rPr>
          <w:rFonts w:ascii="Times New Roman" w:hAnsi="Times New Roman" w:cs="Times New Roman"/>
        </w:rPr>
        <w:t>m.</w:t>
      </w:r>
      <w:r w:rsidRPr="009C0D0D">
        <w:rPr>
          <w:rFonts w:ascii="Times New Roman" w:hAnsi="Times New Roman" w:cs="Times New Roman"/>
        </w:rPr>
        <w:t xml:space="preserve"> The diagram on the right is a schematic illustration of a spike-induced membrane synapse.</w:t>
      </w:r>
    </w:p>
    <w:p w14:paraId="3CABC35B" w14:textId="12CA745F" w:rsidR="00853C5D" w:rsidRPr="009C0D0D" w:rsidRDefault="00853C5D" w:rsidP="00853C5D">
      <w:pPr>
        <w:spacing w:line="360" w:lineRule="auto"/>
        <w:ind w:right="270"/>
        <w:jc w:val="both"/>
        <w:rPr>
          <w:rFonts w:ascii="Times New Roman" w:hAnsi="Times New Roman" w:cs="Times New Roman"/>
        </w:rPr>
      </w:pPr>
    </w:p>
    <w:p w14:paraId="24723B79" w14:textId="36BB0F64" w:rsidR="00853C5D" w:rsidRDefault="00853C5D" w:rsidP="00853C5D">
      <w:pPr>
        <w:spacing w:line="360" w:lineRule="auto"/>
        <w:ind w:right="270"/>
        <w:jc w:val="both"/>
        <w:rPr>
          <w:rFonts w:ascii="Times New Roman" w:hAnsi="Times New Roman" w:cs="Times New Roman"/>
        </w:rPr>
      </w:pPr>
    </w:p>
    <w:p w14:paraId="414A2EF1" w14:textId="0463E4A9" w:rsidR="0075479E" w:rsidRDefault="0075479E" w:rsidP="0075479E">
      <w:pPr>
        <w:spacing w:line="360" w:lineRule="auto"/>
        <w:ind w:right="270"/>
        <w:jc w:val="center"/>
        <w:rPr>
          <w:rFonts w:ascii="Times New Roman" w:hAnsi="Times New Roman" w:cs="Times New Roman"/>
        </w:rPr>
      </w:pPr>
      <w:r>
        <w:rPr>
          <w:rFonts w:ascii="Times New Roman" w:hAnsi="Times New Roman" w:cs="Times New Roman"/>
          <w:noProof/>
        </w:rPr>
        <w:lastRenderedPageBreak/>
        <w:drawing>
          <wp:inline distT="0" distB="0" distL="0" distR="0" wp14:anchorId="0747CCA3" wp14:editId="430DDFA6">
            <wp:extent cx="5209032" cy="7354824"/>
            <wp:effectExtent l="0" t="0" r="0" b="0"/>
            <wp:docPr id="6" name="Picture 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09032" cy="7354824"/>
                    </a:xfrm>
                    <a:prstGeom prst="rect">
                      <a:avLst/>
                    </a:prstGeom>
                  </pic:spPr>
                </pic:pic>
              </a:graphicData>
            </a:graphic>
          </wp:inline>
        </w:drawing>
      </w:r>
    </w:p>
    <w:p w14:paraId="1AFCF8E8" w14:textId="77777777" w:rsidR="0075479E" w:rsidRPr="009C0D0D" w:rsidRDefault="0075479E" w:rsidP="00853C5D">
      <w:pPr>
        <w:spacing w:line="360" w:lineRule="auto"/>
        <w:ind w:right="270"/>
        <w:jc w:val="both"/>
        <w:rPr>
          <w:rFonts w:ascii="Times New Roman" w:hAnsi="Times New Roman" w:cs="Times New Roman"/>
        </w:rPr>
      </w:pPr>
    </w:p>
    <w:p w14:paraId="4D605A63" w14:textId="03856043" w:rsidR="00853C5D" w:rsidRPr="009C0D0D" w:rsidRDefault="00853C5D" w:rsidP="00853C5D">
      <w:pPr>
        <w:spacing w:line="360" w:lineRule="auto"/>
        <w:ind w:right="270"/>
        <w:jc w:val="both"/>
        <w:rPr>
          <w:rFonts w:ascii="Times New Roman" w:hAnsi="Times New Roman" w:cs="Times New Roman"/>
          <w:b/>
          <w:bCs/>
        </w:rPr>
      </w:pPr>
      <w:r w:rsidRPr="009C0D0D">
        <w:rPr>
          <w:rFonts w:ascii="Times New Roman" w:hAnsi="Times New Roman" w:cs="Times New Roman"/>
          <w:b/>
          <w:bCs/>
        </w:rPr>
        <w:t>Figure S6</w:t>
      </w:r>
      <w:r w:rsidR="0075479E">
        <w:rPr>
          <w:rFonts w:ascii="Times New Roman" w:hAnsi="Times New Roman" w:cs="Times New Roman"/>
          <w:b/>
          <w:bCs/>
        </w:rPr>
        <w:t>.</w:t>
      </w:r>
      <w:r w:rsidRPr="009C0D0D">
        <w:rPr>
          <w:rFonts w:ascii="Times New Roman" w:hAnsi="Times New Roman" w:cs="Times New Roman"/>
          <w:b/>
          <w:bCs/>
        </w:rPr>
        <w:t xml:space="preserve"> A linker segment in ACE2 is required for spike-induced ACE2 clustering</w:t>
      </w:r>
    </w:p>
    <w:p w14:paraId="0478621C" w14:textId="77777777" w:rsidR="00853C5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lastRenderedPageBreak/>
        <w:t>(A) ACE2-GS</w:t>
      </w:r>
      <w:r>
        <w:rPr>
          <w:rFonts w:ascii="Times New Roman" w:hAnsi="Times New Roman" w:cs="Times New Roman"/>
        </w:rPr>
        <w:t>-GFP</w:t>
      </w:r>
      <w:r w:rsidRPr="009C0D0D">
        <w:rPr>
          <w:rFonts w:ascii="Times New Roman" w:hAnsi="Times New Roman" w:cs="Times New Roman"/>
        </w:rPr>
        <w:t xml:space="preserve"> is </w:t>
      </w:r>
      <w:r>
        <w:rPr>
          <w:rFonts w:ascii="Times New Roman" w:hAnsi="Times New Roman" w:cs="Times New Roman"/>
        </w:rPr>
        <w:t xml:space="preserve">expressed at a similar level as </w:t>
      </w:r>
      <w:r w:rsidRPr="009C0D0D">
        <w:rPr>
          <w:rFonts w:ascii="Times New Roman" w:hAnsi="Times New Roman" w:cs="Times New Roman"/>
        </w:rPr>
        <w:t xml:space="preserve">wild-type ACE2. </w:t>
      </w:r>
      <w:r>
        <w:rPr>
          <w:rFonts w:ascii="Times New Roman" w:hAnsi="Times New Roman" w:cs="Times New Roman"/>
        </w:rPr>
        <w:t>Cell extracts of the indicated cell lines were analyzed by immunoblotting.</w:t>
      </w:r>
    </w:p>
    <w:p w14:paraId="19586CFE" w14:textId="77777777" w:rsidR="00853C5D" w:rsidRDefault="00853C5D" w:rsidP="00853C5D">
      <w:pPr>
        <w:spacing w:line="360" w:lineRule="auto"/>
        <w:ind w:right="270"/>
        <w:jc w:val="both"/>
        <w:rPr>
          <w:rFonts w:ascii="Times New Roman" w:hAnsi="Times New Roman" w:cs="Times New Roman"/>
        </w:rPr>
      </w:pPr>
      <w:r>
        <w:rPr>
          <w:rFonts w:ascii="Times New Roman" w:hAnsi="Times New Roman" w:cs="Times New Roman"/>
        </w:rPr>
        <w:t xml:space="preserve">(B) </w:t>
      </w:r>
      <w:r w:rsidRPr="009C0D0D">
        <w:rPr>
          <w:rFonts w:ascii="Times New Roman" w:hAnsi="Times New Roman" w:cs="Times New Roman"/>
        </w:rPr>
        <w:t>ACE2-GS</w:t>
      </w:r>
      <w:r>
        <w:rPr>
          <w:rFonts w:ascii="Times New Roman" w:hAnsi="Times New Roman" w:cs="Times New Roman"/>
        </w:rPr>
        <w:t xml:space="preserve">-GFP and wild-type ACE2-GFP are both localized to the plasma membrane and endocytic vesicles. Scale bar, 10 </w:t>
      </w:r>
      <w:r w:rsidRPr="009C0D0D">
        <w:rPr>
          <w:rFonts w:ascii="Times New Roman" w:hAnsi="Times New Roman" w:cs="Times New Roman"/>
        </w:rPr>
        <w:sym w:font="Symbol" w:char="F06D"/>
      </w:r>
      <w:r>
        <w:rPr>
          <w:rFonts w:ascii="Times New Roman" w:hAnsi="Times New Roman" w:cs="Times New Roman"/>
        </w:rPr>
        <w:t xml:space="preserve">m. </w:t>
      </w:r>
    </w:p>
    <w:p w14:paraId="705A152D" w14:textId="77777777" w:rsidR="00853C5D" w:rsidRDefault="00853C5D" w:rsidP="00853C5D">
      <w:pPr>
        <w:spacing w:line="360" w:lineRule="auto"/>
        <w:ind w:right="270"/>
        <w:jc w:val="both"/>
        <w:rPr>
          <w:rFonts w:ascii="Times New Roman" w:hAnsi="Times New Roman" w:cs="Times New Roman"/>
        </w:rPr>
      </w:pPr>
      <w:r>
        <w:rPr>
          <w:rFonts w:ascii="Times New Roman" w:hAnsi="Times New Roman" w:cs="Times New Roman"/>
        </w:rPr>
        <w:t xml:space="preserve">(C) ACE2-GS-GFP and wild-type ACE2-GFP bind the spike with a similar affinity. The indicated cell lines were incubated with the spike and stained with spike antibody (red) and </w:t>
      </w:r>
      <w:r w:rsidRPr="009C0D0D">
        <w:rPr>
          <w:rFonts w:ascii="Times New Roman" w:hAnsi="Times New Roman" w:cs="Times New Roman"/>
        </w:rPr>
        <w:t>Hoechst</w:t>
      </w:r>
      <w:r>
        <w:rPr>
          <w:rFonts w:ascii="Times New Roman" w:hAnsi="Times New Roman" w:cs="Times New Roman"/>
        </w:rPr>
        <w:t xml:space="preserve"> (blue). The graphs show the amount of cell surface bound spike, which correlates with ACE2 levels as measured by Image J.</w:t>
      </w:r>
    </w:p>
    <w:p w14:paraId="4AEB556F" w14:textId="77777777" w:rsidR="00853C5D" w:rsidRDefault="00853C5D" w:rsidP="00853C5D">
      <w:pPr>
        <w:spacing w:line="360" w:lineRule="auto"/>
        <w:ind w:right="270"/>
        <w:jc w:val="both"/>
        <w:rPr>
          <w:rFonts w:ascii="Times New Roman" w:hAnsi="Times New Roman" w:cs="Times New Roman"/>
        </w:rPr>
      </w:pPr>
      <w:r>
        <w:rPr>
          <w:rFonts w:ascii="Times New Roman" w:hAnsi="Times New Roman" w:cs="Times New Roman"/>
        </w:rPr>
        <w:t xml:space="preserve">(D) ACE2-GS-GFP cells are defective in forming ACE2 clusters when co-cultured with spike/mCherry cells. The graph shows the averaged 3D volume of ACE2 clusters from randomly selected live cell imaging videos. Error bars indicate means </w:t>
      </w:r>
      <w:r w:rsidRPr="009C0D0D">
        <w:rPr>
          <w:rFonts w:ascii="Times New Roman" w:hAnsi="Times New Roman" w:cs="Times New Roman"/>
        </w:rPr>
        <w:sym w:font="Symbol" w:char="F0B1"/>
      </w:r>
      <w:r w:rsidRPr="009C0D0D">
        <w:rPr>
          <w:rFonts w:ascii="Times New Roman" w:hAnsi="Times New Roman" w:cs="Times New Roman"/>
        </w:rPr>
        <w:t xml:space="preserve"> S</w:t>
      </w:r>
      <w:r>
        <w:rPr>
          <w:rFonts w:ascii="Times New Roman" w:hAnsi="Times New Roman" w:cs="Times New Roman"/>
        </w:rPr>
        <w:t>EM, n=5.</w:t>
      </w:r>
    </w:p>
    <w:p w14:paraId="4139675B" w14:textId="0649B13C" w:rsidR="00853C5D" w:rsidRDefault="00853C5D" w:rsidP="00853C5D">
      <w:pPr>
        <w:spacing w:line="360" w:lineRule="auto"/>
        <w:ind w:right="270"/>
        <w:jc w:val="both"/>
        <w:rPr>
          <w:rFonts w:ascii="Times New Roman" w:hAnsi="Times New Roman" w:cs="Times New Roman"/>
        </w:rPr>
      </w:pPr>
    </w:p>
    <w:p w14:paraId="5420FAAD" w14:textId="5329AE22" w:rsidR="0075479E" w:rsidRDefault="0075479E" w:rsidP="0075479E">
      <w:pPr>
        <w:spacing w:line="360" w:lineRule="auto"/>
        <w:ind w:right="270"/>
        <w:jc w:val="center"/>
        <w:rPr>
          <w:rFonts w:ascii="Times New Roman" w:hAnsi="Times New Roman" w:cs="Times New Roman"/>
        </w:rPr>
      </w:pPr>
      <w:r>
        <w:rPr>
          <w:rFonts w:ascii="Times New Roman" w:hAnsi="Times New Roman" w:cs="Times New Roman"/>
          <w:noProof/>
        </w:rPr>
        <w:drawing>
          <wp:inline distT="0" distB="0" distL="0" distR="0" wp14:anchorId="010A3861" wp14:editId="3E124B40">
            <wp:extent cx="5785104" cy="2182368"/>
            <wp:effectExtent l="0" t="0" r="6350" b="889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85104" cy="2182368"/>
                    </a:xfrm>
                    <a:prstGeom prst="rect">
                      <a:avLst/>
                    </a:prstGeom>
                  </pic:spPr>
                </pic:pic>
              </a:graphicData>
            </a:graphic>
          </wp:inline>
        </w:drawing>
      </w:r>
    </w:p>
    <w:p w14:paraId="267C0516" w14:textId="77777777" w:rsidR="0075479E" w:rsidRDefault="0075479E" w:rsidP="00853C5D">
      <w:pPr>
        <w:spacing w:line="360" w:lineRule="auto"/>
        <w:ind w:right="270"/>
        <w:jc w:val="both"/>
        <w:rPr>
          <w:rFonts w:ascii="Times New Roman" w:hAnsi="Times New Roman" w:cs="Times New Roman"/>
        </w:rPr>
      </w:pPr>
    </w:p>
    <w:p w14:paraId="523ED457" w14:textId="2D8E12AD" w:rsidR="00853C5D" w:rsidRPr="0076085B" w:rsidRDefault="00853C5D" w:rsidP="00853C5D">
      <w:pPr>
        <w:spacing w:line="360" w:lineRule="auto"/>
        <w:ind w:right="270"/>
        <w:jc w:val="both"/>
        <w:rPr>
          <w:rFonts w:ascii="Times New Roman" w:hAnsi="Times New Roman" w:cs="Times New Roman"/>
          <w:b/>
          <w:bCs/>
        </w:rPr>
      </w:pPr>
      <w:r w:rsidRPr="0076085B">
        <w:rPr>
          <w:rFonts w:ascii="Times New Roman" w:hAnsi="Times New Roman" w:cs="Times New Roman"/>
          <w:b/>
          <w:bCs/>
        </w:rPr>
        <w:t>Figure S7</w:t>
      </w:r>
      <w:r w:rsidR="0075479E">
        <w:rPr>
          <w:rFonts w:ascii="Times New Roman" w:hAnsi="Times New Roman" w:cs="Times New Roman"/>
          <w:b/>
          <w:bCs/>
        </w:rPr>
        <w:t>.</w:t>
      </w:r>
      <w:r w:rsidRPr="0076085B">
        <w:rPr>
          <w:rFonts w:ascii="Times New Roman" w:hAnsi="Times New Roman" w:cs="Times New Roman"/>
          <w:b/>
          <w:bCs/>
        </w:rPr>
        <w:t xml:space="preserve"> PIXN alters the morphology of ACE2 clusters in the presence of spike and HS</w:t>
      </w:r>
    </w:p>
    <w:p w14:paraId="4F64F5FB" w14:textId="77777777" w:rsidR="00853C5D" w:rsidRDefault="00853C5D" w:rsidP="00853C5D">
      <w:pPr>
        <w:spacing w:line="360" w:lineRule="auto"/>
        <w:ind w:right="270"/>
        <w:jc w:val="both"/>
        <w:rPr>
          <w:rFonts w:ascii="Times New Roman" w:hAnsi="Times New Roman" w:cs="Times New Roman"/>
        </w:rPr>
      </w:pPr>
      <w:r w:rsidRPr="009C0D0D">
        <w:rPr>
          <w:rFonts w:ascii="Times New Roman" w:hAnsi="Times New Roman" w:cs="Times New Roman"/>
        </w:rPr>
        <w:t>Fluorescence-labeled ACE2 1-7</w:t>
      </w:r>
      <w:r>
        <w:rPr>
          <w:rFonts w:ascii="Times New Roman" w:hAnsi="Times New Roman" w:cs="Times New Roman"/>
        </w:rPr>
        <w:t>40</w:t>
      </w:r>
      <w:r w:rsidRPr="009C0D0D">
        <w:rPr>
          <w:rFonts w:ascii="Times New Roman" w:hAnsi="Times New Roman" w:cs="Times New Roman"/>
        </w:rPr>
        <w:t xml:space="preserve"> was anchored to lipid bilayers on </w:t>
      </w:r>
      <w:r>
        <w:rPr>
          <w:rFonts w:ascii="Times New Roman" w:hAnsi="Times New Roman" w:cs="Times New Roman"/>
        </w:rPr>
        <w:t xml:space="preserve">a </w:t>
      </w:r>
      <w:r w:rsidRPr="009C0D0D">
        <w:rPr>
          <w:rFonts w:ascii="Times New Roman" w:hAnsi="Times New Roman" w:cs="Times New Roman"/>
        </w:rPr>
        <w:t>cover glass and treated as indicated. Note that PIXN alters the shape of clustered ACE2, forming filament-like structures</w:t>
      </w:r>
      <w:r>
        <w:rPr>
          <w:rFonts w:ascii="Times New Roman" w:hAnsi="Times New Roman" w:cs="Times New Roman"/>
        </w:rPr>
        <w:t xml:space="preserve"> instead</w:t>
      </w:r>
      <w:r w:rsidRPr="009C0D0D">
        <w:rPr>
          <w:rFonts w:ascii="Times New Roman" w:hAnsi="Times New Roman" w:cs="Times New Roman"/>
        </w:rPr>
        <w:t xml:space="preserve">. Additionally, </w:t>
      </w:r>
      <w:r>
        <w:rPr>
          <w:rFonts w:ascii="Times New Roman" w:hAnsi="Times New Roman" w:cs="Times New Roman"/>
        </w:rPr>
        <w:t xml:space="preserve">some </w:t>
      </w:r>
      <w:r w:rsidRPr="009C0D0D">
        <w:rPr>
          <w:rFonts w:ascii="Times New Roman" w:hAnsi="Times New Roman" w:cs="Times New Roman"/>
        </w:rPr>
        <w:t xml:space="preserve">round ACE2 clusters were observed (blue arrowheads) but </w:t>
      </w:r>
      <w:r>
        <w:rPr>
          <w:rFonts w:ascii="Times New Roman" w:hAnsi="Times New Roman" w:cs="Times New Roman"/>
        </w:rPr>
        <w:t xml:space="preserve">they </w:t>
      </w:r>
      <w:r w:rsidRPr="009C0D0D">
        <w:rPr>
          <w:rFonts w:ascii="Times New Roman" w:hAnsi="Times New Roman" w:cs="Times New Roman"/>
        </w:rPr>
        <w:t>are much bigger than those formed in the absence of the drug. Scale bar, 10 µm.</w:t>
      </w:r>
    </w:p>
    <w:p w14:paraId="6F3D78FE" w14:textId="77777777" w:rsidR="00853C5D" w:rsidRDefault="00853C5D" w:rsidP="00853C5D">
      <w:pPr>
        <w:spacing w:line="360" w:lineRule="auto"/>
        <w:ind w:right="270"/>
        <w:jc w:val="both"/>
        <w:rPr>
          <w:rFonts w:ascii="Times New Roman" w:hAnsi="Times New Roman" w:cs="Times New Roman"/>
        </w:rPr>
      </w:pPr>
    </w:p>
    <w:p w14:paraId="795A584B" w14:textId="77777777" w:rsidR="0075479E" w:rsidRDefault="0075479E">
      <w:pPr>
        <w:spacing w:after="160" w:line="259" w:lineRule="auto"/>
        <w:rPr>
          <w:rFonts w:ascii="Times New Roman" w:hAnsi="Times New Roman" w:cs="Times New Roman"/>
          <w:b/>
          <w:bCs/>
        </w:rPr>
      </w:pPr>
      <w:r>
        <w:rPr>
          <w:rFonts w:ascii="Times New Roman" w:hAnsi="Times New Roman" w:cs="Times New Roman"/>
          <w:b/>
          <w:bCs/>
        </w:rPr>
        <w:br w:type="page"/>
      </w:r>
    </w:p>
    <w:p w14:paraId="2457AE2C" w14:textId="19FA238B" w:rsidR="00853C5D" w:rsidRPr="00ED3AE2" w:rsidRDefault="00853C5D" w:rsidP="00853C5D">
      <w:pPr>
        <w:spacing w:line="360" w:lineRule="auto"/>
        <w:ind w:right="270"/>
        <w:jc w:val="both"/>
        <w:rPr>
          <w:rFonts w:ascii="Times New Roman" w:hAnsi="Times New Roman" w:cs="Times New Roman"/>
          <w:b/>
          <w:bCs/>
        </w:rPr>
      </w:pPr>
      <w:r w:rsidRPr="00ED3AE2">
        <w:rPr>
          <w:rFonts w:ascii="Times New Roman" w:hAnsi="Times New Roman" w:cs="Times New Roman"/>
          <w:b/>
          <w:bCs/>
        </w:rPr>
        <w:lastRenderedPageBreak/>
        <w:t>Video 1</w:t>
      </w:r>
      <w:r w:rsidR="0075479E">
        <w:rPr>
          <w:rFonts w:ascii="Times New Roman" w:hAnsi="Times New Roman" w:cs="Times New Roman"/>
          <w:b/>
          <w:bCs/>
        </w:rPr>
        <w:t>.</w:t>
      </w:r>
      <w:r w:rsidRPr="00ED3AE2">
        <w:rPr>
          <w:rFonts w:ascii="Times New Roman" w:hAnsi="Times New Roman" w:cs="Times New Roman"/>
          <w:b/>
          <w:bCs/>
        </w:rPr>
        <w:t xml:space="preserve"> 4D live imaging of spike-induced cell-cell fusion</w:t>
      </w:r>
    </w:p>
    <w:p w14:paraId="52C1983D" w14:textId="77777777" w:rsidR="00853C5D" w:rsidRDefault="00853C5D" w:rsidP="00853C5D">
      <w:pPr>
        <w:spacing w:line="360" w:lineRule="auto"/>
        <w:ind w:right="270"/>
        <w:jc w:val="both"/>
        <w:rPr>
          <w:rFonts w:ascii="Times New Roman" w:hAnsi="Times New Roman" w:cs="Times New Roman"/>
        </w:rPr>
      </w:pPr>
      <w:r>
        <w:rPr>
          <w:rFonts w:ascii="Times New Roman" w:hAnsi="Times New Roman" w:cs="Times New Roman"/>
        </w:rPr>
        <w:t xml:space="preserve">A spike/mCherry-expressing cell (magenta) contacts an ACE2-GFP cell (green), which induced the clustering of ACE2 at the cell-cell contact site.  As the cluster grows, mCherry is leaked into ACE2-GFP cells, which is followed by the formation of a visible pore.  The pore eventually expands to cause the complete fusion of the two cells. </w:t>
      </w:r>
    </w:p>
    <w:p w14:paraId="646F9F24" w14:textId="00F5BA0E" w:rsidR="00F61F4F" w:rsidRPr="00853C5D" w:rsidRDefault="00F61F4F">
      <w:pPr>
        <w:rPr>
          <w:rFonts w:ascii="Times New Roman" w:hAnsi="Times New Roman" w:cs="Times New Roman"/>
        </w:rPr>
      </w:pPr>
    </w:p>
    <w:p w14:paraId="08F6FEB4" w14:textId="2C324D5C" w:rsidR="00853C5D" w:rsidRPr="00853C5D" w:rsidRDefault="00853C5D">
      <w:pPr>
        <w:rPr>
          <w:rFonts w:ascii="Times New Roman" w:hAnsi="Times New Roman" w:cs="Times New Roman"/>
          <w:b/>
          <w:bCs/>
        </w:rPr>
      </w:pPr>
      <w:r w:rsidRPr="00853C5D">
        <w:rPr>
          <w:rFonts w:ascii="Times New Roman" w:hAnsi="Times New Roman" w:cs="Times New Roman"/>
          <w:b/>
          <w:bCs/>
        </w:rPr>
        <w:t>Table S1</w:t>
      </w:r>
      <w:r w:rsidR="0075479E">
        <w:rPr>
          <w:rFonts w:ascii="Times New Roman" w:hAnsi="Times New Roman" w:cs="Times New Roman"/>
          <w:b/>
          <w:bCs/>
        </w:rPr>
        <w:t>.</w:t>
      </w:r>
      <w:r w:rsidRPr="00853C5D">
        <w:rPr>
          <w:rFonts w:ascii="Times New Roman" w:hAnsi="Times New Roman" w:cs="Times New Roman"/>
          <w:b/>
          <w:bCs/>
        </w:rPr>
        <w:t xml:space="preserve"> A list of key reagents </w:t>
      </w:r>
      <w:r>
        <w:rPr>
          <w:rFonts w:ascii="Times New Roman" w:hAnsi="Times New Roman" w:cs="Times New Roman"/>
          <w:b/>
          <w:bCs/>
        </w:rPr>
        <w:t>used in the study</w:t>
      </w:r>
    </w:p>
    <w:sectPr w:rsidR="00853C5D" w:rsidRPr="00853C5D">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37CDE2" w14:textId="77777777" w:rsidR="009B50E1" w:rsidRDefault="009B50E1" w:rsidP="00624197">
      <w:r>
        <w:separator/>
      </w:r>
    </w:p>
  </w:endnote>
  <w:endnote w:type="continuationSeparator" w:id="0">
    <w:p w14:paraId="5562ABE5" w14:textId="77777777" w:rsidR="009B50E1" w:rsidRDefault="009B50E1" w:rsidP="00624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91791" w14:textId="77777777" w:rsidR="00624197" w:rsidRDefault="006241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6504133"/>
      <w:docPartObj>
        <w:docPartGallery w:val="Page Numbers (Bottom of Page)"/>
        <w:docPartUnique/>
      </w:docPartObj>
    </w:sdtPr>
    <w:sdtEndPr>
      <w:rPr>
        <w:noProof/>
      </w:rPr>
    </w:sdtEndPr>
    <w:sdtContent>
      <w:p w14:paraId="3FA0AD5F" w14:textId="222FD4B2" w:rsidR="00624197" w:rsidRDefault="006241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4D6B97" w14:textId="77777777" w:rsidR="00624197" w:rsidRDefault="006241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DB975" w14:textId="77777777" w:rsidR="00624197" w:rsidRDefault="006241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B2C5F" w14:textId="77777777" w:rsidR="009B50E1" w:rsidRDefault="009B50E1" w:rsidP="00624197">
      <w:r>
        <w:separator/>
      </w:r>
    </w:p>
  </w:footnote>
  <w:footnote w:type="continuationSeparator" w:id="0">
    <w:p w14:paraId="4A361145" w14:textId="77777777" w:rsidR="009B50E1" w:rsidRDefault="009B50E1" w:rsidP="006241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7099" w14:textId="77777777" w:rsidR="00624197" w:rsidRDefault="006241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DCBF2" w14:textId="77777777" w:rsidR="00624197" w:rsidRDefault="006241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C8ACD" w14:textId="77777777" w:rsidR="00624197" w:rsidRDefault="006241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C5D"/>
    <w:rsid w:val="00162B3E"/>
    <w:rsid w:val="00175FC7"/>
    <w:rsid w:val="001C5744"/>
    <w:rsid w:val="001F3AF5"/>
    <w:rsid w:val="0020699E"/>
    <w:rsid w:val="0030185D"/>
    <w:rsid w:val="00371A7E"/>
    <w:rsid w:val="005019CD"/>
    <w:rsid w:val="005A09B2"/>
    <w:rsid w:val="00624197"/>
    <w:rsid w:val="0075479E"/>
    <w:rsid w:val="00853C5D"/>
    <w:rsid w:val="008875DE"/>
    <w:rsid w:val="008F60D9"/>
    <w:rsid w:val="00933DDC"/>
    <w:rsid w:val="009B50E1"/>
    <w:rsid w:val="00B37E82"/>
    <w:rsid w:val="00C1784F"/>
    <w:rsid w:val="00CB4F1E"/>
    <w:rsid w:val="00DD1088"/>
    <w:rsid w:val="00F61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05CCB"/>
  <w15:chartTrackingRefBased/>
  <w15:docId w15:val="{B58FFA47-7088-4CBE-BEA1-23C631D5F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C5D"/>
    <w:pPr>
      <w:spacing w:after="0" w:line="240" w:lineRule="auto"/>
    </w:pPr>
    <w:rPr>
      <w:rFonts w:eastAsiaTheme="minorEastAsia"/>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4197"/>
    <w:pPr>
      <w:tabs>
        <w:tab w:val="center" w:pos="4680"/>
        <w:tab w:val="right" w:pos="9360"/>
      </w:tabs>
    </w:pPr>
  </w:style>
  <w:style w:type="character" w:customStyle="1" w:styleId="HeaderChar">
    <w:name w:val="Header Char"/>
    <w:basedOn w:val="DefaultParagraphFont"/>
    <w:link w:val="Header"/>
    <w:uiPriority w:val="99"/>
    <w:rsid w:val="00624197"/>
    <w:rPr>
      <w:rFonts w:eastAsiaTheme="minorEastAsia"/>
      <w:sz w:val="24"/>
      <w:szCs w:val="24"/>
      <w:lang w:eastAsia="zh-CN"/>
    </w:rPr>
  </w:style>
  <w:style w:type="paragraph" w:styleId="Footer">
    <w:name w:val="footer"/>
    <w:basedOn w:val="Normal"/>
    <w:link w:val="FooterChar"/>
    <w:uiPriority w:val="99"/>
    <w:unhideWhenUsed/>
    <w:rsid w:val="00624197"/>
    <w:pPr>
      <w:tabs>
        <w:tab w:val="center" w:pos="4680"/>
        <w:tab w:val="right" w:pos="9360"/>
      </w:tabs>
    </w:pPr>
  </w:style>
  <w:style w:type="character" w:customStyle="1" w:styleId="FooterChar">
    <w:name w:val="Footer Char"/>
    <w:basedOn w:val="DefaultParagraphFont"/>
    <w:link w:val="Footer"/>
    <w:uiPriority w:val="99"/>
    <w:rsid w:val="00624197"/>
    <w:rPr>
      <w:rFonts w:eastAsiaTheme="minorEastAsia"/>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image" Target="media/image4.jpeg"/><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www.thermofisher.com/order/catalog/product/A12379"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11</Pages>
  <Words>1016</Words>
  <Characters>5795</Characters>
  <Application>Microsoft Office Word</Application>
  <DocSecurity>0</DocSecurity>
  <Lines>48</Lines>
  <Paragraphs>13</Paragraphs>
  <ScaleCrop>false</ScaleCrop>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 Yihong (NIH/NIDDK) [E]</dc:creator>
  <cp:keywords/>
  <dc:description/>
  <cp:lastModifiedBy>Ye, Yihong (NIH/NIDDK) [E]</cp:lastModifiedBy>
  <cp:revision>14</cp:revision>
  <dcterms:created xsi:type="dcterms:W3CDTF">2023-02-07T19:28:00Z</dcterms:created>
  <dcterms:modified xsi:type="dcterms:W3CDTF">2023-03-07T13:27:00Z</dcterms:modified>
</cp:coreProperties>
</file>