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F55E9" w14:textId="77777777" w:rsidR="00944623" w:rsidRPr="004B6765" w:rsidRDefault="004B6765" w:rsidP="004A5798">
      <w:pPr>
        <w:pStyle w:val="a7"/>
        <w:autoSpaceDE w:val="0"/>
        <w:spacing w:line="480" w:lineRule="auto"/>
        <w:jc w:val="center"/>
        <w:rPr>
          <w:rFonts w:ascii="Arial" w:hAnsi="Arial" w:cs="Arial"/>
          <w:b/>
          <w:sz w:val="24"/>
        </w:rPr>
      </w:pPr>
      <w:r w:rsidRPr="004B6765">
        <w:rPr>
          <w:rFonts w:ascii="Arial" w:hAnsi="Arial" w:cs="Arial" w:hint="eastAsia"/>
          <w:b/>
          <w:sz w:val="24"/>
        </w:rPr>
        <w:t>S</w:t>
      </w:r>
      <w:r w:rsidRPr="004B6765">
        <w:rPr>
          <w:rFonts w:ascii="Arial" w:hAnsi="Arial" w:cs="Arial"/>
          <w:b/>
          <w:sz w:val="24"/>
        </w:rPr>
        <w:t>upplementary Legends</w:t>
      </w:r>
    </w:p>
    <w:p w14:paraId="4CCA847D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Figure 1.</w:t>
      </w:r>
      <w:r w:rsidRPr="002D1FA1">
        <w:rPr>
          <w:rFonts w:ascii="Arial" w:hAnsi="Arial" w:cs="Arial"/>
          <w:sz w:val="24"/>
        </w:rPr>
        <w:t xml:space="preserve"> Expression of co-inhibitory molecules in immune cells, cancer cells and corresponding normal tissues. </w:t>
      </w:r>
      <w:r w:rsidRPr="002D1FA1">
        <w:rPr>
          <w:rFonts w:ascii="Arial" w:hAnsi="Arial" w:cs="Arial"/>
          <w:b/>
          <w:bCs/>
          <w:sz w:val="24"/>
        </w:rPr>
        <w:t xml:space="preserve">(A) </w:t>
      </w:r>
      <w:r w:rsidRPr="002D1FA1">
        <w:rPr>
          <w:rFonts w:ascii="Arial" w:hAnsi="Arial" w:cs="Arial"/>
          <w:sz w:val="24"/>
        </w:rPr>
        <w:t>The transcript expression values (</w:t>
      </w:r>
      <w:proofErr w:type="spellStart"/>
      <w:r w:rsidRPr="002D1FA1">
        <w:rPr>
          <w:rFonts w:ascii="Arial" w:hAnsi="Arial" w:cs="Arial"/>
          <w:sz w:val="24"/>
        </w:rPr>
        <w:t>nTPM</w:t>
      </w:r>
      <w:proofErr w:type="spellEnd"/>
      <w:r w:rsidRPr="002D1FA1">
        <w:rPr>
          <w:rFonts w:ascii="Arial" w:hAnsi="Arial" w:cs="Arial"/>
          <w:sz w:val="24"/>
        </w:rPr>
        <w:t xml:space="preserve">) of 18 co-inhibitory molecules in a variety of immune cells from Monaco dataset. Different colors represent different immune cells. </w:t>
      </w:r>
      <w:r w:rsidRPr="002D1FA1">
        <w:rPr>
          <w:rFonts w:ascii="Arial" w:hAnsi="Arial" w:cs="Arial"/>
          <w:b/>
          <w:bCs/>
          <w:sz w:val="24"/>
        </w:rPr>
        <w:t xml:space="preserve">(B) </w:t>
      </w:r>
      <w:r w:rsidRPr="002D1FA1">
        <w:rPr>
          <w:rFonts w:ascii="Arial" w:hAnsi="Arial" w:cs="Arial"/>
          <w:sz w:val="24"/>
        </w:rPr>
        <w:t xml:space="preserve">The expression of 11 ligands (CD80, CD86, CD112, CD155, FGL1, HMGB1, LGALS9, PD-L1, PD-L2, SEMA4A and VEGFA) across different cancer types and corresponding normal adjacent tissues. Blue boxes represent normal tissues while red one represent cancer tissues, and each dot indicates one sample. </w:t>
      </w:r>
    </w:p>
    <w:p w14:paraId="10498728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color w:val="000000"/>
          <w:kern w:val="0"/>
          <w:sz w:val="24"/>
        </w:rPr>
      </w:pPr>
      <w:r w:rsidRPr="002D1FA1">
        <w:rPr>
          <w:rFonts w:ascii="Arial" w:eastAsia="WarnockPro-Regular" w:hAnsi="Arial" w:cs="Arial"/>
          <w:b/>
          <w:color w:val="000000"/>
          <w:kern w:val="0"/>
          <w:sz w:val="24"/>
        </w:rPr>
        <w:t>Supplementary Figure 2.</w:t>
      </w:r>
      <w:r w:rsidRPr="002D1FA1">
        <w:rPr>
          <w:rFonts w:ascii="Arial" w:eastAsia="WarnockPro-Regular" w:hAnsi="Arial" w:cs="Arial"/>
          <w:color w:val="000000"/>
          <w:kern w:val="0"/>
          <w:sz w:val="24"/>
        </w:rPr>
        <w:t xml:space="preserve"> </w:t>
      </w:r>
      <w:r w:rsidRPr="002D1FA1">
        <w:rPr>
          <w:rFonts w:ascii="Arial" w:hAnsi="Arial" w:cs="Arial"/>
          <w:sz w:val="24"/>
        </w:rPr>
        <w:t xml:space="preserve">Correlation analysis of </w:t>
      </w:r>
      <w:r w:rsidRPr="002D1FA1">
        <w:rPr>
          <w:rFonts w:ascii="Arial" w:hAnsi="Arial" w:cs="Arial"/>
          <w:color w:val="231F20"/>
          <w:kern w:val="0"/>
          <w:sz w:val="24"/>
        </w:rPr>
        <w:t>co-inhibitory molecules</w:t>
      </w:r>
      <w:r w:rsidRPr="002D1FA1">
        <w:rPr>
          <w:rFonts w:ascii="Arial" w:hAnsi="Arial" w:cs="Arial"/>
          <w:sz w:val="24"/>
        </w:rPr>
        <w:t xml:space="preserve"> and various immune cell infiltration in pan-cancer. Data with P-values greater than the threshold (P &gt; 0.05, not significant) were cross labeled. </w:t>
      </w:r>
      <w:r w:rsidRPr="002D1FA1">
        <w:rPr>
          <w:rFonts w:ascii="Arial" w:hAnsi="Arial" w:cs="Arial"/>
          <w:b/>
          <w:bCs/>
          <w:sz w:val="24"/>
        </w:rPr>
        <w:t>(A-E)</w:t>
      </w:r>
      <w:r w:rsidRPr="002D1FA1">
        <w:rPr>
          <w:rFonts w:ascii="Arial" w:hAnsi="Arial" w:cs="Arial"/>
          <w:sz w:val="24"/>
        </w:rPr>
        <w:t xml:space="preserve"> The correlation between 18 molecules and</w:t>
      </w:r>
      <w:r w:rsidRPr="002D1FA1">
        <w:rPr>
          <w:rFonts w:ascii="Arial" w:hAnsi="Arial" w:cs="Arial"/>
          <w:color w:val="000000"/>
          <w:kern w:val="0"/>
          <w:sz w:val="24"/>
        </w:rPr>
        <w:t xml:space="preserve"> C</w:t>
      </w:r>
      <w:r w:rsidRPr="002D1FA1">
        <w:rPr>
          <w:rFonts w:ascii="Arial" w:eastAsia="MinionPro-Regular" w:hAnsi="Arial" w:cs="Arial"/>
          <w:color w:val="000000"/>
          <w:kern w:val="0"/>
          <w:sz w:val="24"/>
        </w:rPr>
        <w:t>D4</w:t>
      </w:r>
      <w:r w:rsidRPr="002D1FA1">
        <w:rPr>
          <w:rFonts w:ascii="Arial" w:eastAsia="MinionPro-Regular" w:hAnsi="Arial" w:cs="Arial"/>
          <w:color w:val="000000"/>
          <w:kern w:val="0"/>
          <w:sz w:val="24"/>
          <w:vertAlign w:val="superscript"/>
        </w:rPr>
        <w:t>+</w:t>
      </w:r>
      <w:r w:rsidRPr="002D1FA1">
        <w:rPr>
          <w:rFonts w:ascii="Arial" w:hAnsi="Arial" w:cs="Arial"/>
          <w:color w:val="000000"/>
          <w:kern w:val="0"/>
          <w:sz w:val="24"/>
          <w:vertAlign w:val="superscript"/>
        </w:rPr>
        <w:t xml:space="preserve"> </w:t>
      </w:r>
      <w:r w:rsidRPr="002D1FA1">
        <w:rPr>
          <w:rFonts w:ascii="Arial" w:hAnsi="Arial" w:cs="Arial"/>
          <w:color w:val="000000"/>
          <w:kern w:val="0"/>
          <w:sz w:val="24"/>
        </w:rPr>
        <w:t xml:space="preserve">T cell (A), B cell (B), Neutrophil (C), Macrophage (D), Myeloid dendritic cell (E) infiltration in different tumor types based on Spearman method. In </w:t>
      </w:r>
      <w:proofErr w:type="gramStart"/>
      <w:r w:rsidRPr="002D1FA1">
        <w:rPr>
          <w:rFonts w:ascii="Arial" w:hAnsi="Arial" w:cs="Arial"/>
          <w:color w:val="000000"/>
          <w:kern w:val="0"/>
          <w:sz w:val="24"/>
        </w:rPr>
        <w:t>the majority of</w:t>
      </w:r>
      <w:proofErr w:type="gramEnd"/>
      <w:r w:rsidRPr="002D1FA1">
        <w:rPr>
          <w:rFonts w:ascii="Arial" w:hAnsi="Arial" w:cs="Arial"/>
          <w:color w:val="000000"/>
          <w:kern w:val="0"/>
          <w:sz w:val="24"/>
        </w:rPr>
        <w:t xml:space="preserve"> tumor types, there is a positive trend in the correlation between inhibitory receptors (CTLA4, LAG3, NRP1, PD-1, TIGIT, TIM3, VISTA) and immune cell infiltration.</w:t>
      </w:r>
    </w:p>
    <w:p w14:paraId="6FD2B18A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eastAsia="WarnockPro-Regular" w:hAnsi="Arial" w:cs="Arial"/>
          <w:b/>
          <w:color w:val="000000"/>
          <w:kern w:val="0"/>
          <w:sz w:val="24"/>
        </w:rPr>
        <w:t>Supplementary Figure 3.</w:t>
      </w:r>
      <w:r w:rsidRPr="002D1FA1">
        <w:rPr>
          <w:rFonts w:ascii="Arial" w:eastAsia="WarnockPro-Regular" w:hAnsi="Arial" w:cs="Arial"/>
          <w:color w:val="000000"/>
          <w:kern w:val="0"/>
          <w:sz w:val="24"/>
        </w:rPr>
        <w:t xml:space="preserve"> </w:t>
      </w:r>
      <w:r w:rsidRPr="002D1FA1">
        <w:rPr>
          <w:rFonts w:ascii="Arial" w:hAnsi="Arial" w:cs="Arial"/>
          <w:color w:val="000000"/>
          <w:kern w:val="0"/>
          <w:sz w:val="24"/>
        </w:rPr>
        <w:t xml:space="preserve">Correlation analysis between </w:t>
      </w:r>
      <w:r w:rsidRPr="002D1FA1">
        <w:rPr>
          <w:rFonts w:ascii="Arial" w:hAnsi="Arial" w:cs="Arial"/>
          <w:color w:val="231F20"/>
          <w:kern w:val="0"/>
          <w:sz w:val="24"/>
        </w:rPr>
        <w:t>co-inhibitory molecules</w:t>
      </w:r>
      <w:r w:rsidRPr="002D1FA1">
        <w:rPr>
          <w:rFonts w:ascii="Arial" w:hAnsi="Arial" w:cs="Arial"/>
          <w:sz w:val="24"/>
        </w:rPr>
        <w:t xml:space="preserve"> and drug sensitivity of anticancer drugs in NCI-60. The drugs shown in the figure are the top 16 drugs with the most significant correlation with CTLA4 (A), LAG3 (B), NRP1 (C), PD-1 (D), TIGIT (E), TIM3 (F), VISTA (G), CD80 (H), CD86 (I), CD112 (J), CD155(K), FGL1 (L), HMGB1 (M), LGALS9 (N), PD-L1 (O), PD-L2 (P), SEMA4A (Q), VEGFA (R) based on Pearson and Hedges methods. </w:t>
      </w:r>
    </w:p>
    <w:p w14:paraId="00F1FB30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lastRenderedPageBreak/>
        <w:t>Supplementary Table 1.</w:t>
      </w:r>
      <w:r w:rsidRPr="002D1FA1">
        <w:rPr>
          <w:rFonts w:ascii="Arial" w:hAnsi="Arial" w:cs="Arial"/>
          <w:sz w:val="24"/>
        </w:rPr>
        <w:t xml:space="preserve"> Differential expression analysis of co-inhibitory molecules in TCGA dataset using “DEseq2” R package.</w:t>
      </w:r>
    </w:p>
    <w:p w14:paraId="5E3E243F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2.</w:t>
      </w:r>
      <w:r w:rsidRPr="002D1FA1">
        <w:rPr>
          <w:rFonts w:ascii="Arial" w:hAnsi="Arial" w:cs="Arial"/>
          <w:sz w:val="24"/>
        </w:rPr>
        <w:t xml:space="preserve"> Univariate Cox proportional hazards analysis of the correlation of co-inhibitory molecules with tumor Overall Survival in TCGA dataset.</w:t>
      </w:r>
    </w:p>
    <w:p w14:paraId="11016D7E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3.</w:t>
      </w:r>
      <w:r w:rsidRPr="002D1FA1">
        <w:rPr>
          <w:rFonts w:ascii="Arial" w:hAnsi="Arial" w:cs="Arial"/>
          <w:sz w:val="24"/>
        </w:rPr>
        <w:t xml:space="preserve"> Univariate Cox proportional hazards analysis of the correlation of co-inhibitory molecules with tumor Progression-Free Interval in TCGA dataset.</w:t>
      </w:r>
    </w:p>
    <w:p w14:paraId="7ED2293A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 xml:space="preserve">Supplementary Table 4. </w:t>
      </w:r>
      <w:r w:rsidRPr="002D1FA1">
        <w:rPr>
          <w:rFonts w:ascii="Arial" w:hAnsi="Arial" w:cs="Arial"/>
          <w:sz w:val="24"/>
        </w:rPr>
        <w:t>Spearman correlation analysis of co-inhibitory molecules and immune cell infiltration from TIMER.</w:t>
      </w:r>
    </w:p>
    <w:p w14:paraId="5F848796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5.</w:t>
      </w:r>
      <w:r w:rsidRPr="002D1FA1">
        <w:rPr>
          <w:rFonts w:ascii="Arial" w:hAnsi="Arial" w:cs="Arial"/>
          <w:sz w:val="24"/>
        </w:rPr>
        <w:t xml:space="preserve"> Spearman correlation analysis of co-inhibitory molecules and immune cell infiltration from CIBERSORT-ABS.</w:t>
      </w:r>
    </w:p>
    <w:p w14:paraId="7A526685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6.</w:t>
      </w:r>
      <w:r w:rsidRPr="002D1FA1">
        <w:rPr>
          <w:rFonts w:ascii="Arial" w:hAnsi="Arial" w:cs="Arial"/>
          <w:sz w:val="24"/>
        </w:rPr>
        <w:t xml:space="preserve"> Spearman correlation analysis of co-inhibitory molecules with TMB, MSI, and Cancer cell stemness.</w:t>
      </w:r>
    </w:p>
    <w:p w14:paraId="46340523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7.</w:t>
      </w:r>
      <w:r w:rsidRPr="002D1FA1">
        <w:rPr>
          <w:rFonts w:ascii="Arial" w:hAnsi="Arial" w:cs="Arial"/>
          <w:sz w:val="24"/>
        </w:rPr>
        <w:t xml:space="preserve"> Pearson correlation analysis of co-inhibitory molecules with DNA methylation regulatory genes (DNMT1, DNMT3A, DNMT3B, DNMT3L) in TCGA dataset.</w:t>
      </w:r>
    </w:p>
    <w:p w14:paraId="54B5DD44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sz w:val="24"/>
        </w:rPr>
      </w:pPr>
      <w:r w:rsidRPr="002D1FA1">
        <w:rPr>
          <w:rFonts w:ascii="Arial" w:hAnsi="Arial" w:cs="Arial"/>
          <w:b/>
          <w:sz w:val="24"/>
        </w:rPr>
        <w:t>Supplementary Table 8.</w:t>
      </w:r>
      <w:r w:rsidRPr="002D1FA1">
        <w:rPr>
          <w:rFonts w:ascii="Arial" w:hAnsi="Arial" w:cs="Arial"/>
          <w:sz w:val="24"/>
        </w:rPr>
        <w:t xml:space="preserve"> Pearson correlation analysis of co-inhibitory molecules with RNA methylation regulatory genes (ALKBH5, FTO, METTL3, METTL14, WTAP) in TCGA dataset.</w:t>
      </w:r>
    </w:p>
    <w:p w14:paraId="5FF65377" w14:textId="77777777" w:rsidR="00A24468" w:rsidRPr="002D1FA1" w:rsidRDefault="00A24468" w:rsidP="00A24468">
      <w:pPr>
        <w:pStyle w:val="a7"/>
        <w:autoSpaceDE w:val="0"/>
        <w:spacing w:line="480" w:lineRule="auto"/>
        <w:jc w:val="both"/>
        <w:rPr>
          <w:rFonts w:ascii="Arial" w:hAnsi="Arial" w:cs="Arial"/>
          <w:color w:val="000000"/>
          <w:kern w:val="0"/>
          <w:sz w:val="24"/>
        </w:rPr>
      </w:pPr>
      <w:r w:rsidRPr="002D1FA1">
        <w:rPr>
          <w:rFonts w:ascii="Arial" w:hAnsi="Arial" w:cs="Arial"/>
          <w:b/>
          <w:sz w:val="24"/>
        </w:rPr>
        <w:t>Supplementary Table 9.</w:t>
      </w:r>
      <w:r w:rsidRPr="002D1FA1">
        <w:rPr>
          <w:rFonts w:ascii="Arial" w:hAnsi="Arial" w:cs="Arial"/>
          <w:sz w:val="24"/>
        </w:rPr>
        <w:t xml:space="preserve"> Pearson correlation analysis of co-inhibitory molecules and drug sensitivity in CellMiner dataset.</w:t>
      </w:r>
    </w:p>
    <w:p w14:paraId="5A87B2A9" w14:textId="77777777" w:rsidR="00EA6EE7" w:rsidRPr="00A24468" w:rsidRDefault="00000000" w:rsidP="004A5798">
      <w:pPr>
        <w:spacing w:line="480" w:lineRule="auto"/>
      </w:pPr>
    </w:p>
    <w:sectPr w:rsidR="00EA6EE7" w:rsidRPr="00A24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32A41" w14:textId="77777777" w:rsidR="005C6667" w:rsidRDefault="005C6667" w:rsidP="00944623">
      <w:r>
        <w:separator/>
      </w:r>
    </w:p>
  </w:endnote>
  <w:endnote w:type="continuationSeparator" w:id="0">
    <w:p w14:paraId="0F0F06F4" w14:textId="77777777" w:rsidR="005C6667" w:rsidRDefault="005C6667" w:rsidP="00944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arnockPro-Regular">
    <w:altName w:val="Calibri"/>
    <w:charset w:val="00"/>
    <w:family w:val="auto"/>
    <w:pitch w:val="default"/>
  </w:font>
  <w:font w:name="MinionPro-Regular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CDB38" w14:textId="77777777" w:rsidR="005C6667" w:rsidRDefault="005C6667" w:rsidP="00944623">
      <w:r>
        <w:separator/>
      </w:r>
    </w:p>
  </w:footnote>
  <w:footnote w:type="continuationSeparator" w:id="0">
    <w:p w14:paraId="3964C9E8" w14:textId="77777777" w:rsidR="005C6667" w:rsidRDefault="005C6667" w:rsidP="00944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BFC"/>
    <w:rsid w:val="001A1EFB"/>
    <w:rsid w:val="003A7B3A"/>
    <w:rsid w:val="00457093"/>
    <w:rsid w:val="004A5798"/>
    <w:rsid w:val="004B6765"/>
    <w:rsid w:val="005C6667"/>
    <w:rsid w:val="00944623"/>
    <w:rsid w:val="00A24468"/>
    <w:rsid w:val="00A3268A"/>
    <w:rsid w:val="00C01BFC"/>
    <w:rsid w:val="00F1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83A0D"/>
  <w15:chartTrackingRefBased/>
  <w15:docId w15:val="{E7F67320-8ABA-4009-8635-4F774F23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6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623"/>
    <w:rPr>
      <w:sz w:val="18"/>
      <w:szCs w:val="18"/>
    </w:rPr>
  </w:style>
  <w:style w:type="paragraph" w:styleId="a7">
    <w:name w:val="endnote text"/>
    <w:basedOn w:val="a"/>
    <w:link w:val="a8"/>
    <w:uiPriority w:val="99"/>
    <w:unhideWhenUsed/>
    <w:qFormat/>
    <w:rsid w:val="00944623"/>
    <w:pPr>
      <w:snapToGrid w:val="0"/>
      <w:jc w:val="left"/>
    </w:pPr>
    <w:rPr>
      <w:szCs w:val="24"/>
    </w:rPr>
  </w:style>
  <w:style w:type="character" w:customStyle="1" w:styleId="a8">
    <w:name w:val="尾注文本 字符"/>
    <w:basedOn w:val="a0"/>
    <w:link w:val="a7"/>
    <w:uiPriority w:val="99"/>
    <w:rsid w:val="00944623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Shi</dc:creator>
  <cp:keywords/>
  <dc:description/>
  <cp:lastModifiedBy>任 晓宇</cp:lastModifiedBy>
  <cp:revision>8</cp:revision>
  <dcterms:created xsi:type="dcterms:W3CDTF">2022-03-27T14:11:00Z</dcterms:created>
  <dcterms:modified xsi:type="dcterms:W3CDTF">2023-03-14T16:45:00Z</dcterms:modified>
</cp:coreProperties>
</file>