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horzAnchor="margin" w:tblpX="-426" w:tblpY="1230"/>
        <w:tblW w:w="16113" w:type="dxa"/>
        <w:tblLook w:val="04A0" w:firstRow="1" w:lastRow="0" w:firstColumn="1" w:lastColumn="0" w:noHBand="0" w:noVBand="1"/>
      </w:tblPr>
      <w:tblGrid>
        <w:gridCol w:w="1470"/>
        <w:gridCol w:w="1739"/>
        <w:gridCol w:w="2288"/>
        <w:gridCol w:w="1599"/>
        <w:gridCol w:w="1025"/>
        <w:gridCol w:w="1001"/>
        <w:gridCol w:w="1310"/>
        <w:gridCol w:w="1256"/>
        <w:gridCol w:w="739"/>
        <w:gridCol w:w="989"/>
        <w:gridCol w:w="1025"/>
        <w:gridCol w:w="814"/>
        <w:gridCol w:w="922"/>
      </w:tblGrid>
      <w:tr w:rsidR="00747E5F" w:rsidRPr="00830641" w14:paraId="4AD1CC41" w14:textId="77777777" w:rsidTr="003D1130">
        <w:trPr>
          <w:trHeight w:val="29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42155467" w14:textId="625DF81E" w:rsidR="00830641" w:rsidRPr="00830641" w:rsidRDefault="00830641" w:rsidP="00830641">
            <w:pPr>
              <w:spacing w:after="0" w:line="240" w:lineRule="auto"/>
              <w:ind w:left="-389" w:firstLine="389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Weight maintenance intervention</w:t>
            </w:r>
            <w:r w:rsidR="003D1130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</w:t>
            </w:r>
            <w:r w:rsidRPr="0083064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 xml:space="preserve"> for Type 2 Diabetes Mellitus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4753D653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7651FEF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42B07C7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07A3B69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2E9FFAF9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4A6BE69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87926CA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2AA5478D" w14:textId="77777777" w:rsidTr="00830641">
        <w:trPr>
          <w:trHeight w:val="290"/>
        </w:trPr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D95AE4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Patient population: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People with type 2 diabetes mellitus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24BE3BD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46C8C9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3599EB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02BD9D6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D508F0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68CDB4A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4C5678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42137A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960CF7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20310B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019877AE" w14:textId="77777777" w:rsidTr="00830641">
        <w:trPr>
          <w:trHeight w:val="290"/>
        </w:trPr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1B6A47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Settings: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Primary care, community, outpatient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76D15F6B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946906B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31F3F2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0C66C5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373665A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3CE581D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BB20ED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8EFEE6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7799A3E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C31E7DA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7A19BA9A" w14:textId="77777777" w:rsidTr="00830641">
        <w:trPr>
          <w:trHeight w:val="290"/>
        </w:trPr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1340DC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Intervention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: Weight maintenance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50059CA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098173ED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64900E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79B43B1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124AC7E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9E3C2C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11B35E2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92FB13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5AD996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FE25D1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1311C774" w14:textId="77777777" w:rsidTr="00830641">
        <w:trPr>
          <w:trHeight w:val="290"/>
        </w:trPr>
        <w:tc>
          <w:tcPr>
            <w:tcW w:w="0" w:type="auto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818AD3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Comparison: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No intervention, standard or minimal care, wait list, placebo and no comparator (e.g. single cohort studies)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75B9056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610D04D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E14074B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168A29C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63316C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0FCF36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0BE016E8" w14:textId="77777777" w:rsidTr="00830641">
        <w:trPr>
          <w:trHeight w:val="290"/>
        </w:trPr>
        <w:tc>
          <w:tcPr>
            <w:tcW w:w="0" w:type="auto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2C1D603E" w14:textId="58CA6A96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Outcomes: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Primary (weight, glycaemic control</w:t>
            </w:r>
            <w:r w:rsidR="00BA1C2F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*</w:t>
            </w:r>
            <w:r w:rsidR="00BA1C2F" w:rsidRPr="003D1130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perscript"/>
              </w:rPr>
              <w:t>1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adverse effects</w:t>
            </w:r>
            <w:r w:rsidR="00BA1C2F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*</w:t>
            </w:r>
            <w:r w:rsidR="00BA1C2F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perscript"/>
              </w:rPr>
              <w:t>2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), secondary (cardiovascular risk factors</w:t>
            </w:r>
            <w:r w:rsidR="003D113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*</w:t>
            </w:r>
            <w:r w:rsidR="00BA1C2F" w:rsidRPr="00BA1C2F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perscript"/>
              </w:rPr>
              <w:t>3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, psychological wellbeing</w:t>
            </w:r>
            <w:r w:rsidR="003D113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*</w:t>
            </w:r>
            <w:r w:rsidR="00BA1C2F">
              <w:rPr>
                <w:rFonts w:ascii="Calibri" w:eastAsia="Times New Roman" w:hAnsi="Calibri" w:cs="Calibri"/>
                <w:color w:val="000000"/>
                <w:sz w:val="16"/>
                <w:szCs w:val="16"/>
                <w:vertAlign w:val="superscript"/>
              </w:rPr>
              <w:t>4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, </w:t>
            </w:r>
            <w:r w:rsidR="00747E5F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change in glucose medication, 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waistline)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7E01FFB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2DBBFD7A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1FF7FDAD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bottom"/>
            <w:hideMark/>
          </w:tcPr>
          <w:p w14:paraId="07CB8CD9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26E720B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23454D01" w14:textId="77777777" w:rsidTr="00830641">
        <w:trPr>
          <w:trHeight w:val="10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2EDB7BC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First author, year and country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35275AC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Total n of interventions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1D35373" w14:textId="461E25D3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Population and clinical </w:t>
            </w:r>
            <w:r w:rsidR="003D1130"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characteristics</w:t>
            </w: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[mean(SD) or n (%) unless stated otherwise stated]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6335289C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Demographics [mean(SD) or n (%) unless otherwise stated]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0963CD9B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Intervention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4D35A1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Comparator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4B35348C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Primary outcomes      [mean(SD) or n (%) unless otherwise stated]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532DBE2B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Secondary outcomes [mean(SD) or n (%) unless otherwise stated]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1CE55343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Relative effect (95% CI, or effect size)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24B7EA7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n of participants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3EA98DE6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Intervention fidelity: compliance, adherence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09B587C6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Certainty of the evidence (GRADE)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hideMark/>
          </w:tcPr>
          <w:p w14:paraId="14267AE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Comments</w:t>
            </w:r>
          </w:p>
        </w:tc>
      </w:tr>
      <w:tr w:rsidR="00747E5F" w:rsidRPr="00830641" w14:paraId="0D130573" w14:textId="77777777" w:rsidTr="0083064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7E07A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7C3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A1AC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256B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50E8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5AC3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BF2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2627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7D39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CD3F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DA17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7B03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711C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2C1A6C61" w14:textId="77777777" w:rsidTr="0083064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B8B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DFC5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B5F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F206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A727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747A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3CEF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8C88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0DBB9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A2066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9BAE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30AB3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E616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6102B999" w14:textId="77777777" w:rsidTr="0083064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C8A2D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D980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D01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48E6B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8226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5DF7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BD00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40C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CF5A6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B59A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B95A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A320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9C5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40D9FC38" w14:textId="77777777" w:rsidTr="0083064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70B2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D36D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FF62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241C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3524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9455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5EDA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F6DC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00056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98F6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E2F3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5320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E395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3F731F33" w14:textId="77777777" w:rsidTr="0083064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DCCBC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FA59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0F1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68D7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EC27D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80A3A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D0B1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52A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F482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ED8B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C4C8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FC5E8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83556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0FB9E8CB" w14:textId="77777777" w:rsidTr="0083064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0C43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43FE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7D8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05A3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D669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394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6A4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348A9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3769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5A3F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F248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81513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33D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3F2C0CB4" w14:textId="77777777" w:rsidTr="0083064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45DA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8D7F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0BBA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ADC2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8D40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9ECD3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F38FD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A0FA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89B3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87E4D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235A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10DC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4BEA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  <w:tr w:rsidR="00747E5F" w:rsidRPr="00830641" w14:paraId="1F60AE2D" w14:textId="77777777" w:rsidTr="0083064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024D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12E1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1B26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5B3B7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6A64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6249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949D5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25CE0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D7D1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1299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712F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0E94C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DE8E" w14:textId="77777777" w:rsidR="00830641" w:rsidRPr="00830641" w:rsidRDefault="00830641" w:rsidP="0083064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83064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</w:tr>
    </w:tbl>
    <w:p w14:paraId="3D4A4546" w14:textId="38F9B3F8" w:rsidR="001641CF" w:rsidRDefault="00021007" w:rsidP="00253BD1">
      <w:r>
        <w:t>Additional file 3</w:t>
      </w:r>
      <w:r w:rsidR="003D1130">
        <w:t xml:space="preserve"> – Data Extraction Form</w:t>
      </w:r>
    </w:p>
    <w:p w14:paraId="6D69EBBB" w14:textId="1385637E" w:rsidR="003D1130" w:rsidRPr="003D1130" w:rsidRDefault="003D1130" w:rsidP="003D1130"/>
    <w:p w14:paraId="7F46844E" w14:textId="4F4E92A1" w:rsidR="003D1130" w:rsidRPr="003D1130" w:rsidRDefault="003D1130" w:rsidP="003D1130"/>
    <w:p w14:paraId="3E3789CC" w14:textId="26810FA0" w:rsidR="000A41DA" w:rsidRPr="00747E5F" w:rsidRDefault="000A41DA" w:rsidP="003D1130">
      <w:pPr>
        <w:rPr>
          <w:rFonts w:cstheme="minorHAnsi"/>
        </w:rPr>
      </w:pPr>
      <w:r w:rsidRPr="00747E5F">
        <w:rPr>
          <w:rFonts w:cstheme="minorHAnsi"/>
        </w:rPr>
        <w:t>*</w:t>
      </w:r>
      <w:r w:rsidRPr="00747E5F">
        <w:rPr>
          <w:rFonts w:cstheme="minorHAnsi"/>
          <w:vertAlign w:val="superscript"/>
        </w:rPr>
        <w:t>1</w:t>
      </w:r>
      <w:r w:rsidR="00BA1C2F" w:rsidRPr="00747E5F">
        <w:rPr>
          <w:rFonts w:cstheme="minorHAnsi"/>
        </w:rPr>
        <w:t xml:space="preserve"> Glycaemic control may </w:t>
      </w:r>
      <w:r w:rsidR="00747E5F">
        <w:rPr>
          <w:rFonts w:cstheme="minorHAnsi"/>
        </w:rPr>
        <w:t>be concluded</w:t>
      </w:r>
      <w:r w:rsidR="00BA1C2F" w:rsidRPr="00747E5F">
        <w:rPr>
          <w:rFonts w:cstheme="minorHAnsi"/>
        </w:rPr>
        <w:t xml:space="preserve"> from: </w:t>
      </w:r>
      <w:r w:rsidR="00BA1C2F" w:rsidRPr="00747E5F">
        <w:rPr>
          <w:rFonts w:cstheme="minorHAnsi"/>
          <w:color w:val="333333"/>
          <w:shd w:val="clear" w:color="auto" w:fill="FFFFFF"/>
        </w:rPr>
        <w:t>HbA1c, fasting plasma glucose, insulin sensitivity/resistanceHbA1c, fasting plasma glucose, insulin sensitivity/resistance</w:t>
      </w:r>
    </w:p>
    <w:p w14:paraId="35A5299F" w14:textId="3FD193ED" w:rsidR="00BA1C2F" w:rsidRPr="00747E5F" w:rsidRDefault="000A41DA" w:rsidP="003D1130">
      <w:pPr>
        <w:rPr>
          <w:rFonts w:cstheme="minorHAnsi"/>
        </w:rPr>
      </w:pPr>
      <w:r w:rsidRPr="00747E5F">
        <w:rPr>
          <w:rFonts w:cstheme="minorHAnsi"/>
        </w:rPr>
        <w:t>*</w:t>
      </w:r>
      <w:r w:rsidR="00BA1C2F" w:rsidRPr="00747E5F">
        <w:rPr>
          <w:rFonts w:cstheme="minorHAnsi"/>
          <w:vertAlign w:val="superscript"/>
        </w:rPr>
        <w:t>2</w:t>
      </w:r>
      <w:r w:rsidRPr="00747E5F">
        <w:rPr>
          <w:rFonts w:cstheme="minorHAnsi"/>
        </w:rPr>
        <w:t xml:space="preserve"> </w:t>
      </w:r>
      <w:r w:rsidR="00BA1C2F" w:rsidRPr="00747E5F">
        <w:rPr>
          <w:rFonts w:cstheme="minorHAnsi"/>
        </w:rPr>
        <w:t xml:space="preserve">Adverse events: </w:t>
      </w:r>
      <w:r w:rsidR="00BA1C2F" w:rsidRPr="00747E5F">
        <w:rPr>
          <w:rFonts w:cstheme="minorHAnsi"/>
          <w:color w:val="333333"/>
          <w:shd w:val="clear" w:color="auto" w:fill="FFFFFF"/>
        </w:rPr>
        <w:t>regain of weight lost, physical and/or psychological side effects such as disordered eating behaviour</w:t>
      </w:r>
    </w:p>
    <w:p w14:paraId="145C12B7" w14:textId="046F6064" w:rsidR="003D1130" w:rsidRPr="00747E5F" w:rsidRDefault="00BA1C2F" w:rsidP="003D1130">
      <w:pPr>
        <w:rPr>
          <w:rFonts w:cstheme="minorHAnsi"/>
        </w:rPr>
      </w:pPr>
      <w:r w:rsidRPr="00747E5F">
        <w:rPr>
          <w:rFonts w:cstheme="minorHAnsi"/>
        </w:rPr>
        <w:t>*</w:t>
      </w:r>
      <w:r w:rsidRPr="00747E5F">
        <w:rPr>
          <w:rFonts w:cstheme="minorHAnsi"/>
          <w:vertAlign w:val="superscript"/>
        </w:rPr>
        <w:t>3</w:t>
      </w:r>
      <w:r w:rsidRPr="00747E5F">
        <w:rPr>
          <w:rFonts w:cstheme="minorHAnsi"/>
        </w:rPr>
        <w:t xml:space="preserve"> </w:t>
      </w:r>
      <w:r w:rsidR="000A41DA" w:rsidRPr="00747E5F">
        <w:rPr>
          <w:rFonts w:cstheme="minorHAnsi"/>
        </w:rPr>
        <w:t xml:space="preserve">Cardiovascular risk factors: </w:t>
      </w:r>
      <w:r w:rsidRPr="00747E5F">
        <w:rPr>
          <w:rFonts w:cstheme="minorHAnsi"/>
          <w:color w:val="333333"/>
          <w:shd w:val="clear" w:color="auto" w:fill="FFFFFF"/>
        </w:rPr>
        <w:t>total cholesterol, low-density lipoprotein cholesterol, high-density lipoprotein cholesterol, triacylglycerol, diastolic blood pressure, systolic blood pressure</w:t>
      </w:r>
    </w:p>
    <w:p w14:paraId="58536087" w14:textId="7160C6C7" w:rsidR="003D1130" w:rsidRPr="00747E5F" w:rsidRDefault="000A41DA" w:rsidP="003D1130">
      <w:pPr>
        <w:rPr>
          <w:rFonts w:cstheme="minorHAnsi"/>
        </w:rPr>
      </w:pPr>
      <w:r w:rsidRPr="00747E5F">
        <w:rPr>
          <w:rFonts w:cstheme="minorHAnsi"/>
        </w:rPr>
        <w:t>*</w:t>
      </w:r>
      <w:r w:rsidR="00BA1C2F" w:rsidRPr="00747E5F">
        <w:rPr>
          <w:rFonts w:cstheme="minorHAnsi"/>
          <w:vertAlign w:val="superscript"/>
        </w:rPr>
        <w:t>4</w:t>
      </w:r>
      <w:r w:rsidRPr="00747E5F">
        <w:rPr>
          <w:rFonts w:cstheme="minorHAnsi"/>
        </w:rPr>
        <w:t xml:space="preserve"> Psychological wellbeing </w:t>
      </w:r>
      <w:r w:rsidR="00BA1C2F" w:rsidRPr="00747E5F">
        <w:rPr>
          <w:rFonts w:cstheme="minorHAnsi"/>
        </w:rPr>
        <w:t>may include among others</w:t>
      </w:r>
      <w:r w:rsidRPr="00747E5F">
        <w:rPr>
          <w:rFonts w:cstheme="minorHAnsi"/>
        </w:rPr>
        <w:t>:</w:t>
      </w:r>
      <w:r w:rsidR="00BA1C2F" w:rsidRPr="00747E5F">
        <w:rPr>
          <w:rFonts w:cstheme="minorHAnsi"/>
        </w:rPr>
        <w:t xml:space="preserve"> health-related quality of life</w:t>
      </w:r>
    </w:p>
    <w:p w14:paraId="690256EE" w14:textId="77777777" w:rsidR="003D1130" w:rsidRPr="003D1130" w:rsidRDefault="003D1130" w:rsidP="003D1130"/>
    <w:sectPr w:rsidR="003D1130" w:rsidRPr="003D1130" w:rsidSect="0083064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B28AE1" w14:textId="77777777" w:rsidR="000307E3" w:rsidRDefault="000307E3" w:rsidP="003D1130">
      <w:pPr>
        <w:spacing w:after="0" w:line="240" w:lineRule="auto"/>
      </w:pPr>
      <w:r>
        <w:separator/>
      </w:r>
    </w:p>
  </w:endnote>
  <w:endnote w:type="continuationSeparator" w:id="0">
    <w:p w14:paraId="78EFF3A5" w14:textId="77777777" w:rsidR="000307E3" w:rsidRDefault="000307E3" w:rsidP="003D1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AFF044" w14:textId="77777777" w:rsidR="00250D11" w:rsidRDefault="00250D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C5FB14" w14:textId="4561CC4E" w:rsidR="00250D11" w:rsidRPr="003D1130" w:rsidRDefault="003D1130" w:rsidP="003D1130">
    <w:pPr>
      <w:spacing w:after="0" w:line="480" w:lineRule="auto"/>
      <w:rPr>
        <w:b/>
        <w:bCs/>
      </w:rPr>
    </w:pPr>
    <w:bookmarkStart w:id="0" w:name="_Hlk37886007"/>
    <w:r w:rsidRPr="00620B4B">
      <w:rPr>
        <w:b/>
        <w:bCs/>
      </w:rPr>
      <w:t>Weight maintenance intervention</w:t>
    </w:r>
    <w:r>
      <w:rPr>
        <w:b/>
        <w:bCs/>
      </w:rPr>
      <w:t>s</w:t>
    </w:r>
    <w:r w:rsidRPr="00620B4B">
      <w:rPr>
        <w:b/>
        <w:bCs/>
      </w:rPr>
      <w:t xml:space="preserve"> for people with type 2 diabetes mellitus: </w:t>
    </w:r>
    <w:bookmarkEnd w:id="0"/>
    <w:r w:rsidR="00250D11">
      <w:rPr>
        <w:b/>
        <w:bCs/>
      </w:rPr>
      <w:t>A systematic review protocol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2CE468" w14:textId="77777777" w:rsidR="00250D11" w:rsidRDefault="00250D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CD6779" w14:textId="77777777" w:rsidR="000307E3" w:rsidRDefault="000307E3" w:rsidP="003D1130">
      <w:pPr>
        <w:spacing w:after="0" w:line="240" w:lineRule="auto"/>
      </w:pPr>
      <w:r>
        <w:separator/>
      </w:r>
    </w:p>
  </w:footnote>
  <w:footnote w:type="continuationSeparator" w:id="0">
    <w:p w14:paraId="594DBC54" w14:textId="77777777" w:rsidR="000307E3" w:rsidRDefault="000307E3" w:rsidP="003D1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15FE17" w14:textId="77777777" w:rsidR="00250D11" w:rsidRDefault="00250D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EDB2A2" w14:textId="5563AF57" w:rsidR="003D1130" w:rsidRPr="003D1130" w:rsidRDefault="003D1130">
    <w:pPr>
      <w:pStyle w:val="Header"/>
    </w:pPr>
    <w:r w:rsidRPr="003D1130">
      <w:t>S Sauchelli, J Bradley, J Cox, C England, R P</w:t>
    </w:r>
    <w:r>
      <w:t>erry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571C2" w14:textId="77777777" w:rsidR="00250D11" w:rsidRDefault="00250D1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BD1"/>
    <w:rsid w:val="00021007"/>
    <w:rsid w:val="000307E3"/>
    <w:rsid w:val="000A41DA"/>
    <w:rsid w:val="00216D1C"/>
    <w:rsid w:val="00250D11"/>
    <w:rsid w:val="00253BD1"/>
    <w:rsid w:val="002D7F92"/>
    <w:rsid w:val="003D1130"/>
    <w:rsid w:val="005E1A12"/>
    <w:rsid w:val="00747E5F"/>
    <w:rsid w:val="00830641"/>
    <w:rsid w:val="008534D1"/>
    <w:rsid w:val="00BA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F9EF39"/>
  <w15:chartTrackingRefBased/>
  <w15:docId w15:val="{C0AAAFD9-BEFD-49F6-9CD1-B193C2674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B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BD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D11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1130"/>
  </w:style>
  <w:style w:type="paragraph" w:styleId="Footer">
    <w:name w:val="footer"/>
    <w:basedOn w:val="Normal"/>
    <w:link w:val="FooterChar"/>
    <w:uiPriority w:val="99"/>
    <w:unhideWhenUsed/>
    <w:rsid w:val="003D11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11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13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Sauchelli Toran</dc:creator>
  <cp:keywords/>
  <dc:description/>
  <cp:lastModifiedBy>Sarah Sauchelli Toran</cp:lastModifiedBy>
  <cp:revision>5</cp:revision>
  <dcterms:created xsi:type="dcterms:W3CDTF">2020-04-23T10:23:00Z</dcterms:created>
  <dcterms:modified xsi:type="dcterms:W3CDTF">2020-04-29T22:00:00Z</dcterms:modified>
</cp:coreProperties>
</file>