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5785D" w14:textId="77777777" w:rsidR="004F26BC" w:rsidRPr="002C4BD2" w:rsidRDefault="004F26BC" w:rsidP="00A8347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DCB50E1" w14:textId="77777777" w:rsidR="00B1750C" w:rsidRPr="002C4BD2" w:rsidRDefault="00B1750C" w:rsidP="00A8347B">
      <w:pPr>
        <w:rPr>
          <w:rFonts w:ascii="Times New Roman" w:hAnsi="Times New Roman" w:cs="Times New Roman"/>
          <w:b/>
          <w:bCs/>
          <w:sz w:val="20"/>
          <w:szCs w:val="20"/>
        </w:rPr>
        <w:sectPr w:rsidR="00B1750C" w:rsidRPr="002C4BD2" w:rsidSect="006928E8">
          <w:headerReference w:type="default" r:id="rId7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4495968C" w14:textId="74147DEA" w:rsidR="00EE3E01" w:rsidRPr="002C4BD2" w:rsidRDefault="00EE3E01" w:rsidP="00A8347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C4BD2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Tables</w:t>
      </w:r>
    </w:p>
    <w:p w14:paraId="3C992D93" w14:textId="77777777" w:rsidR="00A8347B" w:rsidRPr="002C4BD2" w:rsidRDefault="00A8347B" w:rsidP="00A8347B">
      <w:pPr>
        <w:rPr>
          <w:rFonts w:ascii="Times New Roman" w:hAnsi="Times New Roman" w:cs="Times New Roman"/>
          <w:sz w:val="20"/>
          <w:szCs w:val="20"/>
        </w:rPr>
      </w:pPr>
      <w:r w:rsidRPr="002C4BD2">
        <w:rPr>
          <w:rFonts w:ascii="Times New Roman" w:hAnsi="Times New Roman" w:cs="Times New Roman"/>
          <w:sz w:val="20"/>
          <w:szCs w:val="20"/>
        </w:rPr>
        <w:t xml:space="preserve"> </w:t>
      </w:r>
      <w:r w:rsidRPr="002C4BD2"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9"/>
        <w:gridCol w:w="1316"/>
        <w:gridCol w:w="1025"/>
        <w:gridCol w:w="982"/>
        <w:gridCol w:w="887"/>
        <w:gridCol w:w="690"/>
        <w:gridCol w:w="852"/>
        <w:gridCol w:w="941"/>
        <w:gridCol w:w="1127"/>
        <w:gridCol w:w="854"/>
        <w:gridCol w:w="953"/>
        <w:gridCol w:w="1062"/>
        <w:gridCol w:w="1062"/>
      </w:tblGrid>
      <w:tr w:rsidR="00B1750C" w:rsidRPr="002C4BD2" w14:paraId="4BC3B41C" w14:textId="77777777" w:rsidTr="007A33A4">
        <w:trPr>
          <w:trHeight w:val="350"/>
        </w:trPr>
        <w:tc>
          <w:tcPr>
            <w:tcW w:w="1260" w:type="dxa"/>
          </w:tcPr>
          <w:p w14:paraId="0F45A983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Author (publication year)</w:t>
            </w:r>
          </w:p>
        </w:tc>
        <w:tc>
          <w:tcPr>
            <w:tcW w:w="1212" w:type="dxa"/>
          </w:tcPr>
          <w:p w14:paraId="7E84B4E4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Design of study</w:t>
            </w:r>
          </w:p>
        </w:tc>
        <w:tc>
          <w:tcPr>
            <w:tcW w:w="1130" w:type="dxa"/>
          </w:tcPr>
          <w:p w14:paraId="441C98C5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MINORS</w:t>
            </w:r>
          </w:p>
        </w:tc>
        <w:tc>
          <w:tcPr>
            <w:tcW w:w="1170" w:type="dxa"/>
          </w:tcPr>
          <w:p w14:paraId="181DA6D8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Level of evidence</w:t>
            </w:r>
          </w:p>
        </w:tc>
        <w:tc>
          <w:tcPr>
            <w:tcW w:w="1130" w:type="dxa"/>
          </w:tcPr>
          <w:p w14:paraId="449667D0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Sample size</w:t>
            </w:r>
          </w:p>
        </w:tc>
        <w:tc>
          <w:tcPr>
            <w:tcW w:w="1055" w:type="dxa"/>
          </w:tcPr>
          <w:p w14:paraId="59196B01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125" w:type="dxa"/>
          </w:tcPr>
          <w:p w14:paraId="3F2AFA67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M: F</w:t>
            </w:r>
          </w:p>
        </w:tc>
        <w:tc>
          <w:tcPr>
            <w:tcW w:w="1137" w:type="dxa"/>
          </w:tcPr>
          <w:p w14:paraId="6ED5109D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Timing (injury to surgery)</w:t>
            </w:r>
          </w:p>
        </w:tc>
        <w:tc>
          <w:tcPr>
            <w:tcW w:w="980" w:type="dxa"/>
          </w:tcPr>
          <w:p w14:paraId="7EEB5702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Type of ACL graft</w:t>
            </w:r>
          </w:p>
        </w:tc>
        <w:tc>
          <w:tcPr>
            <w:tcW w:w="1020" w:type="dxa"/>
          </w:tcPr>
          <w:p w14:paraId="2575F139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 xml:space="preserve">Follow up  </w:t>
            </w:r>
          </w:p>
        </w:tc>
        <w:tc>
          <w:tcPr>
            <w:tcW w:w="1041" w:type="dxa"/>
          </w:tcPr>
          <w:p w14:paraId="38B3D72C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Type of RAMP</w:t>
            </w:r>
          </w:p>
        </w:tc>
        <w:tc>
          <w:tcPr>
            <w:tcW w:w="1065" w:type="dxa"/>
          </w:tcPr>
          <w:p w14:paraId="6652870D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Type of sport</w:t>
            </w:r>
          </w:p>
        </w:tc>
        <w:tc>
          <w:tcPr>
            <w:tcW w:w="1065" w:type="dxa"/>
          </w:tcPr>
          <w:p w14:paraId="0713F649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Level of athletes</w:t>
            </w:r>
          </w:p>
          <w:p w14:paraId="23DC0BF6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50C" w:rsidRPr="002C4BD2" w14:paraId="392F8012" w14:textId="77777777" w:rsidTr="007A33A4">
        <w:tc>
          <w:tcPr>
            <w:tcW w:w="1260" w:type="dxa"/>
          </w:tcPr>
          <w:p w14:paraId="2DE1648C" w14:textId="4741AF70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Thaunat</w:t>
            </w:r>
            <w:r w:rsidRPr="002C4BD2">
              <w:rPr>
                <w:rFonts w:ascii="Times New Roman" w:hAnsi="Times New Roman" w:cs="Times New Roman"/>
                <w:sz w:val="20"/>
                <w:szCs w:val="20"/>
                <w:cs/>
              </w:rPr>
              <w:t xml:space="preserve"> </w:t>
            </w: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 xml:space="preserve">(2016) </w:t>
            </w:r>
            <w:r w:rsidR="002C4BD2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2C4BD2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212" w:type="dxa"/>
          </w:tcPr>
          <w:p w14:paraId="3ADB288D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Prospective study</w:t>
            </w:r>
          </w:p>
        </w:tc>
        <w:tc>
          <w:tcPr>
            <w:tcW w:w="1130" w:type="dxa"/>
          </w:tcPr>
          <w:p w14:paraId="04AF6CF6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70" w:type="dxa"/>
          </w:tcPr>
          <w:p w14:paraId="58F3D4A2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130" w:type="dxa"/>
          </w:tcPr>
          <w:p w14:paraId="1D313EB1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055" w:type="dxa"/>
          </w:tcPr>
          <w:p w14:paraId="053EDF1A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26.4 (12–57)</w:t>
            </w:r>
          </w:p>
        </w:tc>
        <w:tc>
          <w:tcPr>
            <w:tcW w:w="1125" w:type="dxa"/>
          </w:tcPr>
          <w:p w14:paraId="580190E8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110:22</w:t>
            </w:r>
          </w:p>
        </w:tc>
        <w:tc>
          <w:tcPr>
            <w:tcW w:w="1137" w:type="dxa"/>
          </w:tcPr>
          <w:p w14:paraId="4F20F16B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980" w:type="dxa"/>
          </w:tcPr>
          <w:p w14:paraId="3DDA673E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Hamstring, Bone tendon patellar bone and Quadriceps</w:t>
            </w:r>
          </w:p>
        </w:tc>
        <w:tc>
          <w:tcPr>
            <w:tcW w:w="1020" w:type="dxa"/>
          </w:tcPr>
          <w:p w14:paraId="7EB79966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27 (24–29) months</w:t>
            </w:r>
          </w:p>
        </w:tc>
        <w:tc>
          <w:tcPr>
            <w:tcW w:w="1041" w:type="dxa"/>
          </w:tcPr>
          <w:p w14:paraId="6484E320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Unstable RAMP</w:t>
            </w:r>
          </w:p>
        </w:tc>
        <w:tc>
          <w:tcPr>
            <w:tcW w:w="1065" w:type="dxa"/>
          </w:tcPr>
          <w:p w14:paraId="590A333E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065" w:type="dxa"/>
          </w:tcPr>
          <w:p w14:paraId="775CAB96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B1750C" w:rsidRPr="002C4BD2" w14:paraId="1B83D847" w14:textId="77777777" w:rsidTr="007A33A4">
        <w:tc>
          <w:tcPr>
            <w:tcW w:w="1260" w:type="dxa"/>
          </w:tcPr>
          <w:p w14:paraId="6E50FFA3" w14:textId="11414F72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 xml:space="preserve">DePhillipo (2019) </w:t>
            </w:r>
            <w:r w:rsidR="002C4BD2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2C4BD2" w:rsidRPr="002C4B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4BD2">
              <w:rPr>
                <w:rFonts w:ascii="Times New Roman" w:hAnsi="Times New Roman" w:cs="Times New Roman"/>
                <w:sz w:val="20"/>
                <w:szCs w:val="20"/>
              </w:rPr>
              <w:t>0]</w:t>
            </w:r>
          </w:p>
        </w:tc>
        <w:tc>
          <w:tcPr>
            <w:tcW w:w="1212" w:type="dxa"/>
          </w:tcPr>
          <w:p w14:paraId="346C0CE6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Cross sectional study</w:t>
            </w:r>
          </w:p>
        </w:tc>
        <w:tc>
          <w:tcPr>
            <w:tcW w:w="1130" w:type="dxa"/>
          </w:tcPr>
          <w:p w14:paraId="3037909F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0" w:type="dxa"/>
          </w:tcPr>
          <w:p w14:paraId="5EB3FF06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130" w:type="dxa"/>
          </w:tcPr>
          <w:p w14:paraId="3A4B6C29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055" w:type="dxa"/>
          </w:tcPr>
          <w:p w14:paraId="7A8138B5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25" w:type="dxa"/>
          </w:tcPr>
          <w:p w14:paraId="4A697376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7" w:type="dxa"/>
          </w:tcPr>
          <w:p w14:paraId="4A7F4B83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980" w:type="dxa"/>
          </w:tcPr>
          <w:p w14:paraId="1080ABAC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020" w:type="dxa"/>
          </w:tcPr>
          <w:p w14:paraId="3346991C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041" w:type="dxa"/>
          </w:tcPr>
          <w:p w14:paraId="366CA6C8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065" w:type="dxa"/>
          </w:tcPr>
          <w:p w14:paraId="014717CF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065" w:type="dxa"/>
          </w:tcPr>
          <w:p w14:paraId="1F6908D0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B1750C" w:rsidRPr="002C4BD2" w14:paraId="244AFE75" w14:textId="77777777" w:rsidTr="007A33A4">
        <w:tc>
          <w:tcPr>
            <w:tcW w:w="1260" w:type="dxa"/>
          </w:tcPr>
          <w:p w14:paraId="2C0CCA10" w14:textId="07F46EA4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DePhillipo (2020)</w:t>
            </w:r>
            <w:r w:rsidRPr="002C4BD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2C4BD2">
              <w:rPr>
                <w:rFonts w:ascii="Times New Roman" w:hAnsi="Times New Roman" w:cs="Times New Roman"/>
                <w:sz w:val="20"/>
                <w:szCs w:val="20"/>
              </w:rPr>
              <w:t>[15]</w:t>
            </w:r>
          </w:p>
        </w:tc>
        <w:tc>
          <w:tcPr>
            <w:tcW w:w="1212" w:type="dxa"/>
          </w:tcPr>
          <w:p w14:paraId="01B094BB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Cohort study</w:t>
            </w:r>
          </w:p>
        </w:tc>
        <w:tc>
          <w:tcPr>
            <w:tcW w:w="1130" w:type="dxa"/>
          </w:tcPr>
          <w:p w14:paraId="6E467BA5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70" w:type="dxa"/>
          </w:tcPr>
          <w:p w14:paraId="210269DC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130" w:type="dxa"/>
          </w:tcPr>
          <w:p w14:paraId="74A3E7EC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55" w:type="dxa"/>
          </w:tcPr>
          <w:p w14:paraId="4F05421E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30.5 ± 11.4</w:t>
            </w:r>
          </w:p>
        </w:tc>
        <w:tc>
          <w:tcPr>
            <w:tcW w:w="1125" w:type="dxa"/>
          </w:tcPr>
          <w:p w14:paraId="17C65CA1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22:28</w:t>
            </w:r>
          </w:p>
        </w:tc>
        <w:tc>
          <w:tcPr>
            <w:tcW w:w="1137" w:type="dxa"/>
          </w:tcPr>
          <w:p w14:paraId="2FDC5D43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31 days: acute</w:t>
            </w:r>
          </w:p>
          <w:p w14:paraId="33F2A5D6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19 weeks: chronic</w:t>
            </w:r>
          </w:p>
        </w:tc>
        <w:tc>
          <w:tcPr>
            <w:tcW w:w="980" w:type="dxa"/>
          </w:tcPr>
          <w:p w14:paraId="7ED0DC0E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Bone tendon patellar bone</w:t>
            </w:r>
          </w:p>
        </w:tc>
        <w:tc>
          <w:tcPr>
            <w:tcW w:w="1020" w:type="dxa"/>
          </w:tcPr>
          <w:p w14:paraId="2D96F2B5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2.8 (2–8) years</w:t>
            </w:r>
          </w:p>
        </w:tc>
        <w:tc>
          <w:tcPr>
            <w:tcW w:w="1041" w:type="dxa"/>
          </w:tcPr>
          <w:p w14:paraId="12E9D9B5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 xml:space="preserve">Unstable RAMP </w:t>
            </w:r>
          </w:p>
        </w:tc>
        <w:tc>
          <w:tcPr>
            <w:tcW w:w="1065" w:type="dxa"/>
          </w:tcPr>
          <w:p w14:paraId="3051A0F6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-Skiing</w:t>
            </w:r>
          </w:p>
          <w:p w14:paraId="4698DDA6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-Basketball</w:t>
            </w:r>
          </w:p>
          <w:p w14:paraId="717C12CD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-Volleyball</w:t>
            </w:r>
          </w:p>
          <w:p w14:paraId="3FEA3916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-Material arts</w:t>
            </w:r>
          </w:p>
          <w:p w14:paraId="179CC927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-Football</w:t>
            </w:r>
          </w:p>
          <w:p w14:paraId="74DD8D92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-Soccer</w:t>
            </w:r>
          </w:p>
          <w:p w14:paraId="728D00EA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-Ice hockey</w:t>
            </w:r>
          </w:p>
        </w:tc>
        <w:tc>
          <w:tcPr>
            <w:tcW w:w="1065" w:type="dxa"/>
          </w:tcPr>
          <w:p w14:paraId="2668F9FC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50C" w:rsidRPr="002C4BD2" w14:paraId="391EFA03" w14:textId="77777777" w:rsidTr="007A33A4">
        <w:tc>
          <w:tcPr>
            <w:tcW w:w="1260" w:type="dxa"/>
          </w:tcPr>
          <w:p w14:paraId="6C109409" w14:textId="43FD9BD8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 xml:space="preserve">Albayrak (2020) </w:t>
            </w:r>
            <w:r w:rsidR="002C4BD2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2C4BD2" w:rsidRPr="002C4B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4BD2">
              <w:rPr>
                <w:rFonts w:ascii="Times New Roman" w:hAnsi="Times New Roman" w:cs="Times New Roman"/>
                <w:sz w:val="20"/>
                <w:szCs w:val="20"/>
              </w:rPr>
              <w:t>6]</w:t>
            </w:r>
          </w:p>
        </w:tc>
        <w:tc>
          <w:tcPr>
            <w:tcW w:w="1212" w:type="dxa"/>
          </w:tcPr>
          <w:p w14:paraId="530C0CB0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Retrospective study</w:t>
            </w:r>
          </w:p>
        </w:tc>
        <w:tc>
          <w:tcPr>
            <w:tcW w:w="1130" w:type="dxa"/>
          </w:tcPr>
          <w:p w14:paraId="104F99AD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0" w:type="dxa"/>
          </w:tcPr>
          <w:p w14:paraId="58C73E3D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130" w:type="dxa"/>
          </w:tcPr>
          <w:p w14:paraId="6EAB936F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55" w:type="dxa"/>
          </w:tcPr>
          <w:p w14:paraId="4743EB08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28.3 ± 7.8</w:t>
            </w:r>
          </w:p>
        </w:tc>
        <w:tc>
          <w:tcPr>
            <w:tcW w:w="1125" w:type="dxa"/>
          </w:tcPr>
          <w:p w14:paraId="139C665A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32:1</w:t>
            </w:r>
          </w:p>
        </w:tc>
        <w:tc>
          <w:tcPr>
            <w:tcW w:w="1137" w:type="dxa"/>
          </w:tcPr>
          <w:p w14:paraId="720F595E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15.8 weeks</w:t>
            </w:r>
          </w:p>
        </w:tc>
        <w:tc>
          <w:tcPr>
            <w:tcW w:w="980" w:type="dxa"/>
          </w:tcPr>
          <w:p w14:paraId="51E460B6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Four-strand hamstring</w:t>
            </w:r>
          </w:p>
          <w:p w14:paraId="415EFFCE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74886BEE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47.3 ± 9.4 months</w:t>
            </w:r>
          </w:p>
        </w:tc>
        <w:tc>
          <w:tcPr>
            <w:tcW w:w="1041" w:type="dxa"/>
          </w:tcPr>
          <w:p w14:paraId="30A19175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Stable RAMP</w:t>
            </w:r>
          </w:p>
        </w:tc>
        <w:tc>
          <w:tcPr>
            <w:tcW w:w="1065" w:type="dxa"/>
          </w:tcPr>
          <w:p w14:paraId="4156030E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 xml:space="preserve">-Football </w:t>
            </w:r>
          </w:p>
          <w:p w14:paraId="1BC009DA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 xml:space="preserve">-Basketball </w:t>
            </w:r>
          </w:p>
          <w:p w14:paraId="3146BAE6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 xml:space="preserve">-Combat sports </w:t>
            </w:r>
          </w:p>
        </w:tc>
        <w:tc>
          <w:tcPr>
            <w:tcW w:w="1065" w:type="dxa"/>
          </w:tcPr>
          <w:p w14:paraId="017CE712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-Football (level 1)</w:t>
            </w:r>
          </w:p>
          <w:p w14:paraId="2FB94507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-Basketball (level 1)</w:t>
            </w:r>
          </w:p>
          <w:p w14:paraId="7199ECD1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-Combat sports (level 2)</w:t>
            </w:r>
          </w:p>
        </w:tc>
      </w:tr>
    </w:tbl>
    <w:p w14:paraId="746A0C7E" w14:textId="77777777" w:rsidR="00B1750C" w:rsidRPr="002C4BD2" w:rsidRDefault="00B1750C" w:rsidP="00B1750C">
      <w:pPr>
        <w:rPr>
          <w:rFonts w:ascii="Times New Roman" w:hAnsi="Times New Roman" w:cs="Times New Roman"/>
          <w:sz w:val="20"/>
          <w:szCs w:val="20"/>
        </w:rPr>
      </w:pPr>
      <w:r w:rsidRPr="002C4BD2">
        <w:rPr>
          <w:rFonts w:ascii="Times New Roman" w:hAnsi="Times New Roman" w:cs="Times New Roman"/>
          <w:sz w:val="20"/>
          <w:szCs w:val="20"/>
        </w:rPr>
        <w:t>N/A= not available, ACL= anterior cruciate ligament, MINORS= Methodological Index for Nonrandomized Studies, M= male, F= female</w:t>
      </w:r>
    </w:p>
    <w:p w14:paraId="236E41F3" w14:textId="3AD77741" w:rsidR="00B1750C" w:rsidRPr="002C4BD2" w:rsidRDefault="00B1750C" w:rsidP="002C4BD2">
      <w:pPr>
        <w:rPr>
          <w:rFonts w:ascii="Times New Roman" w:hAnsi="Times New Roman" w:cs="Times New Roman"/>
          <w:sz w:val="20"/>
          <w:szCs w:val="20"/>
        </w:rPr>
      </w:pPr>
      <w:r w:rsidRPr="002C4BD2">
        <w:rPr>
          <w:rFonts w:ascii="Times New Roman" w:hAnsi="Times New Roman" w:cs="Times New Roman"/>
          <w:b/>
          <w:bCs/>
          <w:sz w:val="20"/>
          <w:szCs w:val="20"/>
        </w:rPr>
        <w:t>Table 1</w:t>
      </w:r>
      <w:r w:rsidR="002C4BD2" w:rsidRPr="002C4BD2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2C4BD2">
        <w:rPr>
          <w:rFonts w:ascii="Times New Roman" w:hAnsi="Times New Roman" w:cs="Times New Roman"/>
          <w:sz w:val="20"/>
          <w:szCs w:val="20"/>
        </w:rPr>
        <w:t xml:space="preserve"> Demographic of included studies</w:t>
      </w:r>
    </w:p>
    <w:p w14:paraId="2BE993EF" w14:textId="77777777" w:rsidR="005A5E1F" w:rsidRPr="002C4BD2" w:rsidRDefault="005A5E1F" w:rsidP="005A5E1F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5"/>
        <w:gridCol w:w="962"/>
        <w:gridCol w:w="1221"/>
        <w:gridCol w:w="1070"/>
        <w:gridCol w:w="1212"/>
        <w:gridCol w:w="852"/>
        <w:gridCol w:w="718"/>
        <w:gridCol w:w="852"/>
        <w:gridCol w:w="1078"/>
        <w:gridCol w:w="718"/>
        <w:gridCol w:w="677"/>
        <w:gridCol w:w="685"/>
        <w:gridCol w:w="777"/>
        <w:gridCol w:w="1183"/>
      </w:tblGrid>
      <w:tr w:rsidR="005A5E1F" w:rsidRPr="002C4BD2" w14:paraId="5D2B1300" w14:textId="77777777" w:rsidTr="007A33A4">
        <w:tc>
          <w:tcPr>
            <w:tcW w:w="990" w:type="dxa"/>
          </w:tcPr>
          <w:p w14:paraId="3ADCF86A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Author (publication year)</w:t>
            </w:r>
          </w:p>
        </w:tc>
        <w:tc>
          <w:tcPr>
            <w:tcW w:w="3413" w:type="dxa"/>
            <w:gridSpan w:val="3"/>
          </w:tcPr>
          <w:p w14:paraId="4A32C403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Diagnostic RAMP</w:t>
            </w:r>
          </w:p>
        </w:tc>
        <w:tc>
          <w:tcPr>
            <w:tcW w:w="1274" w:type="dxa"/>
          </w:tcPr>
          <w:p w14:paraId="18968833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Type of RAMP</w:t>
            </w:r>
          </w:p>
        </w:tc>
        <w:tc>
          <w:tcPr>
            <w:tcW w:w="892" w:type="dxa"/>
          </w:tcPr>
          <w:p w14:paraId="61F3CF96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Type of sport</w:t>
            </w:r>
          </w:p>
        </w:tc>
        <w:tc>
          <w:tcPr>
            <w:tcW w:w="1642" w:type="dxa"/>
            <w:gridSpan w:val="2"/>
          </w:tcPr>
          <w:p w14:paraId="616F9D22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RAMP management</w:t>
            </w:r>
          </w:p>
        </w:tc>
        <w:tc>
          <w:tcPr>
            <w:tcW w:w="1132" w:type="dxa"/>
          </w:tcPr>
          <w:p w14:paraId="11EC13EC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Rehabilitation protocol</w:t>
            </w:r>
          </w:p>
        </w:tc>
        <w:tc>
          <w:tcPr>
            <w:tcW w:w="794" w:type="dxa"/>
          </w:tcPr>
          <w:p w14:paraId="28C4EDCC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 xml:space="preserve">Return to sport </w:t>
            </w:r>
          </w:p>
        </w:tc>
        <w:tc>
          <w:tcPr>
            <w:tcW w:w="705" w:type="dxa"/>
          </w:tcPr>
          <w:p w14:paraId="25E37344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Timing to return to sport</w:t>
            </w:r>
          </w:p>
        </w:tc>
        <w:tc>
          <w:tcPr>
            <w:tcW w:w="714" w:type="dxa"/>
          </w:tcPr>
          <w:p w14:paraId="21C9CE79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Level of return to sport</w:t>
            </w:r>
          </w:p>
        </w:tc>
        <w:tc>
          <w:tcPr>
            <w:tcW w:w="812" w:type="dxa"/>
          </w:tcPr>
          <w:p w14:paraId="5602B878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Rate of failure</w:t>
            </w:r>
          </w:p>
        </w:tc>
        <w:tc>
          <w:tcPr>
            <w:tcW w:w="1243" w:type="dxa"/>
          </w:tcPr>
          <w:p w14:paraId="416BBC7E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Complication</w:t>
            </w:r>
          </w:p>
        </w:tc>
      </w:tr>
      <w:tr w:rsidR="005A5E1F" w:rsidRPr="002C4BD2" w14:paraId="1B4C6480" w14:textId="77777777" w:rsidTr="007A33A4">
        <w:tc>
          <w:tcPr>
            <w:tcW w:w="990" w:type="dxa"/>
          </w:tcPr>
          <w:p w14:paraId="5884D00C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</w:tcPr>
          <w:p w14:paraId="7A2E4F85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Physical examination</w:t>
            </w:r>
          </w:p>
        </w:tc>
        <w:tc>
          <w:tcPr>
            <w:tcW w:w="1283" w:type="dxa"/>
          </w:tcPr>
          <w:p w14:paraId="5DADA87C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MRI</w:t>
            </w:r>
          </w:p>
        </w:tc>
        <w:tc>
          <w:tcPr>
            <w:tcW w:w="1123" w:type="dxa"/>
          </w:tcPr>
          <w:p w14:paraId="6A2590F5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Arthroscopic examination</w:t>
            </w:r>
          </w:p>
        </w:tc>
        <w:tc>
          <w:tcPr>
            <w:tcW w:w="1274" w:type="dxa"/>
          </w:tcPr>
          <w:p w14:paraId="3E370722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14:paraId="60196E0E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14:paraId="4A9FEC99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Non repair</w:t>
            </w:r>
          </w:p>
        </w:tc>
        <w:tc>
          <w:tcPr>
            <w:tcW w:w="892" w:type="dxa"/>
          </w:tcPr>
          <w:p w14:paraId="7444776E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Repair (repair technique)</w:t>
            </w:r>
          </w:p>
        </w:tc>
        <w:tc>
          <w:tcPr>
            <w:tcW w:w="1132" w:type="dxa"/>
          </w:tcPr>
          <w:p w14:paraId="01A6AC9A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</w:tcPr>
          <w:p w14:paraId="72384A50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487CC02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</w:tcPr>
          <w:p w14:paraId="18AA5227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</w:tcPr>
          <w:p w14:paraId="591E6B86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</w:tcPr>
          <w:p w14:paraId="7F0FC6D9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E1F" w:rsidRPr="002C4BD2" w14:paraId="2F5752E6" w14:textId="77777777" w:rsidTr="007A33A4">
        <w:tc>
          <w:tcPr>
            <w:tcW w:w="990" w:type="dxa"/>
          </w:tcPr>
          <w:p w14:paraId="5CB84B1B" w14:textId="4B68A9D4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Thaunat</w:t>
            </w:r>
            <w:r w:rsidRPr="002C4BD2">
              <w:rPr>
                <w:rFonts w:ascii="Times New Roman" w:hAnsi="Times New Roman" w:cs="Times New Roman"/>
                <w:sz w:val="20"/>
                <w:szCs w:val="20"/>
                <w:cs/>
              </w:rPr>
              <w:t xml:space="preserve"> </w:t>
            </w: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 xml:space="preserve">(2016) </w:t>
            </w:r>
            <w:r w:rsidR="002C4BD2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2C4BD2" w:rsidRPr="002C4BD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2C4BD2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007" w:type="dxa"/>
          </w:tcPr>
          <w:p w14:paraId="25262506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83" w:type="dxa"/>
          </w:tcPr>
          <w:p w14:paraId="43672554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-Preoperative RAMP lesion MRI was not described.</w:t>
            </w:r>
          </w:p>
          <w:p w14:paraId="670FF2A9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 xml:space="preserve">-Confirmed MRI healing after RAMP repair  </w:t>
            </w:r>
          </w:p>
        </w:tc>
        <w:tc>
          <w:tcPr>
            <w:tcW w:w="1123" w:type="dxa"/>
          </w:tcPr>
          <w:p w14:paraId="69DD33DB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-Probes engage the posterior segment of the medial meniscus via anteromedial portal</w:t>
            </w:r>
          </w:p>
          <w:p w14:paraId="661B3910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-direct posteromedial compartment via trans notch approach</w:t>
            </w:r>
          </w:p>
        </w:tc>
        <w:tc>
          <w:tcPr>
            <w:tcW w:w="1274" w:type="dxa"/>
          </w:tcPr>
          <w:p w14:paraId="3D691938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Unstable RAMP</w:t>
            </w:r>
          </w:p>
          <w:p w14:paraId="03F93D3C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1. capsulomeniscal junction</w:t>
            </w:r>
          </w:p>
          <w:p w14:paraId="0BAEC9A4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-red-red zone &lt; 3 mm</w:t>
            </w:r>
          </w:p>
          <w:p w14:paraId="4B7A5DD0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-red-white zone 3-5 mm</w:t>
            </w:r>
          </w:p>
        </w:tc>
        <w:tc>
          <w:tcPr>
            <w:tcW w:w="892" w:type="dxa"/>
          </w:tcPr>
          <w:p w14:paraId="306DC81C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750" w:type="dxa"/>
          </w:tcPr>
          <w:p w14:paraId="7EA2A1F3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892" w:type="dxa"/>
          </w:tcPr>
          <w:p w14:paraId="402BE7EE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ACLR and All-inside suture repair</w:t>
            </w:r>
          </w:p>
          <w:p w14:paraId="6F6D6AA7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(Extended tears use an All-inside with meniscal suture anchor)</w:t>
            </w:r>
          </w:p>
        </w:tc>
        <w:tc>
          <w:tcPr>
            <w:tcW w:w="1132" w:type="dxa"/>
          </w:tcPr>
          <w:p w14:paraId="53A176A9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-0-6 weeks: active and passive range of motion 0- 90 degrees</w:t>
            </w:r>
          </w:p>
          <w:p w14:paraId="7452241B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-0-3 weeks: progressive weight bearing until full weight bearing</w:t>
            </w:r>
          </w:p>
          <w:p w14:paraId="0E402389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-12 weeks: allow to be jogging</w:t>
            </w:r>
          </w:p>
          <w:p w14:paraId="4D9FFED5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- 6 months: pivot activity movement</w:t>
            </w:r>
          </w:p>
          <w:p w14:paraId="0E0016D6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- 9 months: full activity</w:t>
            </w:r>
          </w:p>
        </w:tc>
        <w:tc>
          <w:tcPr>
            <w:tcW w:w="794" w:type="dxa"/>
          </w:tcPr>
          <w:p w14:paraId="3478C0F9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82% of</w:t>
            </w:r>
          </w:p>
          <w:p w14:paraId="178FD0E6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patients</w:t>
            </w:r>
          </w:p>
          <w:p w14:paraId="034DC320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returned</w:t>
            </w:r>
          </w:p>
          <w:p w14:paraId="5943659C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same level activity.</w:t>
            </w:r>
          </w:p>
        </w:tc>
        <w:tc>
          <w:tcPr>
            <w:tcW w:w="705" w:type="dxa"/>
          </w:tcPr>
          <w:p w14:paraId="099DFA5A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9 months</w:t>
            </w:r>
          </w:p>
        </w:tc>
        <w:tc>
          <w:tcPr>
            <w:tcW w:w="714" w:type="dxa"/>
          </w:tcPr>
          <w:p w14:paraId="0C9A0FA9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812" w:type="dxa"/>
          </w:tcPr>
          <w:p w14:paraId="0D578C62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9 meniscal</w:t>
            </w:r>
          </w:p>
          <w:p w14:paraId="72B131BD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revision</w:t>
            </w:r>
          </w:p>
        </w:tc>
        <w:tc>
          <w:tcPr>
            <w:tcW w:w="1243" w:type="dxa"/>
          </w:tcPr>
          <w:p w14:paraId="12CE0AF6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- 2 patients: hematoma of the knee</w:t>
            </w:r>
          </w:p>
          <w:p w14:paraId="0587370B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- 0 patient: neuroma from creating the posteromedial compartment</w:t>
            </w:r>
          </w:p>
        </w:tc>
      </w:tr>
      <w:tr w:rsidR="005A5E1F" w:rsidRPr="002C4BD2" w14:paraId="5C4BC717" w14:textId="77777777" w:rsidTr="007A33A4">
        <w:tc>
          <w:tcPr>
            <w:tcW w:w="990" w:type="dxa"/>
          </w:tcPr>
          <w:p w14:paraId="44141A58" w14:textId="7F07953B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 xml:space="preserve">DePhillipo (2019) </w:t>
            </w:r>
            <w:r w:rsidR="002C4BD2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2C4BD2" w:rsidRPr="002C4B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4BD2">
              <w:rPr>
                <w:rFonts w:ascii="Times New Roman" w:hAnsi="Times New Roman" w:cs="Times New Roman"/>
                <w:sz w:val="20"/>
                <w:szCs w:val="20"/>
              </w:rPr>
              <w:t>0]</w:t>
            </w:r>
          </w:p>
        </w:tc>
        <w:tc>
          <w:tcPr>
            <w:tcW w:w="1007" w:type="dxa"/>
          </w:tcPr>
          <w:p w14:paraId="5243852C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- 25% pivot shift test grade III</w:t>
            </w:r>
          </w:p>
          <w:p w14:paraId="0358D5B6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-22.2% Lachman test grade III</w:t>
            </w:r>
          </w:p>
        </w:tc>
        <w:tc>
          <w:tcPr>
            <w:tcW w:w="1283" w:type="dxa"/>
          </w:tcPr>
          <w:p w14:paraId="020B49BD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-High-intensity signal between </w:t>
            </w: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posterior horn of medial meniscus and posteromedial capsule</w:t>
            </w:r>
          </w:p>
          <w:p w14:paraId="061887FE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-posteromedial tibial bruise</w:t>
            </w:r>
          </w:p>
        </w:tc>
        <w:tc>
          <w:tcPr>
            <w:tcW w:w="1123" w:type="dxa"/>
          </w:tcPr>
          <w:p w14:paraId="7625D4D1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-67% the modified Gillquist view</w:t>
            </w:r>
          </w:p>
          <w:p w14:paraId="246259F1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-8% accessory posteromedial portal</w:t>
            </w:r>
          </w:p>
        </w:tc>
        <w:tc>
          <w:tcPr>
            <w:tcW w:w="1274" w:type="dxa"/>
          </w:tcPr>
          <w:p w14:paraId="6C213F33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Unstable RAMP</w:t>
            </w:r>
          </w:p>
          <w:p w14:paraId="528280C3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 xml:space="preserve">1.Extent of the tear </w:t>
            </w: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(complete torn)</w:t>
            </w:r>
          </w:p>
          <w:p w14:paraId="73928EC8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2.probe check the posteromedial meniscal stability</w:t>
            </w:r>
          </w:p>
          <w:p w14:paraId="587C759B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 xml:space="preserve">3.tear size &gt; 2.5 cm in length  </w:t>
            </w:r>
          </w:p>
        </w:tc>
        <w:tc>
          <w:tcPr>
            <w:tcW w:w="892" w:type="dxa"/>
          </w:tcPr>
          <w:p w14:paraId="39B8AB54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N/A</w:t>
            </w:r>
          </w:p>
        </w:tc>
        <w:tc>
          <w:tcPr>
            <w:tcW w:w="750" w:type="dxa"/>
          </w:tcPr>
          <w:p w14:paraId="7C917E31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 xml:space="preserve">-8% no required to </w:t>
            </w: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repair RAMP lesion</w:t>
            </w:r>
          </w:p>
        </w:tc>
        <w:tc>
          <w:tcPr>
            <w:tcW w:w="892" w:type="dxa"/>
          </w:tcPr>
          <w:p w14:paraId="74A32558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-66.7% All -inside suture </w:t>
            </w: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technique</w:t>
            </w:r>
          </w:p>
          <w:p w14:paraId="31DC9170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-22.2% inside-out technique</w:t>
            </w:r>
          </w:p>
          <w:p w14:paraId="75C441E3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-2.7% hybrid technique</w:t>
            </w:r>
          </w:p>
        </w:tc>
        <w:tc>
          <w:tcPr>
            <w:tcW w:w="1132" w:type="dxa"/>
          </w:tcPr>
          <w:p w14:paraId="05209742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-2-4 weeks weightbearing as </w:t>
            </w: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tolerated with crutches</w:t>
            </w:r>
          </w:p>
        </w:tc>
        <w:tc>
          <w:tcPr>
            <w:tcW w:w="794" w:type="dxa"/>
          </w:tcPr>
          <w:p w14:paraId="4E5760C5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N/A</w:t>
            </w:r>
          </w:p>
        </w:tc>
        <w:tc>
          <w:tcPr>
            <w:tcW w:w="705" w:type="dxa"/>
          </w:tcPr>
          <w:p w14:paraId="09283C56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- 7-8 months (36%</w:t>
            </w: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)</w:t>
            </w:r>
          </w:p>
          <w:p w14:paraId="679F6FC1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-6-7 months (33%)</w:t>
            </w:r>
          </w:p>
          <w:p w14:paraId="6A8F2803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 &gt;9 months (25%)</w:t>
            </w:r>
          </w:p>
          <w:p w14:paraId="10FEE052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- 5-6 months (6%)</w:t>
            </w:r>
          </w:p>
        </w:tc>
        <w:tc>
          <w:tcPr>
            <w:tcW w:w="714" w:type="dxa"/>
          </w:tcPr>
          <w:p w14:paraId="1CF06C7A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N/A</w:t>
            </w:r>
          </w:p>
        </w:tc>
        <w:tc>
          <w:tcPr>
            <w:tcW w:w="812" w:type="dxa"/>
          </w:tcPr>
          <w:p w14:paraId="4E7E511F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43" w:type="dxa"/>
          </w:tcPr>
          <w:p w14:paraId="5EFAF311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5A5E1F" w:rsidRPr="002C4BD2" w14:paraId="19B2C3D5" w14:textId="77777777" w:rsidTr="007A33A4">
        <w:tc>
          <w:tcPr>
            <w:tcW w:w="990" w:type="dxa"/>
          </w:tcPr>
          <w:p w14:paraId="6221971E" w14:textId="4DD3BFA0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 xml:space="preserve">DePhillipo (2020) </w:t>
            </w:r>
            <w:r w:rsidR="002C4BD2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2C4BD2" w:rsidRPr="002C4B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4BD2">
              <w:rPr>
                <w:rFonts w:ascii="Times New Roman" w:hAnsi="Times New Roman" w:cs="Times New Roman"/>
                <w:sz w:val="20"/>
                <w:szCs w:val="20"/>
              </w:rPr>
              <w:t>5]</w:t>
            </w:r>
          </w:p>
        </w:tc>
        <w:tc>
          <w:tcPr>
            <w:tcW w:w="1007" w:type="dxa"/>
          </w:tcPr>
          <w:p w14:paraId="3DAF4AF7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-Lachman test grade III (Isolated</w:t>
            </w:r>
          </w:p>
          <w:p w14:paraId="08DBC33F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ACLR (6%) and Combined ACLR</w:t>
            </w:r>
          </w:p>
          <w:p w14:paraId="71DDEF5F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and Meniscus</w:t>
            </w:r>
          </w:p>
          <w:p w14:paraId="6A350526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Ramp Repair (44%))</w:t>
            </w:r>
          </w:p>
          <w:p w14:paraId="0F13638A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-Pivot shift grade III (Isolated</w:t>
            </w:r>
          </w:p>
          <w:p w14:paraId="75DE6BB6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ACLR (12%) and Combined ACLR</w:t>
            </w:r>
          </w:p>
          <w:p w14:paraId="70D7295D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 xml:space="preserve">and </w:t>
            </w: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Meniscus</w:t>
            </w:r>
          </w:p>
          <w:p w14:paraId="095AC58E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Ramp Repair (18%))</w:t>
            </w:r>
          </w:p>
          <w:p w14:paraId="7A599A4B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5A813AE9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N/A</w:t>
            </w:r>
          </w:p>
        </w:tc>
        <w:tc>
          <w:tcPr>
            <w:tcW w:w="1123" w:type="dxa"/>
          </w:tcPr>
          <w:p w14:paraId="2ABDECAA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-The modified Gillquist view</w:t>
            </w:r>
          </w:p>
        </w:tc>
        <w:tc>
          <w:tcPr>
            <w:tcW w:w="1274" w:type="dxa"/>
          </w:tcPr>
          <w:p w14:paraId="532CFE70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Unstable RAMP</w:t>
            </w:r>
          </w:p>
          <w:p w14:paraId="0029EFE0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1.probe checked the degree displacement</w:t>
            </w:r>
          </w:p>
          <w:p w14:paraId="63E4080A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(Push against the posteromedial capsular</w:t>
            </w:r>
          </w:p>
          <w:p w14:paraId="3E155328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attachment)</w:t>
            </w:r>
          </w:p>
          <w:p w14:paraId="5324007E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 xml:space="preserve">2.complete torn </w:t>
            </w:r>
          </w:p>
        </w:tc>
        <w:tc>
          <w:tcPr>
            <w:tcW w:w="892" w:type="dxa"/>
          </w:tcPr>
          <w:p w14:paraId="2733CF3F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-Skiing</w:t>
            </w:r>
          </w:p>
          <w:p w14:paraId="09A265D4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-Basketball</w:t>
            </w:r>
          </w:p>
          <w:p w14:paraId="3629237F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-Volleyball</w:t>
            </w:r>
          </w:p>
          <w:p w14:paraId="6343A2CA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-Material arts</w:t>
            </w:r>
          </w:p>
          <w:p w14:paraId="34C90F8D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-Football</w:t>
            </w:r>
          </w:p>
          <w:p w14:paraId="20666AD8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-Soccer</w:t>
            </w:r>
          </w:p>
          <w:p w14:paraId="141D930C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-Ice hockey</w:t>
            </w:r>
          </w:p>
        </w:tc>
        <w:tc>
          <w:tcPr>
            <w:tcW w:w="750" w:type="dxa"/>
          </w:tcPr>
          <w:p w14:paraId="4D9EFE23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892" w:type="dxa"/>
          </w:tcPr>
          <w:p w14:paraId="67886931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-inside-out technique (vertical mattress technique)</w:t>
            </w:r>
          </w:p>
        </w:tc>
        <w:tc>
          <w:tcPr>
            <w:tcW w:w="1132" w:type="dxa"/>
          </w:tcPr>
          <w:p w14:paraId="77386CE4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 allowed to bear weight as tolerated</w:t>
            </w:r>
          </w:p>
          <w:p w14:paraId="4AB65CD7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 early range of</w:t>
            </w:r>
          </w:p>
          <w:p w14:paraId="5114813E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motion and muscle reactivation</w:t>
            </w:r>
          </w:p>
          <w:p w14:paraId="1AAEF8E6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-4 months straight-ahead running exercises</w:t>
            </w:r>
          </w:p>
          <w:p w14:paraId="458F4D12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-6 months Gradual return to</w:t>
            </w:r>
          </w:p>
          <w:p w14:paraId="258C8A40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play progression</w:t>
            </w:r>
          </w:p>
          <w:p w14:paraId="1BA08382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 xml:space="preserve">-7-9 months Return to </w:t>
            </w: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sport when normal strength, stability, and knee ROM</w:t>
            </w:r>
          </w:p>
        </w:tc>
        <w:tc>
          <w:tcPr>
            <w:tcW w:w="794" w:type="dxa"/>
          </w:tcPr>
          <w:p w14:paraId="77E1C5ED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-ACLR with ramp repair group (84%)</w:t>
            </w:r>
          </w:p>
          <w:p w14:paraId="2B72FBAD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-the</w:t>
            </w:r>
          </w:p>
          <w:p w14:paraId="752DE8F2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isolated ACLR group (90%))</w:t>
            </w:r>
          </w:p>
        </w:tc>
        <w:tc>
          <w:tcPr>
            <w:tcW w:w="705" w:type="dxa"/>
          </w:tcPr>
          <w:p w14:paraId="7D4E8897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-7-9 months</w:t>
            </w:r>
          </w:p>
        </w:tc>
        <w:tc>
          <w:tcPr>
            <w:tcW w:w="714" w:type="dxa"/>
          </w:tcPr>
          <w:p w14:paraId="48DB12A6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Lower level:</w:t>
            </w:r>
          </w:p>
          <w:p w14:paraId="176745A5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 the</w:t>
            </w:r>
          </w:p>
          <w:p w14:paraId="6FE78E86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isolated ACLR group 8%</w:t>
            </w:r>
          </w:p>
          <w:p w14:paraId="2153A4BD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-ACLR with ramp repair group 12%</w:t>
            </w:r>
          </w:p>
          <w:p w14:paraId="20E3BC75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C18727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Same level:</w:t>
            </w:r>
          </w:p>
          <w:p w14:paraId="2A6ADB48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 the</w:t>
            </w:r>
          </w:p>
          <w:p w14:paraId="606B1326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isolated ACL</w:t>
            </w: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 group 90%</w:t>
            </w:r>
          </w:p>
          <w:p w14:paraId="06CA8947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-ACLR with ramp repair group 84%</w:t>
            </w:r>
          </w:p>
          <w:p w14:paraId="23010E8F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984C67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higher level:</w:t>
            </w:r>
          </w:p>
          <w:p w14:paraId="3FB7FE0F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 the</w:t>
            </w:r>
          </w:p>
          <w:p w14:paraId="109A5BFF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isolated ACLR group 2%</w:t>
            </w:r>
          </w:p>
          <w:p w14:paraId="0CC7F140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-ACLR with ramp repair group 4%</w:t>
            </w:r>
          </w:p>
          <w:p w14:paraId="6D7ECCC9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</w:tcPr>
          <w:p w14:paraId="34831F20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-One</w:t>
            </w:r>
          </w:p>
          <w:p w14:paraId="254DDBE1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Patient: failed inside-out meniscus ramp repair</w:t>
            </w:r>
          </w:p>
          <w:p w14:paraId="36F904A1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(2%)</w:t>
            </w:r>
          </w:p>
          <w:p w14:paraId="0A336FAE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-One patient: partial retear of the meniscus</w:t>
            </w:r>
          </w:p>
          <w:p w14:paraId="72501BDB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ramp repair (2%)</w:t>
            </w:r>
          </w:p>
          <w:p w14:paraId="0649A2DD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</w:tcPr>
          <w:p w14:paraId="51F9A6F7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Isolated ACLR</w:t>
            </w:r>
          </w:p>
          <w:p w14:paraId="718731C9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1.Arthrofibrosis</w:t>
            </w:r>
          </w:p>
          <w:p w14:paraId="6A8DE6F9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2.painful hardware</w:t>
            </w:r>
          </w:p>
          <w:p w14:paraId="60E2E181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3.contralateral ACL injury</w:t>
            </w:r>
          </w:p>
          <w:p w14:paraId="7AF20626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4.cartilage lesion</w:t>
            </w:r>
          </w:p>
          <w:p w14:paraId="31E2DC69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2E84AE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Combined ACLR and meniscus ramp repair</w:t>
            </w:r>
          </w:p>
          <w:p w14:paraId="7EA4ED8F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1.Cyclops lesion</w:t>
            </w:r>
          </w:p>
          <w:p w14:paraId="183A8BCD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2. Partial retear of medial</w:t>
            </w:r>
          </w:p>
          <w:p w14:paraId="1911ECE6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meniscal repair</w:t>
            </w:r>
          </w:p>
          <w:p w14:paraId="5FB9FA96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3.Arthrofibrosis</w:t>
            </w:r>
          </w:p>
          <w:p w14:paraId="7CCF2DD2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4.patellar fracture</w:t>
            </w:r>
          </w:p>
          <w:p w14:paraId="331DCF9F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5.lateral knee compartment injury</w:t>
            </w:r>
          </w:p>
        </w:tc>
      </w:tr>
      <w:tr w:rsidR="005A5E1F" w:rsidRPr="002C4BD2" w14:paraId="12E277C5" w14:textId="77777777" w:rsidTr="007A33A4">
        <w:tc>
          <w:tcPr>
            <w:tcW w:w="990" w:type="dxa"/>
          </w:tcPr>
          <w:p w14:paraId="7A0F7746" w14:textId="18AA52C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Albayrak (2020) </w:t>
            </w:r>
            <w:r w:rsidR="002C4BD2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2C4BD2" w:rsidRPr="002C4B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4BD2">
              <w:rPr>
                <w:rFonts w:ascii="Times New Roman" w:hAnsi="Times New Roman" w:cs="Times New Roman"/>
                <w:sz w:val="20"/>
                <w:szCs w:val="20"/>
              </w:rPr>
              <w:t>6]</w:t>
            </w:r>
          </w:p>
        </w:tc>
        <w:tc>
          <w:tcPr>
            <w:tcW w:w="1007" w:type="dxa"/>
          </w:tcPr>
          <w:p w14:paraId="3E5FC1C6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 xml:space="preserve">-Lachman test grade III (ACL injury with stable RAMP </w:t>
            </w: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lesion (42.5%) and ACL injury without RAMP lesion (27.3%))</w:t>
            </w:r>
          </w:p>
          <w:p w14:paraId="7A99A0D1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-Pivot shift grade III (ACL injury with stable RAMP lesion (33.3%) and ACL injury without RAMP lesion (18.2%))</w:t>
            </w:r>
          </w:p>
        </w:tc>
        <w:tc>
          <w:tcPr>
            <w:tcW w:w="1283" w:type="dxa"/>
          </w:tcPr>
          <w:p w14:paraId="72BB7499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Longitudinal mediolateral vertical and/or oblique high</w:t>
            </w:r>
          </w:p>
          <w:p w14:paraId="1C750965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 xml:space="preserve">T2 fluid signal </w:t>
            </w: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intensity between the red–red zone of the</w:t>
            </w:r>
          </w:p>
          <w:p w14:paraId="50F62C40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posterior horn of the medial meniscus and posteromedial</w:t>
            </w:r>
          </w:p>
          <w:p w14:paraId="0F0C74CF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capsule either reaching the superior, inferior, or both</w:t>
            </w:r>
          </w:p>
          <w:p w14:paraId="6BE9EFB4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articular surfaces</w:t>
            </w:r>
          </w:p>
          <w:p w14:paraId="089DC9AD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2. Irregularities along the posterior margin of the medial</w:t>
            </w:r>
          </w:p>
          <w:p w14:paraId="284E99F0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meniscus leading to focal discontinuity or step-like contour</w:t>
            </w:r>
          </w:p>
          <w:p w14:paraId="6A74467B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deformities at the posterior horn peripherally and involving</w:t>
            </w:r>
          </w:p>
          <w:p w14:paraId="09C0C2AA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the meniscocaps</w:t>
            </w: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ular attachments</w:t>
            </w:r>
          </w:p>
          <w:p w14:paraId="42F8AF67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3. Perimeniscal fluid signal intensity within the posteromedial Corner</w:t>
            </w:r>
          </w:p>
          <w:p w14:paraId="596DCC5F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4. Soft tissue oedema between the medial meniscus and</w:t>
            </w:r>
          </w:p>
          <w:p w14:paraId="64463D10" w14:textId="4962B073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 xml:space="preserve">medial collateral ligament </w:t>
            </w:r>
            <w:r w:rsidRPr="002C4BD2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23" w:type="dxa"/>
          </w:tcPr>
          <w:p w14:paraId="75A185DF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-The modified Gillquist view</w:t>
            </w:r>
          </w:p>
        </w:tc>
        <w:tc>
          <w:tcPr>
            <w:tcW w:w="1274" w:type="dxa"/>
          </w:tcPr>
          <w:p w14:paraId="5099ADE7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Stable RAMP</w:t>
            </w:r>
          </w:p>
          <w:p w14:paraId="32B1545B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-no excessive anterior</w:t>
            </w:r>
          </w:p>
          <w:p w14:paraId="57FDEDF1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 xml:space="preserve">translation of the posterior horn of the </w:t>
            </w: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medial meniscus</w:t>
            </w:r>
          </w:p>
          <w:p w14:paraId="439E09F2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probing from the anteromedial portal</w:t>
            </w:r>
          </w:p>
          <w:p w14:paraId="20F06920" w14:textId="3590FC19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 xml:space="preserve">-Type I and II </w:t>
            </w:r>
            <w:r w:rsidRPr="002C4BD2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  <w:t>14</w:t>
            </w:r>
          </w:p>
          <w:p w14:paraId="41FDACCB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DABC1E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Unstable RAMP</w:t>
            </w:r>
          </w:p>
          <w:p w14:paraId="516F929B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 displace into the medial compartment with anteriorly directed probing through an anteromedial</w:t>
            </w:r>
          </w:p>
          <w:p w14:paraId="405817A1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portal</w:t>
            </w:r>
          </w:p>
          <w:p w14:paraId="0E8F54BB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14:paraId="2BB24A39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-football (level 1)</w:t>
            </w:r>
          </w:p>
          <w:p w14:paraId="71D640B3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-Basketball (level 1)</w:t>
            </w:r>
          </w:p>
          <w:p w14:paraId="437D049E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-combat sports (level 2)</w:t>
            </w:r>
          </w:p>
        </w:tc>
        <w:tc>
          <w:tcPr>
            <w:tcW w:w="750" w:type="dxa"/>
          </w:tcPr>
          <w:p w14:paraId="2E270953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Non repair</w:t>
            </w:r>
          </w:p>
        </w:tc>
        <w:tc>
          <w:tcPr>
            <w:tcW w:w="892" w:type="dxa"/>
          </w:tcPr>
          <w:p w14:paraId="2A9D8C85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2" w:type="dxa"/>
          </w:tcPr>
          <w:p w14:paraId="79249C36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 xml:space="preserve">-0-4 weeks on hinge knee brace </w:t>
            </w:r>
          </w:p>
          <w:p w14:paraId="0C89B1EA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-4 weeks full weight-bearing</w:t>
            </w:r>
          </w:p>
          <w:p w14:paraId="197B1FDF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 xml:space="preserve">-3 weeks </w:t>
            </w: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0-90 degrees knee flexion</w:t>
            </w:r>
          </w:p>
          <w:p w14:paraId="23827AE4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- 6 months return to sport</w:t>
            </w:r>
          </w:p>
        </w:tc>
        <w:tc>
          <w:tcPr>
            <w:tcW w:w="794" w:type="dxa"/>
          </w:tcPr>
          <w:p w14:paraId="5FB13E3D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-ACL injury with stable RAMP lesion 75%</w:t>
            </w:r>
          </w:p>
          <w:p w14:paraId="2DAD99F4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 xml:space="preserve">-ACL </w:t>
            </w: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injury without stable RAMP lesion 78%</w:t>
            </w:r>
          </w:p>
          <w:p w14:paraId="77F7FFC7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1C62D8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5C089B29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-ACL injury with stable RAMP lesion </w:t>
            </w: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11.1 ± 4.0 months</w:t>
            </w:r>
          </w:p>
          <w:p w14:paraId="5135518E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-ACL injury without stable RAMP lesion 8.77 ± 2.5 months</w:t>
            </w:r>
          </w:p>
          <w:p w14:paraId="05869EC3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  <w:cs/>
              </w:rPr>
            </w:pPr>
          </w:p>
        </w:tc>
        <w:tc>
          <w:tcPr>
            <w:tcW w:w="714" w:type="dxa"/>
          </w:tcPr>
          <w:p w14:paraId="18856114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Lower level:</w:t>
            </w:r>
          </w:p>
          <w:p w14:paraId="4FEA059F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 xml:space="preserve">-ACL injury with stable RAMP </w:t>
            </w: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lesion 10.7%</w:t>
            </w:r>
          </w:p>
          <w:p w14:paraId="5FE677EE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-ACL injury without stable RAMP lesion 13.33%</w:t>
            </w:r>
          </w:p>
          <w:p w14:paraId="2793D721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B0D584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Same level:</w:t>
            </w:r>
          </w:p>
          <w:p w14:paraId="33FC2290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-ACL injury with stable RAMP lesion 89.3%</w:t>
            </w:r>
          </w:p>
          <w:p w14:paraId="6AC6C0A8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-ACL injury without stable RAMP lesion 86.67%</w:t>
            </w:r>
          </w:p>
          <w:p w14:paraId="65D9DEC5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442193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 xml:space="preserve">No one have a </w:t>
            </w: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higher level</w:t>
            </w:r>
          </w:p>
          <w:p w14:paraId="3AC907D4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</w:tcPr>
          <w:p w14:paraId="4D3E1A92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-Without RAMP</w:t>
            </w:r>
          </w:p>
          <w:p w14:paraId="628E229C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1.Graft failure 1 patient</w:t>
            </w:r>
          </w:p>
        </w:tc>
        <w:tc>
          <w:tcPr>
            <w:tcW w:w="1243" w:type="dxa"/>
          </w:tcPr>
          <w:p w14:paraId="01D2B722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-With RAMP lesion group</w:t>
            </w:r>
          </w:p>
          <w:p w14:paraId="0BC83B84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1.motion limitation 1 patient</w:t>
            </w:r>
          </w:p>
          <w:p w14:paraId="1B9FF838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 xml:space="preserve">2.ACL ruptured </w:t>
            </w: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contralateral side 1 patient</w:t>
            </w:r>
          </w:p>
          <w:p w14:paraId="63024ED4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3.pain related implant 2 patient</w:t>
            </w:r>
          </w:p>
          <w:p w14:paraId="6A970B71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9EF047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-Without RAMP</w:t>
            </w:r>
          </w:p>
          <w:p w14:paraId="4F74A1CB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1.Graft failure 1 patient</w:t>
            </w:r>
          </w:p>
          <w:p w14:paraId="486FC5F5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2.early infection 1 patient</w:t>
            </w:r>
          </w:p>
          <w:p w14:paraId="030A2059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3.pain related implant 1 patient</w:t>
            </w:r>
          </w:p>
          <w:p w14:paraId="3687AFBA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6D51A9" w14:textId="77777777" w:rsidR="005A5E1F" w:rsidRPr="002C4BD2" w:rsidRDefault="005A5E1F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5197CF6" w14:textId="77777777" w:rsidR="005A5E1F" w:rsidRPr="002C4BD2" w:rsidRDefault="005A5E1F" w:rsidP="005A5E1F">
      <w:pPr>
        <w:rPr>
          <w:rFonts w:ascii="Times New Roman" w:hAnsi="Times New Roman" w:cs="Times New Roman"/>
          <w:sz w:val="20"/>
          <w:szCs w:val="20"/>
        </w:rPr>
      </w:pPr>
      <w:r w:rsidRPr="002C4BD2">
        <w:rPr>
          <w:rFonts w:ascii="Times New Roman" w:hAnsi="Times New Roman" w:cs="Times New Roman"/>
          <w:sz w:val="20"/>
          <w:szCs w:val="20"/>
        </w:rPr>
        <w:lastRenderedPageBreak/>
        <w:t>N/A= not available, ACL= anterior cruciate ligament, ACLR= anterior cruciate ligament reconstruction, ROM= range of motion</w:t>
      </w:r>
    </w:p>
    <w:p w14:paraId="506D30AA" w14:textId="5993F708" w:rsidR="00B1750C" w:rsidRPr="002C4BD2" w:rsidRDefault="005A5E1F" w:rsidP="005A5E1F">
      <w:pPr>
        <w:rPr>
          <w:rFonts w:ascii="Times New Roman" w:hAnsi="Times New Roman" w:cs="Angsana New"/>
          <w:sz w:val="20"/>
          <w:szCs w:val="20"/>
          <w:cs/>
        </w:rPr>
        <w:sectPr w:rsidR="00B1750C" w:rsidRPr="002C4BD2" w:rsidSect="00B1750C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2C4BD2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Pr="002C4BD2">
        <w:rPr>
          <w:rFonts w:ascii="Times New Roman" w:hAnsi="Times New Roman" w:cs="Times New Roman"/>
          <w:b/>
          <w:bCs/>
          <w:sz w:val="20"/>
          <w:szCs w:val="20"/>
          <w:cs/>
        </w:rPr>
        <w:t>2</w:t>
      </w:r>
      <w:r w:rsidR="002C4BD2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2C4BD2">
        <w:rPr>
          <w:rFonts w:ascii="Times New Roman" w:hAnsi="Times New Roman" w:cs="Times New Roman"/>
          <w:sz w:val="20"/>
          <w:szCs w:val="20"/>
        </w:rPr>
        <w:t xml:space="preserve"> Summary of Return to sport of included studies</w:t>
      </w:r>
    </w:p>
    <w:tbl>
      <w:tblPr>
        <w:tblStyle w:val="TableGrid"/>
        <w:tblW w:w="21917" w:type="dxa"/>
        <w:tblLook w:val="04A0" w:firstRow="1" w:lastRow="0" w:firstColumn="1" w:lastColumn="0" w:noHBand="0" w:noVBand="1"/>
      </w:tblPr>
      <w:tblGrid>
        <w:gridCol w:w="1183"/>
        <w:gridCol w:w="828"/>
        <w:gridCol w:w="1050"/>
        <w:gridCol w:w="828"/>
        <w:gridCol w:w="828"/>
        <w:gridCol w:w="828"/>
        <w:gridCol w:w="1050"/>
        <w:gridCol w:w="828"/>
        <w:gridCol w:w="1050"/>
        <w:gridCol w:w="566"/>
        <w:gridCol w:w="1050"/>
        <w:gridCol w:w="561"/>
        <w:gridCol w:w="1050"/>
        <w:gridCol w:w="1094"/>
        <w:gridCol w:w="561"/>
        <w:gridCol w:w="1050"/>
        <w:gridCol w:w="828"/>
        <w:gridCol w:w="828"/>
        <w:gridCol w:w="828"/>
        <w:gridCol w:w="828"/>
        <w:gridCol w:w="1050"/>
        <w:gridCol w:w="1050"/>
        <w:gridCol w:w="1050"/>
        <w:gridCol w:w="1050"/>
      </w:tblGrid>
      <w:tr w:rsidR="00B1750C" w:rsidRPr="002C4BD2" w14:paraId="20780DBC" w14:textId="77777777" w:rsidTr="002C4BD2">
        <w:trPr>
          <w:trHeight w:val="576"/>
        </w:trPr>
        <w:tc>
          <w:tcPr>
            <w:tcW w:w="1183" w:type="dxa"/>
          </w:tcPr>
          <w:p w14:paraId="18F52075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Author (publication year)</w:t>
            </w:r>
          </w:p>
        </w:tc>
        <w:tc>
          <w:tcPr>
            <w:tcW w:w="13100" w:type="dxa"/>
            <w:gridSpan w:val="15"/>
          </w:tcPr>
          <w:p w14:paraId="0EEAED11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Functional outcomes evaluation</w:t>
            </w:r>
          </w:p>
        </w:tc>
        <w:tc>
          <w:tcPr>
            <w:tcW w:w="3434" w:type="dxa"/>
            <w:gridSpan w:val="4"/>
          </w:tcPr>
          <w:p w14:paraId="6595605E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ROM</w:t>
            </w:r>
          </w:p>
        </w:tc>
        <w:tc>
          <w:tcPr>
            <w:tcW w:w="4200" w:type="dxa"/>
            <w:gridSpan w:val="4"/>
          </w:tcPr>
          <w:p w14:paraId="2E9EE305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Physical examination</w:t>
            </w:r>
          </w:p>
        </w:tc>
      </w:tr>
      <w:tr w:rsidR="00B1750C" w:rsidRPr="002C4BD2" w14:paraId="01AFBBD4" w14:textId="77777777" w:rsidTr="002C4BD2">
        <w:trPr>
          <w:trHeight w:val="665"/>
        </w:trPr>
        <w:tc>
          <w:tcPr>
            <w:tcW w:w="1183" w:type="dxa"/>
          </w:tcPr>
          <w:p w14:paraId="38B3B3BF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gridSpan w:val="2"/>
          </w:tcPr>
          <w:p w14:paraId="6103870B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SF-12 MCS</w:t>
            </w:r>
          </w:p>
        </w:tc>
        <w:tc>
          <w:tcPr>
            <w:tcW w:w="1656" w:type="dxa"/>
            <w:gridSpan w:val="2"/>
          </w:tcPr>
          <w:p w14:paraId="5F6096F9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SF-12 PCS</w:t>
            </w:r>
          </w:p>
        </w:tc>
        <w:tc>
          <w:tcPr>
            <w:tcW w:w="1878" w:type="dxa"/>
            <w:gridSpan w:val="2"/>
          </w:tcPr>
          <w:p w14:paraId="178CB077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Lysholm</w:t>
            </w:r>
          </w:p>
        </w:tc>
        <w:tc>
          <w:tcPr>
            <w:tcW w:w="1878" w:type="dxa"/>
            <w:gridSpan w:val="2"/>
          </w:tcPr>
          <w:p w14:paraId="0B5A8F30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IKDC</w:t>
            </w:r>
          </w:p>
        </w:tc>
        <w:tc>
          <w:tcPr>
            <w:tcW w:w="1616" w:type="dxa"/>
            <w:gridSpan w:val="2"/>
          </w:tcPr>
          <w:p w14:paraId="2C33E2A1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Tegner activity scale</w:t>
            </w:r>
          </w:p>
        </w:tc>
        <w:tc>
          <w:tcPr>
            <w:tcW w:w="1611" w:type="dxa"/>
            <w:gridSpan w:val="2"/>
          </w:tcPr>
          <w:p w14:paraId="5D8A0B2F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WOMAC</w:t>
            </w:r>
          </w:p>
        </w:tc>
        <w:tc>
          <w:tcPr>
            <w:tcW w:w="1094" w:type="dxa"/>
          </w:tcPr>
          <w:p w14:paraId="13DBFBF8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Anterior knee laxity (side-to-side difference) by Rolimeter (mm)</w:t>
            </w:r>
          </w:p>
        </w:tc>
        <w:tc>
          <w:tcPr>
            <w:tcW w:w="1489" w:type="dxa"/>
            <w:gridSpan w:val="2"/>
          </w:tcPr>
          <w:p w14:paraId="795E102A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Satisfaction</w:t>
            </w:r>
          </w:p>
        </w:tc>
        <w:tc>
          <w:tcPr>
            <w:tcW w:w="1778" w:type="dxa"/>
            <w:gridSpan w:val="2"/>
          </w:tcPr>
          <w:p w14:paraId="289F0881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Flexion</w:t>
            </w:r>
          </w:p>
        </w:tc>
        <w:tc>
          <w:tcPr>
            <w:tcW w:w="1656" w:type="dxa"/>
            <w:gridSpan w:val="2"/>
          </w:tcPr>
          <w:p w14:paraId="78161068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Extension</w:t>
            </w:r>
          </w:p>
        </w:tc>
        <w:tc>
          <w:tcPr>
            <w:tcW w:w="2100" w:type="dxa"/>
            <w:gridSpan w:val="2"/>
          </w:tcPr>
          <w:p w14:paraId="018053EE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Lachman test</w:t>
            </w:r>
          </w:p>
        </w:tc>
        <w:tc>
          <w:tcPr>
            <w:tcW w:w="2100" w:type="dxa"/>
            <w:gridSpan w:val="2"/>
          </w:tcPr>
          <w:p w14:paraId="3320858A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Pivot shift test</w:t>
            </w:r>
          </w:p>
        </w:tc>
      </w:tr>
      <w:tr w:rsidR="002C4BD2" w:rsidRPr="002C4BD2" w14:paraId="4403CC7D" w14:textId="77777777" w:rsidTr="002C4BD2">
        <w:trPr>
          <w:trHeight w:val="251"/>
        </w:trPr>
        <w:tc>
          <w:tcPr>
            <w:tcW w:w="1183" w:type="dxa"/>
          </w:tcPr>
          <w:p w14:paraId="4DC577F0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</w:tcPr>
          <w:p w14:paraId="2B971210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</w:p>
        </w:tc>
        <w:tc>
          <w:tcPr>
            <w:tcW w:w="1050" w:type="dxa"/>
          </w:tcPr>
          <w:p w14:paraId="5D9CB6C5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Post</w:t>
            </w:r>
          </w:p>
        </w:tc>
        <w:tc>
          <w:tcPr>
            <w:tcW w:w="828" w:type="dxa"/>
          </w:tcPr>
          <w:p w14:paraId="601C7DEE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</w:p>
        </w:tc>
        <w:tc>
          <w:tcPr>
            <w:tcW w:w="828" w:type="dxa"/>
          </w:tcPr>
          <w:p w14:paraId="4017EF8C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Post</w:t>
            </w:r>
          </w:p>
        </w:tc>
        <w:tc>
          <w:tcPr>
            <w:tcW w:w="828" w:type="dxa"/>
          </w:tcPr>
          <w:p w14:paraId="714DB0C3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</w:p>
        </w:tc>
        <w:tc>
          <w:tcPr>
            <w:tcW w:w="1050" w:type="dxa"/>
          </w:tcPr>
          <w:p w14:paraId="4C83200D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Post</w:t>
            </w:r>
          </w:p>
        </w:tc>
        <w:tc>
          <w:tcPr>
            <w:tcW w:w="828" w:type="dxa"/>
          </w:tcPr>
          <w:p w14:paraId="5D716C43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</w:p>
        </w:tc>
        <w:tc>
          <w:tcPr>
            <w:tcW w:w="1050" w:type="dxa"/>
          </w:tcPr>
          <w:p w14:paraId="63532280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Post</w:t>
            </w:r>
          </w:p>
        </w:tc>
        <w:tc>
          <w:tcPr>
            <w:tcW w:w="566" w:type="dxa"/>
          </w:tcPr>
          <w:p w14:paraId="075F7261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</w:p>
        </w:tc>
        <w:tc>
          <w:tcPr>
            <w:tcW w:w="1050" w:type="dxa"/>
          </w:tcPr>
          <w:p w14:paraId="73B39999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Post</w:t>
            </w:r>
          </w:p>
        </w:tc>
        <w:tc>
          <w:tcPr>
            <w:tcW w:w="561" w:type="dxa"/>
          </w:tcPr>
          <w:p w14:paraId="4C1882C9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</w:p>
        </w:tc>
        <w:tc>
          <w:tcPr>
            <w:tcW w:w="1050" w:type="dxa"/>
          </w:tcPr>
          <w:p w14:paraId="635E2AC4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Post</w:t>
            </w:r>
          </w:p>
        </w:tc>
        <w:tc>
          <w:tcPr>
            <w:tcW w:w="1094" w:type="dxa"/>
          </w:tcPr>
          <w:p w14:paraId="2E9B8190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14:paraId="1EC63B6B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</w:p>
        </w:tc>
        <w:tc>
          <w:tcPr>
            <w:tcW w:w="928" w:type="dxa"/>
          </w:tcPr>
          <w:p w14:paraId="35E24400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Post</w:t>
            </w:r>
          </w:p>
        </w:tc>
        <w:tc>
          <w:tcPr>
            <w:tcW w:w="950" w:type="dxa"/>
          </w:tcPr>
          <w:p w14:paraId="44577C75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</w:p>
        </w:tc>
        <w:tc>
          <w:tcPr>
            <w:tcW w:w="828" w:type="dxa"/>
          </w:tcPr>
          <w:p w14:paraId="6B4E60C7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Post</w:t>
            </w:r>
          </w:p>
        </w:tc>
        <w:tc>
          <w:tcPr>
            <w:tcW w:w="828" w:type="dxa"/>
          </w:tcPr>
          <w:p w14:paraId="38E3AF0D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</w:p>
        </w:tc>
        <w:tc>
          <w:tcPr>
            <w:tcW w:w="828" w:type="dxa"/>
          </w:tcPr>
          <w:p w14:paraId="11BF49D6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Post</w:t>
            </w:r>
          </w:p>
        </w:tc>
        <w:tc>
          <w:tcPr>
            <w:tcW w:w="1050" w:type="dxa"/>
          </w:tcPr>
          <w:p w14:paraId="72804E7C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</w:p>
        </w:tc>
        <w:tc>
          <w:tcPr>
            <w:tcW w:w="1050" w:type="dxa"/>
          </w:tcPr>
          <w:p w14:paraId="3F4FF0A5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Post</w:t>
            </w:r>
          </w:p>
        </w:tc>
        <w:tc>
          <w:tcPr>
            <w:tcW w:w="1050" w:type="dxa"/>
          </w:tcPr>
          <w:p w14:paraId="78CFBEAF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</w:p>
        </w:tc>
        <w:tc>
          <w:tcPr>
            <w:tcW w:w="1050" w:type="dxa"/>
          </w:tcPr>
          <w:p w14:paraId="54D32A1F" w14:textId="77777777" w:rsidR="00B1750C" w:rsidRPr="002C4BD2" w:rsidRDefault="00B1750C" w:rsidP="007A3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Post</w:t>
            </w:r>
          </w:p>
        </w:tc>
      </w:tr>
      <w:tr w:rsidR="002C4BD2" w:rsidRPr="002C4BD2" w14:paraId="2FDA590E" w14:textId="77777777" w:rsidTr="002C4BD2">
        <w:trPr>
          <w:trHeight w:val="384"/>
        </w:trPr>
        <w:tc>
          <w:tcPr>
            <w:tcW w:w="1183" w:type="dxa"/>
          </w:tcPr>
          <w:p w14:paraId="60C8C075" w14:textId="2412C14A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 xml:space="preserve">Thaunat (2016) </w:t>
            </w:r>
            <w:r w:rsidR="002C4BD2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2C4BD2" w:rsidRPr="002C4BD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2C4BD2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828" w:type="dxa"/>
          </w:tcPr>
          <w:p w14:paraId="108C3BAC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050" w:type="dxa"/>
          </w:tcPr>
          <w:p w14:paraId="6ED9EFED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828" w:type="dxa"/>
          </w:tcPr>
          <w:p w14:paraId="39D64B03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828" w:type="dxa"/>
          </w:tcPr>
          <w:p w14:paraId="6D088BED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828" w:type="dxa"/>
          </w:tcPr>
          <w:p w14:paraId="7BECFB21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050" w:type="dxa"/>
          </w:tcPr>
          <w:p w14:paraId="4D6B20E4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828" w:type="dxa"/>
          </w:tcPr>
          <w:p w14:paraId="21D9A711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63.8 ± 13.5 (27-92)</w:t>
            </w:r>
          </w:p>
        </w:tc>
        <w:tc>
          <w:tcPr>
            <w:tcW w:w="1050" w:type="dxa"/>
          </w:tcPr>
          <w:p w14:paraId="35EB01A8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85.7 ± 12 (43-100)</w:t>
            </w:r>
          </w:p>
        </w:tc>
        <w:tc>
          <w:tcPr>
            <w:tcW w:w="566" w:type="dxa"/>
          </w:tcPr>
          <w:p w14:paraId="13AB52A4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7.2 ± 1.92</w:t>
            </w:r>
          </w:p>
        </w:tc>
        <w:tc>
          <w:tcPr>
            <w:tcW w:w="1050" w:type="dxa"/>
          </w:tcPr>
          <w:p w14:paraId="2E8E116E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6.9 ± 1.72</w:t>
            </w:r>
          </w:p>
          <w:p w14:paraId="1B3F771D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14:paraId="6CC95851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050" w:type="dxa"/>
          </w:tcPr>
          <w:p w14:paraId="034E11E4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094" w:type="dxa"/>
          </w:tcPr>
          <w:p w14:paraId="6511120C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7 mm (5 to 14 mm)</w:t>
            </w:r>
          </w:p>
        </w:tc>
        <w:tc>
          <w:tcPr>
            <w:tcW w:w="561" w:type="dxa"/>
          </w:tcPr>
          <w:p w14:paraId="5AEE355F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928" w:type="dxa"/>
          </w:tcPr>
          <w:p w14:paraId="7F825446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950" w:type="dxa"/>
          </w:tcPr>
          <w:p w14:paraId="45E80EAB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828" w:type="dxa"/>
          </w:tcPr>
          <w:p w14:paraId="72879F18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828" w:type="dxa"/>
          </w:tcPr>
          <w:p w14:paraId="57EF47EA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828" w:type="dxa"/>
          </w:tcPr>
          <w:p w14:paraId="11A6C0F0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050" w:type="dxa"/>
          </w:tcPr>
          <w:p w14:paraId="4544845D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050" w:type="dxa"/>
          </w:tcPr>
          <w:p w14:paraId="7096C111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050" w:type="dxa"/>
          </w:tcPr>
          <w:p w14:paraId="6279AED9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050" w:type="dxa"/>
          </w:tcPr>
          <w:p w14:paraId="71359677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2C4BD2" w:rsidRPr="002C4BD2" w14:paraId="4C314677" w14:textId="77777777" w:rsidTr="002C4BD2">
        <w:trPr>
          <w:trHeight w:val="384"/>
        </w:trPr>
        <w:tc>
          <w:tcPr>
            <w:tcW w:w="1183" w:type="dxa"/>
          </w:tcPr>
          <w:p w14:paraId="66973172" w14:textId="2972AF5A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DePhillipo (2020)</w:t>
            </w:r>
            <w:r w:rsidRPr="002C4BD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="002C4BD2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2C4BD2" w:rsidRPr="002C4B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4BD2">
              <w:rPr>
                <w:rFonts w:ascii="Times New Roman" w:hAnsi="Times New Roman" w:cs="Times New Roman"/>
                <w:sz w:val="20"/>
                <w:szCs w:val="20"/>
              </w:rPr>
              <w:t>5]</w:t>
            </w:r>
          </w:p>
        </w:tc>
        <w:tc>
          <w:tcPr>
            <w:tcW w:w="828" w:type="dxa"/>
          </w:tcPr>
          <w:p w14:paraId="5150C791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050" w:type="dxa"/>
          </w:tcPr>
          <w:p w14:paraId="2304E7C2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Combined ACLR and Meniscus Ramp Repair:</w:t>
            </w:r>
          </w:p>
          <w:p w14:paraId="0E3BCE67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57 median [Q1=51, Q3=59]</w:t>
            </w:r>
          </w:p>
          <w:p w14:paraId="2769FF7D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7B2F7C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Isolated</w:t>
            </w:r>
          </w:p>
          <w:p w14:paraId="18D9700E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ACLR:</w:t>
            </w:r>
          </w:p>
          <w:p w14:paraId="68AC91EA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57 median [Q1=54, Q3=58]</w:t>
            </w:r>
          </w:p>
        </w:tc>
        <w:tc>
          <w:tcPr>
            <w:tcW w:w="828" w:type="dxa"/>
          </w:tcPr>
          <w:p w14:paraId="3F66AD20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828" w:type="dxa"/>
          </w:tcPr>
          <w:p w14:paraId="610C8CC6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828" w:type="dxa"/>
          </w:tcPr>
          <w:p w14:paraId="39817434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050" w:type="dxa"/>
          </w:tcPr>
          <w:p w14:paraId="3653B46D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Combined ACLR and Meniscus Ramp Repair:</w:t>
            </w:r>
          </w:p>
          <w:p w14:paraId="443D82A7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86 median [Q1=80, Q3=95]</w:t>
            </w:r>
          </w:p>
          <w:p w14:paraId="06CA1E55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FA584E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Isolated</w:t>
            </w:r>
          </w:p>
          <w:p w14:paraId="291A6F5F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ACLR:</w:t>
            </w:r>
          </w:p>
          <w:p w14:paraId="762F4A7A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85 median [Q1=80, Q3=94]</w:t>
            </w:r>
          </w:p>
        </w:tc>
        <w:tc>
          <w:tcPr>
            <w:tcW w:w="828" w:type="dxa"/>
          </w:tcPr>
          <w:p w14:paraId="0F4928A7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050" w:type="dxa"/>
          </w:tcPr>
          <w:p w14:paraId="04A94BBD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Combined ACLR and Meniscus Ramp Repair:</w:t>
            </w:r>
          </w:p>
          <w:p w14:paraId="6DCB468F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78 median [Q1= 72, Q3= 80]</w:t>
            </w:r>
          </w:p>
          <w:p w14:paraId="2A5EBEEE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CF885B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Isolated</w:t>
            </w:r>
          </w:p>
          <w:p w14:paraId="27AEC102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ACLR:</w:t>
            </w:r>
          </w:p>
          <w:p w14:paraId="762F3B2C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77 median [Q1= 72, Q3= 84]</w:t>
            </w:r>
          </w:p>
        </w:tc>
        <w:tc>
          <w:tcPr>
            <w:tcW w:w="566" w:type="dxa"/>
          </w:tcPr>
          <w:p w14:paraId="0CFDF1D6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050" w:type="dxa"/>
          </w:tcPr>
          <w:p w14:paraId="0533531F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Combined ACLR and Meniscus Ramp Repair:</w:t>
            </w:r>
          </w:p>
          <w:p w14:paraId="1D087E77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8 median [Q1= 6, Q3= 9]</w:t>
            </w:r>
          </w:p>
          <w:p w14:paraId="69E86987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255921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Isolated</w:t>
            </w:r>
          </w:p>
          <w:p w14:paraId="77D90ED7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ACLR:</w:t>
            </w:r>
          </w:p>
          <w:p w14:paraId="5D1B55B9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7 median [Q1= 6, Q3= 8]</w:t>
            </w:r>
          </w:p>
        </w:tc>
        <w:tc>
          <w:tcPr>
            <w:tcW w:w="561" w:type="dxa"/>
          </w:tcPr>
          <w:p w14:paraId="7CB491B7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050" w:type="dxa"/>
          </w:tcPr>
          <w:p w14:paraId="36470ED2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Combined ACLR and Meniscus Ramp Repair:</w:t>
            </w:r>
          </w:p>
          <w:p w14:paraId="5F105326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2 median [Q1=0, Q3=8]</w:t>
            </w:r>
          </w:p>
          <w:p w14:paraId="1052AFE0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31DA66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Isolated</w:t>
            </w:r>
          </w:p>
          <w:p w14:paraId="46945378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ACLR:</w:t>
            </w:r>
          </w:p>
          <w:p w14:paraId="43530952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2 median [Q1=0, Q3=7]</w:t>
            </w:r>
          </w:p>
        </w:tc>
        <w:tc>
          <w:tcPr>
            <w:tcW w:w="1094" w:type="dxa"/>
          </w:tcPr>
          <w:p w14:paraId="639969C0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561" w:type="dxa"/>
          </w:tcPr>
          <w:p w14:paraId="0F7AD839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928" w:type="dxa"/>
          </w:tcPr>
          <w:p w14:paraId="76C5C4A4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Combined ACLR and Meniscus Ramp Repair:</w:t>
            </w:r>
          </w:p>
          <w:p w14:paraId="1C15C1CA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9 median [Q1=8, Q3=10]</w:t>
            </w:r>
          </w:p>
          <w:p w14:paraId="09B81FC1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A6D985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Isolated</w:t>
            </w:r>
          </w:p>
          <w:p w14:paraId="56F3BC2D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ACLR:</w:t>
            </w:r>
          </w:p>
          <w:p w14:paraId="5F86E3BC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9 median [Q1=8, Q3=10]</w:t>
            </w:r>
          </w:p>
        </w:tc>
        <w:tc>
          <w:tcPr>
            <w:tcW w:w="950" w:type="dxa"/>
          </w:tcPr>
          <w:p w14:paraId="54DB97E2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828" w:type="dxa"/>
          </w:tcPr>
          <w:p w14:paraId="075EAB39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828" w:type="dxa"/>
          </w:tcPr>
          <w:p w14:paraId="55DB4F52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828" w:type="dxa"/>
          </w:tcPr>
          <w:p w14:paraId="597EDDAC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050" w:type="dxa"/>
          </w:tcPr>
          <w:p w14:paraId="730AE400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Isolated</w:t>
            </w:r>
          </w:p>
          <w:p w14:paraId="03D9D003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ACLR:</w:t>
            </w:r>
          </w:p>
          <w:p w14:paraId="560DA7E1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Grade I = 2%</w:t>
            </w:r>
          </w:p>
          <w:p w14:paraId="64EE43B2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Grade II = 92%</w:t>
            </w:r>
          </w:p>
          <w:p w14:paraId="23A7DF27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Grade III = 6%</w:t>
            </w:r>
          </w:p>
          <w:p w14:paraId="7A28ACB0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75CDC2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Combined ACLR and Meniscus Ramp Repair:</w:t>
            </w:r>
          </w:p>
          <w:p w14:paraId="13633BA9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Grade I = 0%</w:t>
            </w:r>
          </w:p>
          <w:p w14:paraId="60F46E00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Grade II = 56%</w:t>
            </w:r>
          </w:p>
          <w:p w14:paraId="1C2CEB44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Grade III = 44%</w:t>
            </w:r>
          </w:p>
        </w:tc>
        <w:tc>
          <w:tcPr>
            <w:tcW w:w="1050" w:type="dxa"/>
          </w:tcPr>
          <w:p w14:paraId="024A4D73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Isolated</w:t>
            </w:r>
          </w:p>
          <w:p w14:paraId="7789DBA9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ACLR:</w:t>
            </w:r>
          </w:p>
          <w:p w14:paraId="7EBCED03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Grade 0 = 88%</w:t>
            </w:r>
          </w:p>
          <w:p w14:paraId="30DD7E5B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Grade I= 12%</w:t>
            </w:r>
          </w:p>
          <w:p w14:paraId="3C45430C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2A02F8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Combined ACLR and Meniscus Ramp Repair:</w:t>
            </w:r>
          </w:p>
          <w:p w14:paraId="0EC0B53F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Grade 0 = 90%</w:t>
            </w:r>
          </w:p>
          <w:p w14:paraId="11F5DA80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Grade I= 10%</w:t>
            </w:r>
          </w:p>
          <w:p w14:paraId="1FCC2536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14:paraId="75BC51BF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Isolated</w:t>
            </w:r>
          </w:p>
          <w:p w14:paraId="5498F104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ACLR:</w:t>
            </w:r>
          </w:p>
          <w:p w14:paraId="0A62FE33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Grade I = 4%</w:t>
            </w:r>
          </w:p>
          <w:p w14:paraId="12BE928B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Grade II = 84%</w:t>
            </w:r>
          </w:p>
          <w:p w14:paraId="340891D3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Grade III = 12%</w:t>
            </w:r>
          </w:p>
          <w:p w14:paraId="47CF0F63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8E2A98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Combined ACLR and Meniscus Ramp Repair:</w:t>
            </w:r>
          </w:p>
          <w:p w14:paraId="0204FD10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Grade I = 0%</w:t>
            </w:r>
          </w:p>
          <w:p w14:paraId="146CFB66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Grade II = 62%</w:t>
            </w:r>
          </w:p>
          <w:p w14:paraId="33F52E75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Grade III = 38%</w:t>
            </w:r>
          </w:p>
        </w:tc>
        <w:tc>
          <w:tcPr>
            <w:tcW w:w="1050" w:type="dxa"/>
          </w:tcPr>
          <w:p w14:paraId="60040409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Isolated</w:t>
            </w:r>
          </w:p>
          <w:p w14:paraId="151BBCB1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ACLR:</w:t>
            </w:r>
          </w:p>
          <w:p w14:paraId="64228999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Grade 0 = 100%</w:t>
            </w:r>
          </w:p>
          <w:p w14:paraId="1C058E5F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33998C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Combined ACLR and Meniscus Ramp Repair:</w:t>
            </w:r>
          </w:p>
          <w:p w14:paraId="02964AD5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Grade 0 = 100%</w:t>
            </w:r>
          </w:p>
          <w:p w14:paraId="5AC17EFB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BD2" w:rsidRPr="002C4BD2" w14:paraId="1D91F2D8" w14:textId="77777777" w:rsidTr="002C4BD2">
        <w:trPr>
          <w:trHeight w:val="384"/>
        </w:trPr>
        <w:tc>
          <w:tcPr>
            <w:tcW w:w="1183" w:type="dxa"/>
          </w:tcPr>
          <w:p w14:paraId="19692790" w14:textId="5D323975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 xml:space="preserve">Albayrak (2020) </w:t>
            </w:r>
            <w:r w:rsidR="002C4BD2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2C4BD2" w:rsidRPr="002C4B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4BD2">
              <w:rPr>
                <w:rFonts w:ascii="Times New Roman" w:hAnsi="Times New Roman" w:cs="Times New Roman"/>
                <w:sz w:val="20"/>
                <w:szCs w:val="20"/>
              </w:rPr>
              <w:t>6]</w:t>
            </w:r>
          </w:p>
        </w:tc>
        <w:tc>
          <w:tcPr>
            <w:tcW w:w="828" w:type="dxa"/>
          </w:tcPr>
          <w:p w14:paraId="721F7B1A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 xml:space="preserve">-ACL injury with </w:t>
            </w: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RAMP lesion: 53.6 ± 2.6</w:t>
            </w:r>
          </w:p>
          <w:p w14:paraId="3CC292B3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82B96B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-ACL injury without RAMP lesion:</w:t>
            </w:r>
          </w:p>
          <w:p w14:paraId="250FEFED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54.7 ± 2.5</w:t>
            </w:r>
          </w:p>
        </w:tc>
        <w:tc>
          <w:tcPr>
            <w:tcW w:w="1050" w:type="dxa"/>
          </w:tcPr>
          <w:p w14:paraId="6F741775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-ACL injury with </w:t>
            </w: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RAMP lesion: 58.5 ± 2.4</w:t>
            </w:r>
          </w:p>
          <w:p w14:paraId="53B4E4D4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BB86A2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-ACL injury without RAMP lesion:</w:t>
            </w:r>
          </w:p>
          <w:p w14:paraId="7E28EB16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59.6 ± 2.7</w:t>
            </w:r>
          </w:p>
        </w:tc>
        <w:tc>
          <w:tcPr>
            <w:tcW w:w="828" w:type="dxa"/>
          </w:tcPr>
          <w:p w14:paraId="02CF9CF6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-ACL injury with </w:t>
            </w: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RAMP lesion: 41.7 ± 2.7</w:t>
            </w:r>
          </w:p>
          <w:p w14:paraId="71C5477B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5429C8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-ACL injury without RAMP lesion:</w:t>
            </w:r>
          </w:p>
          <w:p w14:paraId="0FD39E06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42.8 ± 2.8</w:t>
            </w:r>
          </w:p>
        </w:tc>
        <w:tc>
          <w:tcPr>
            <w:tcW w:w="828" w:type="dxa"/>
          </w:tcPr>
          <w:p w14:paraId="446200C8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-ACL injury with </w:t>
            </w: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RAMP lesion: 54.8 ± 2.6</w:t>
            </w:r>
          </w:p>
          <w:p w14:paraId="7EC4BFC2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FD8423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-ACL injury without RAMP lesion:</w:t>
            </w:r>
          </w:p>
          <w:p w14:paraId="04C32CED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55.9 ± 2.9</w:t>
            </w:r>
          </w:p>
        </w:tc>
        <w:tc>
          <w:tcPr>
            <w:tcW w:w="828" w:type="dxa"/>
          </w:tcPr>
          <w:p w14:paraId="4E9F3D63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-ACL injury with </w:t>
            </w: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RAMP lesion: 54.1 ± 6.5</w:t>
            </w:r>
          </w:p>
          <w:p w14:paraId="4E02EF22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9CC1F8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-ACL injury without RAMP lesion:</w:t>
            </w:r>
          </w:p>
          <w:p w14:paraId="55CA2008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56.1 ± 7.3</w:t>
            </w:r>
          </w:p>
        </w:tc>
        <w:tc>
          <w:tcPr>
            <w:tcW w:w="1050" w:type="dxa"/>
          </w:tcPr>
          <w:p w14:paraId="463BC40C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-ACL injury with </w:t>
            </w: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RAMP lesion: 86.0 ± 6.4</w:t>
            </w:r>
          </w:p>
          <w:p w14:paraId="7DDCE4D6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43D5D6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-ACL injury without RAMP lesion:</w:t>
            </w:r>
          </w:p>
          <w:p w14:paraId="2B6F4264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88.1 ± 7.2</w:t>
            </w:r>
          </w:p>
        </w:tc>
        <w:tc>
          <w:tcPr>
            <w:tcW w:w="828" w:type="dxa"/>
          </w:tcPr>
          <w:p w14:paraId="6652D363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-ACL injury with </w:t>
            </w: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RAMP lesion: 44.4 ± 7.8</w:t>
            </w:r>
          </w:p>
          <w:p w14:paraId="12846DBC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7286EE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-ACL injury without RAMP lesion:</w:t>
            </w:r>
          </w:p>
          <w:p w14:paraId="2DAF5D29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43.7 ± 7.7</w:t>
            </w:r>
          </w:p>
        </w:tc>
        <w:tc>
          <w:tcPr>
            <w:tcW w:w="1050" w:type="dxa"/>
          </w:tcPr>
          <w:p w14:paraId="3B95BBBF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-ACL injury with </w:t>
            </w: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RAMP lesion: 77.4 ± 9.2</w:t>
            </w:r>
          </w:p>
          <w:p w14:paraId="7A505DA8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25FCF9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-ACL injury without RAMP lesion:</w:t>
            </w:r>
          </w:p>
          <w:p w14:paraId="6466E1E7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76.6 ± 8.9</w:t>
            </w:r>
          </w:p>
        </w:tc>
        <w:tc>
          <w:tcPr>
            <w:tcW w:w="566" w:type="dxa"/>
          </w:tcPr>
          <w:p w14:paraId="59F54816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N/A</w:t>
            </w:r>
          </w:p>
        </w:tc>
        <w:tc>
          <w:tcPr>
            <w:tcW w:w="1050" w:type="dxa"/>
          </w:tcPr>
          <w:p w14:paraId="31DB66C9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561" w:type="dxa"/>
          </w:tcPr>
          <w:p w14:paraId="4902EAFC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050" w:type="dxa"/>
          </w:tcPr>
          <w:p w14:paraId="0FFDA7B5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094" w:type="dxa"/>
          </w:tcPr>
          <w:p w14:paraId="11177C49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561" w:type="dxa"/>
          </w:tcPr>
          <w:p w14:paraId="4D07B278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928" w:type="dxa"/>
          </w:tcPr>
          <w:p w14:paraId="3B56770B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950" w:type="dxa"/>
          </w:tcPr>
          <w:p w14:paraId="7F21A57A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 xml:space="preserve">-ACL injury with </w:t>
            </w: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RAMP lesion: 132.6 ± 4.2</w:t>
            </w:r>
          </w:p>
          <w:p w14:paraId="48D63A46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865A22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-ACL injury without RAMP lesion:</w:t>
            </w:r>
          </w:p>
          <w:p w14:paraId="063CA7DE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134.0 ± 3.9</w:t>
            </w:r>
          </w:p>
        </w:tc>
        <w:tc>
          <w:tcPr>
            <w:tcW w:w="828" w:type="dxa"/>
          </w:tcPr>
          <w:p w14:paraId="60009722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-ACL injury with </w:t>
            </w: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RAMP lesion: 134.7 ± 4.7</w:t>
            </w:r>
          </w:p>
          <w:p w14:paraId="11B2E8FE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A1127F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-ACL injury without RAMP lesion:</w:t>
            </w:r>
          </w:p>
          <w:p w14:paraId="194F4AC9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135.4 ± 4.1</w:t>
            </w:r>
          </w:p>
        </w:tc>
        <w:tc>
          <w:tcPr>
            <w:tcW w:w="828" w:type="dxa"/>
          </w:tcPr>
          <w:p w14:paraId="11F4C0C9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-ACL injury with </w:t>
            </w: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RAMP lesion: 2.6 ± 1.4</w:t>
            </w:r>
          </w:p>
          <w:p w14:paraId="7594A899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14DDA8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-ACL injury without RAMP lesion:</w:t>
            </w:r>
          </w:p>
          <w:p w14:paraId="32885B69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1.4 ± 1.1</w:t>
            </w:r>
          </w:p>
        </w:tc>
        <w:tc>
          <w:tcPr>
            <w:tcW w:w="828" w:type="dxa"/>
          </w:tcPr>
          <w:p w14:paraId="34279BC5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-ACL injury with </w:t>
            </w: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RAMP lesion: 1.2 ± 0.9</w:t>
            </w:r>
          </w:p>
          <w:p w14:paraId="6E8F9920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F2422F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-ACL injury without RAMP lesion:</w:t>
            </w:r>
          </w:p>
          <w:p w14:paraId="09E1CBBC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2.1 ± 1.3</w:t>
            </w:r>
          </w:p>
        </w:tc>
        <w:tc>
          <w:tcPr>
            <w:tcW w:w="1050" w:type="dxa"/>
          </w:tcPr>
          <w:p w14:paraId="3651A9CA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ACL injury with </w:t>
            </w: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RAMP lesion: </w:t>
            </w:r>
          </w:p>
          <w:p w14:paraId="75EB7096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Grade I = 0%</w:t>
            </w:r>
          </w:p>
          <w:p w14:paraId="644B3243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Grade II = 57.5%</w:t>
            </w:r>
          </w:p>
          <w:p w14:paraId="33D41346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Grade III = 42.5%</w:t>
            </w:r>
          </w:p>
          <w:p w14:paraId="69F44396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D1C58E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94C04A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ACL injury without RAMP lesion:</w:t>
            </w:r>
          </w:p>
          <w:p w14:paraId="31A19958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Grade I = 0%</w:t>
            </w:r>
          </w:p>
          <w:p w14:paraId="1F84A33B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Grade II = 72.7%</w:t>
            </w:r>
          </w:p>
          <w:p w14:paraId="3E76D53E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Grade III = 27.3%</w:t>
            </w:r>
          </w:p>
          <w:p w14:paraId="6FDF77F3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09899B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14:paraId="67F0E18A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ACL injury with </w:t>
            </w: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RAMP lesion: </w:t>
            </w:r>
          </w:p>
          <w:p w14:paraId="1F094A12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Grade 0 = 93.9%</w:t>
            </w:r>
          </w:p>
          <w:p w14:paraId="426B4D56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Grade I= 6.1%</w:t>
            </w:r>
          </w:p>
          <w:p w14:paraId="2982A9F2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BE6A41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FF0213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ACL injury without RAMP lesion:</w:t>
            </w:r>
          </w:p>
          <w:p w14:paraId="3CFF712A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Grade 0 = 90.9%</w:t>
            </w:r>
          </w:p>
          <w:p w14:paraId="2EA51F11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Grade I= 9.1%</w:t>
            </w:r>
          </w:p>
          <w:p w14:paraId="0FA59B9B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14:paraId="5F4F4746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ACL injury with </w:t>
            </w: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RAMP lesion: </w:t>
            </w:r>
          </w:p>
          <w:p w14:paraId="7F6E2A95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Grade I = 0%</w:t>
            </w:r>
          </w:p>
          <w:p w14:paraId="40649462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Grade II = 66.7%</w:t>
            </w:r>
          </w:p>
          <w:p w14:paraId="6D9D4FFC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Grade III = 33.3%</w:t>
            </w:r>
          </w:p>
          <w:p w14:paraId="47127553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2BD7E1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05ADB3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ACL injury without RAMP lesion:</w:t>
            </w:r>
          </w:p>
          <w:p w14:paraId="47E5997F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Grade I = 0%</w:t>
            </w:r>
          </w:p>
          <w:p w14:paraId="4E3E8583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Grade II = 81.8%</w:t>
            </w:r>
          </w:p>
          <w:p w14:paraId="4F94CD67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Grade III = 18.2%</w:t>
            </w:r>
          </w:p>
          <w:p w14:paraId="1A98C7F4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14:paraId="723BA5D1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ACL injury with </w:t>
            </w:r>
            <w:r w:rsidRPr="002C4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RAMP lesion: </w:t>
            </w:r>
          </w:p>
          <w:p w14:paraId="75553C62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  <w:p w14:paraId="61FA665F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364492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F16AC1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ACL injury without RAMP lesion:</w:t>
            </w:r>
          </w:p>
          <w:p w14:paraId="62996685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D2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  <w:p w14:paraId="31FEF88C" w14:textId="77777777" w:rsidR="00B1750C" w:rsidRPr="002C4BD2" w:rsidRDefault="00B1750C" w:rsidP="007A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31E1619" w14:textId="77777777" w:rsidR="00B1750C" w:rsidRPr="002C4BD2" w:rsidRDefault="00B1750C" w:rsidP="00B1750C">
      <w:pPr>
        <w:rPr>
          <w:rFonts w:ascii="Times New Roman" w:hAnsi="Times New Roman" w:cs="Times New Roman"/>
          <w:sz w:val="20"/>
          <w:szCs w:val="20"/>
          <w:cs/>
        </w:rPr>
      </w:pPr>
      <w:r w:rsidRPr="002C4BD2">
        <w:rPr>
          <w:rFonts w:ascii="Times New Roman" w:hAnsi="Times New Roman" w:cs="Times New Roman"/>
          <w:sz w:val="20"/>
          <w:szCs w:val="20"/>
        </w:rPr>
        <w:lastRenderedPageBreak/>
        <w:t>N/A= not available, ACL= anterior cruciate ligament, ACLR= anterior cruciate ligament reconstruction, Pre= preoperative, Post= postoperative, ROM= range of motion, Sf-12= Short form-12</w:t>
      </w:r>
    </w:p>
    <w:p w14:paraId="07F0D941" w14:textId="01DEE48D" w:rsidR="00B1750C" w:rsidRPr="002C4BD2" w:rsidRDefault="00B1750C" w:rsidP="00A8347B">
      <w:pPr>
        <w:rPr>
          <w:rFonts w:ascii="Times New Roman" w:hAnsi="Times New Roman" w:cs="Angsana New"/>
          <w:sz w:val="20"/>
          <w:szCs w:val="20"/>
          <w:cs/>
        </w:rPr>
        <w:sectPr w:rsidR="00B1750C" w:rsidRPr="002C4BD2" w:rsidSect="00B1750C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2C4BD2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5A5E1F" w:rsidRPr="002C4BD2">
        <w:rPr>
          <w:rFonts w:ascii="Times New Roman" w:hAnsi="Times New Roman" w:cs="Times New Roman"/>
          <w:b/>
          <w:bCs/>
          <w:sz w:val="20"/>
          <w:szCs w:val="20"/>
          <w:cs/>
        </w:rPr>
        <w:t>3</w:t>
      </w:r>
      <w:r w:rsidR="002C4BD2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2C4BD2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Hlk112256927"/>
      <w:r w:rsidR="005A5E1F" w:rsidRPr="002C4BD2">
        <w:rPr>
          <w:rFonts w:ascii="Times New Roman" w:hAnsi="Times New Roman" w:cs="Times New Roman"/>
          <w:sz w:val="20"/>
          <w:szCs w:val="20"/>
        </w:rPr>
        <w:t>Summary of</w:t>
      </w:r>
      <w:bookmarkEnd w:id="0"/>
      <w:r w:rsidR="005A5E1F" w:rsidRPr="002C4BD2">
        <w:rPr>
          <w:rFonts w:ascii="Times New Roman" w:hAnsi="Times New Roman" w:cs="Times New Roman"/>
          <w:sz w:val="20"/>
          <w:szCs w:val="20"/>
        </w:rPr>
        <w:t xml:space="preserve"> t</w:t>
      </w:r>
      <w:r w:rsidRPr="002C4BD2">
        <w:rPr>
          <w:rFonts w:ascii="Times New Roman" w:hAnsi="Times New Roman" w:cs="Times New Roman"/>
          <w:sz w:val="20"/>
          <w:szCs w:val="20"/>
        </w:rPr>
        <w:t>he patient report outcomes</w:t>
      </w:r>
      <w:r w:rsidR="002E0868" w:rsidRPr="002C4BD2">
        <w:rPr>
          <w:rFonts w:ascii="Times New Roman" w:hAnsi="Times New Roman" w:cs="Times New Roman"/>
          <w:sz w:val="20"/>
          <w:szCs w:val="20"/>
        </w:rPr>
        <w:t xml:space="preserve"> </w:t>
      </w:r>
      <w:bookmarkStart w:id="1" w:name="_Hlk112306537"/>
      <w:r w:rsidR="002E0868" w:rsidRPr="002C4BD2">
        <w:rPr>
          <w:rFonts w:ascii="Times New Roman" w:hAnsi="Times New Roman" w:cs="Times New Roman"/>
          <w:sz w:val="20"/>
          <w:szCs w:val="20"/>
        </w:rPr>
        <w:t>(PROs) including studies</w:t>
      </w:r>
      <w:bookmarkEnd w:id="1"/>
    </w:p>
    <w:p w14:paraId="54584298" w14:textId="77777777" w:rsidR="0088277D" w:rsidRPr="002C4BD2" w:rsidRDefault="0088277D" w:rsidP="00EE3E01">
      <w:pPr>
        <w:rPr>
          <w:rFonts w:ascii="Times New Roman" w:hAnsi="Times New Roman" w:cs="Times New Roman"/>
          <w:sz w:val="20"/>
          <w:szCs w:val="20"/>
        </w:rPr>
      </w:pPr>
    </w:p>
    <w:sectPr w:rsidR="0088277D" w:rsidRPr="002C4B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5E0AB" w14:textId="77777777" w:rsidR="00E04F4B" w:rsidRDefault="00E04F4B" w:rsidP="006928E8">
      <w:pPr>
        <w:spacing w:after="0" w:line="240" w:lineRule="auto"/>
      </w:pPr>
      <w:r>
        <w:separator/>
      </w:r>
    </w:p>
  </w:endnote>
  <w:endnote w:type="continuationSeparator" w:id="0">
    <w:p w14:paraId="0609049E" w14:textId="77777777" w:rsidR="00E04F4B" w:rsidRDefault="00E04F4B" w:rsidP="00692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D2E57" w14:textId="77777777" w:rsidR="00E04F4B" w:rsidRDefault="00E04F4B" w:rsidP="006928E8">
      <w:pPr>
        <w:spacing w:after="0" w:line="240" w:lineRule="auto"/>
      </w:pPr>
      <w:r>
        <w:separator/>
      </w:r>
    </w:p>
  </w:footnote>
  <w:footnote w:type="continuationSeparator" w:id="0">
    <w:p w14:paraId="1823ACC6" w14:textId="77777777" w:rsidR="00E04F4B" w:rsidRDefault="00E04F4B" w:rsidP="00692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935517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B065450" w14:textId="495FCA0A" w:rsidR="006928E8" w:rsidRDefault="006928E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6551E9" w14:textId="77777777" w:rsidR="006928E8" w:rsidRDefault="006928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5112A"/>
    <w:multiLevelType w:val="hybridMultilevel"/>
    <w:tmpl w:val="BA76F2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630AC"/>
    <w:multiLevelType w:val="hybridMultilevel"/>
    <w:tmpl w:val="BA76F21E"/>
    <w:lvl w:ilvl="0" w:tplc="EA7636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80EE7"/>
    <w:multiLevelType w:val="hybridMultilevel"/>
    <w:tmpl w:val="4BC65970"/>
    <w:lvl w:ilvl="0" w:tplc="095C6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9774F"/>
    <w:multiLevelType w:val="hybridMultilevel"/>
    <w:tmpl w:val="E1340A1C"/>
    <w:lvl w:ilvl="0" w:tplc="2A56ADE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C40139"/>
    <w:multiLevelType w:val="hybridMultilevel"/>
    <w:tmpl w:val="52308C10"/>
    <w:lvl w:ilvl="0" w:tplc="2E46B278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FBC7FA7"/>
    <w:multiLevelType w:val="hybridMultilevel"/>
    <w:tmpl w:val="BA76F2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EC28DE"/>
    <w:multiLevelType w:val="hybridMultilevel"/>
    <w:tmpl w:val="BA76F2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AEE"/>
    <w:rsid w:val="00014F14"/>
    <w:rsid w:val="00015CAA"/>
    <w:rsid w:val="00021777"/>
    <w:rsid w:val="00023B7C"/>
    <w:rsid w:val="00025BAC"/>
    <w:rsid w:val="00030D8E"/>
    <w:rsid w:val="00032EFA"/>
    <w:rsid w:val="000346AC"/>
    <w:rsid w:val="00035F7B"/>
    <w:rsid w:val="00041DD9"/>
    <w:rsid w:val="0004320D"/>
    <w:rsid w:val="00043265"/>
    <w:rsid w:val="00044C22"/>
    <w:rsid w:val="00066A73"/>
    <w:rsid w:val="00066DCE"/>
    <w:rsid w:val="00067107"/>
    <w:rsid w:val="00081D65"/>
    <w:rsid w:val="00087AD7"/>
    <w:rsid w:val="00094A0B"/>
    <w:rsid w:val="00095D37"/>
    <w:rsid w:val="000A34FD"/>
    <w:rsid w:val="000A66A0"/>
    <w:rsid w:val="000A70C4"/>
    <w:rsid w:val="000A7AEB"/>
    <w:rsid w:val="000B2FB0"/>
    <w:rsid w:val="000B79CD"/>
    <w:rsid w:val="000C49B2"/>
    <w:rsid w:val="000C4EC8"/>
    <w:rsid w:val="000D160B"/>
    <w:rsid w:val="000D40B3"/>
    <w:rsid w:val="000D4F6F"/>
    <w:rsid w:val="000E0329"/>
    <w:rsid w:val="000E375F"/>
    <w:rsid w:val="000E4741"/>
    <w:rsid w:val="000F30A6"/>
    <w:rsid w:val="000F474E"/>
    <w:rsid w:val="000F4E47"/>
    <w:rsid w:val="000F5A37"/>
    <w:rsid w:val="000F7238"/>
    <w:rsid w:val="001050A6"/>
    <w:rsid w:val="00106D7E"/>
    <w:rsid w:val="00110ECD"/>
    <w:rsid w:val="00111419"/>
    <w:rsid w:val="0011614D"/>
    <w:rsid w:val="0012029F"/>
    <w:rsid w:val="00147ED0"/>
    <w:rsid w:val="001500F8"/>
    <w:rsid w:val="001519ED"/>
    <w:rsid w:val="001545D8"/>
    <w:rsid w:val="001719D3"/>
    <w:rsid w:val="00171EB7"/>
    <w:rsid w:val="00171F25"/>
    <w:rsid w:val="00175923"/>
    <w:rsid w:val="00177D8F"/>
    <w:rsid w:val="0018038E"/>
    <w:rsid w:val="00182023"/>
    <w:rsid w:val="00192141"/>
    <w:rsid w:val="001946B9"/>
    <w:rsid w:val="001A4916"/>
    <w:rsid w:val="001B4A1E"/>
    <w:rsid w:val="001C6127"/>
    <w:rsid w:val="001D2B4D"/>
    <w:rsid w:val="001D4E55"/>
    <w:rsid w:val="001E3418"/>
    <w:rsid w:val="001E6C58"/>
    <w:rsid w:val="001F52ED"/>
    <w:rsid w:val="00213350"/>
    <w:rsid w:val="00214843"/>
    <w:rsid w:val="002160C5"/>
    <w:rsid w:val="00216CAA"/>
    <w:rsid w:val="00222465"/>
    <w:rsid w:val="00224EC9"/>
    <w:rsid w:val="0023481E"/>
    <w:rsid w:val="002351C1"/>
    <w:rsid w:val="00236F76"/>
    <w:rsid w:val="00237ECB"/>
    <w:rsid w:val="00241813"/>
    <w:rsid w:val="00253888"/>
    <w:rsid w:val="00254205"/>
    <w:rsid w:val="002601EE"/>
    <w:rsid w:val="00260ACD"/>
    <w:rsid w:val="00261287"/>
    <w:rsid w:val="00265441"/>
    <w:rsid w:val="00275F86"/>
    <w:rsid w:val="00277807"/>
    <w:rsid w:val="00277903"/>
    <w:rsid w:val="002806BB"/>
    <w:rsid w:val="00291594"/>
    <w:rsid w:val="002925E8"/>
    <w:rsid w:val="002A28FD"/>
    <w:rsid w:val="002A3D3E"/>
    <w:rsid w:val="002B1BAB"/>
    <w:rsid w:val="002B2A80"/>
    <w:rsid w:val="002B5248"/>
    <w:rsid w:val="002B57E4"/>
    <w:rsid w:val="002C24FD"/>
    <w:rsid w:val="002C3295"/>
    <w:rsid w:val="002C4BD2"/>
    <w:rsid w:val="002D5F76"/>
    <w:rsid w:val="002E0868"/>
    <w:rsid w:val="002E16B2"/>
    <w:rsid w:val="002E4D11"/>
    <w:rsid w:val="002F1888"/>
    <w:rsid w:val="002F1D68"/>
    <w:rsid w:val="002F4DA6"/>
    <w:rsid w:val="0030064F"/>
    <w:rsid w:val="003013DF"/>
    <w:rsid w:val="003024B1"/>
    <w:rsid w:val="00306B2D"/>
    <w:rsid w:val="00312670"/>
    <w:rsid w:val="00312AF3"/>
    <w:rsid w:val="00316305"/>
    <w:rsid w:val="00317A63"/>
    <w:rsid w:val="00320564"/>
    <w:rsid w:val="00321113"/>
    <w:rsid w:val="00322FDB"/>
    <w:rsid w:val="00323074"/>
    <w:rsid w:val="00330C12"/>
    <w:rsid w:val="00332109"/>
    <w:rsid w:val="00341895"/>
    <w:rsid w:val="003463D9"/>
    <w:rsid w:val="003515AE"/>
    <w:rsid w:val="00355BD0"/>
    <w:rsid w:val="00356868"/>
    <w:rsid w:val="003618D4"/>
    <w:rsid w:val="00361EF6"/>
    <w:rsid w:val="00363178"/>
    <w:rsid w:val="00364DED"/>
    <w:rsid w:val="00380AEE"/>
    <w:rsid w:val="00386805"/>
    <w:rsid w:val="00394351"/>
    <w:rsid w:val="0039786C"/>
    <w:rsid w:val="003A088C"/>
    <w:rsid w:val="003A301B"/>
    <w:rsid w:val="003A6386"/>
    <w:rsid w:val="003B2E19"/>
    <w:rsid w:val="003B2F2D"/>
    <w:rsid w:val="003B5464"/>
    <w:rsid w:val="003C3476"/>
    <w:rsid w:val="003C4DBF"/>
    <w:rsid w:val="003C7998"/>
    <w:rsid w:val="003C7E91"/>
    <w:rsid w:val="003D4A4C"/>
    <w:rsid w:val="003D4D68"/>
    <w:rsid w:val="003E243C"/>
    <w:rsid w:val="003F30E3"/>
    <w:rsid w:val="003F60B7"/>
    <w:rsid w:val="0040379F"/>
    <w:rsid w:val="0040568A"/>
    <w:rsid w:val="00406B2C"/>
    <w:rsid w:val="00416BB7"/>
    <w:rsid w:val="0041765A"/>
    <w:rsid w:val="004245FE"/>
    <w:rsid w:val="00425F35"/>
    <w:rsid w:val="0043259D"/>
    <w:rsid w:val="00440FAA"/>
    <w:rsid w:val="0044567F"/>
    <w:rsid w:val="00450F82"/>
    <w:rsid w:val="00451682"/>
    <w:rsid w:val="00454DC2"/>
    <w:rsid w:val="00455D5F"/>
    <w:rsid w:val="0046277E"/>
    <w:rsid w:val="00462938"/>
    <w:rsid w:val="004636D1"/>
    <w:rsid w:val="004641F6"/>
    <w:rsid w:val="0048094B"/>
    <w:rsid w:val="00480CF0"/>
    <w:rsid w:val="00481240"/>
    <w:rsid w:val="00481834"/>
    <w:rsid w:val="00482FA7"/>
    <w:rsid w:val="00483B46"/>
    <w:rsid w:val="004841B6"/>
    <w:rsid w:val="00486A8C"/>
    <w:rsid w:val="0049133C"/>
    <w:rsid w:val="00493D7D"/>
    <w:rsid w:val="004A0588"/>
    <w:rsid w:val="004A549E"/>
    <w:rsid w:val="004A747A"/>
    <w:rsid w:val="004A7C82"/>
    <w:rsid w:val="004B5FF2"/>
    <w:rsid w:val="004C0753"/>
    <w:rsid w:val="004C2C36"/>
    <w:rsid w:val="004C3ECC"/>
    <w:rsid w:val="004C6E16"/>
    <w:rsid w:val="004D4A71"/>
    <w:rsid w:val="004D544F"/>
    <w:rsid w:val="004E1B99"/>
    <w:rsid w:val="004E3642"/>
    <w:rsid w:val="004E6F0F"/>
    <w:rsid w:val="004E7C05"/>
    <w:rsid w:val="004F10D2"/>
    <w:rsid w:val="004F1D63"/>
    <w:rsid w:val="004F26BC"/>
    <w:rsid w:val="005123E7"/>
    <w:rsid w:val="0051789D"/>
    <w:rsid w:val="00524916"/>
    <w:rsid w:val="00525C05"/>
    <w:rsid w:val="00526A5D"/>
    <w:rsid w:val="00530086"/>
    <w:rsid w:val="005348C0"/>
    <w:rsid w:val="0053556E"/>
    <w:rsid w:val="00536DF9"/>
    <w:rsid w:val="0053784F"/>
    <w:rsid w:val="0054421B"/>
    <w:rsid w:val="00545268"/>
    <w:rsid w:val="00551AB6"/>
    <w:rsid w:val="00556142"/>
    <w:rsid w:val="005672E7"/>
    <w:rsid w:val="00573B4C"/>
    <w:rsid w:val="005804BB"/>
    <w:rsid w:val="00581140"/>
    <w:rsid w:val="00582E70"/>
    <w:rsid w:val="0058584C"/>
    <w:rsid w:val="005907C4"/>
    <w:rsid w:val="005941CF"/>
    <w:rsid w:val="005A5E1F"/>
    <w:rsid w:val="005B0557"/>
    <w:rsid w:val="005B0F4D"/>
    <w:rsid w:val="005B511E"/>
    <w:rsid w:val="005C48F0"/>
    <w:rsid w:val="005C49E9"/>
    <w:rsid w:val="005D2124"/>
    <w:rsid w:val="005D3B58"/>
    <w:rsid w:val="005D7563"/>
    <w:rsid w:val="005E07E7"/>
    <w:rsid w:val="005E6A49"/>
    <w:rsid w:val="005F2F28"/>
    <w:rsid w:val="00600637"/>
    <w:rsid w:val="0060093C"/>
    <w:rsid w:val="00606F45"/>
    <w:rsid w:val="0060700C"/>
    <w:rsid w:val="0061710D"/>
    <w:rsid w:val="00620F13"/>
    <w:rsid w:val="00627F0D"/>
    <w:rsid w:val="00631BF1"/>
    <w:rsid w:val="006402B8"/>
    <w:rsid w:val="006411CC"/>
    <w:rsid w:val="006468B9"/>
    <w:rsid w:val="0065335E"/>
    <w:rsid w:val="00653DC4"/>
    <w:rsid w:val="0066135E"/>
    <w:rsid w:val="00664222"/>
    <w:rsid w:val="006728AA"/>
    <w:rsid w:val="00682C1C"/>
    <w:rsid w:val="00684AAF"/>
    <w:rsid w:val="006928E8"/>
    <w:rsid w:val="00696497"/>
    <w:rsid w:val="006A01E7"/>
    <w:rsid w:val="006A633F"/>
    <w:rsid w:val="006B7BB6"/>
    <w:rsid w:val="006C33A1"/>
    <w:rsid w:val="006C7D5D"/>
    <w:rsid w:val="006D0D48"/>
    <w:rsid w:val="006D6588"/>
    <w:rsid w:val="006D6663"/>
    <w:rsid w:val="006E1CFD"/>
    <w:rsid w:val="006E57AC"/>
    <w:rsid w:val="006E57DB"/>
    <w:rsid w:val="006F1068"/>
    <w:rsid w:val="006F326E"/>
    <w:rsid w:val="006F5F0E"/>
    <w:rsid w:val="00701DA4"/>
    <w:rsid w:val="0070322C"/>
    <w:rsid w:val="00706C72"/>
    <w:rsid w:val="00710654"/>
    <w:rsid w:val="00712087"/>
    <w:rsid w:val="007125DC"/>
    <w:rsid w:val="00714398"/>
    <w:rsid w:val="007215F5"/>
    <w:rsid w:val="00723EFD"/>
    <w:rsid w:val="00731441"/>
    <w:rsid w:val="007408E6"/>
    <w:rsid w:val="007433AA"/>
    <w:rsid w:val="00743524"/>
    <w:rsid w:val="00757A73"/>
    <w:rsid w:val="00764D8A"/>
    <w:rsid w:val="0077201E"/>
    <w:rsid w:val="00775042"/>
    <w:rsid w:val="007766D7"/>
    <w:rsid w:val="00777354"/>
    <w:rsid w:val="00782784"/>
    <w:rsid w:val="00782E13"/>
    <w:rsid w:val="0079113D"/>
    <w:rsid w:val="007A22FA"/>
    <w:rsid w:val="007B25B5"/>
    <w:rsid w:val="007B36DE"/>
    <w:rsid w:val="007B4E10"/>
    <w:rsid w:val="007B766F"/>
    <w:rsid w:val="007C4237"/>
    <w:rsid w:val="007D378D"/>
    <w:rsid w:val="007E168C"/>
    <w:rsid w:val="007E3AFE"/>
    <w:rsid w:val="007E3E18"/>
    <w:rsid w:val="007E6755"/>
    <w:rsid w:val="007E754F"/>
    <w:rsid w:val="007E78EB"/>
    <w:rsid w:val="007E7F31"/>
    <w:rsid w:val="007F05E5"/>
    <w:rsid w:val="007F304F"/>
    <w:rsid w:val="007F7D7F"/>
    <w:rsid w:val="008007B0"/>
    <w:rsid w:val="00800A21"/>
    <w:rsid w:val="008011FE"/>
    <w:rsid w:val="0081296D"/>
    <w:rsid w:val="008153C3"/>
    <w:rsid w:val="0081798D"/>
    <w:rsid w:val="00823A6F"/>
    <w:rsid w:val="008267DF"/>
    <w:rsid w:val="00834B71"/>
    <w:rsid w:val="008377EE"/>
    <w:rsid w:val="008459B5"/>
    <w:rsid w:val="00846415"/>
    <w:rsid w:val="0084699A"/>
    <w:rsid w:val="00864E6A"/>
    <w:rsid w:val="00867C48"/>
    <w:rsid w:val="00874993"/>
    <w:rsid w:val="00874DBC"/>
    <w:rsid w:val="0088277D"/>
    <w:rsid w:val="0089713E"/>
    <w:rsid w:val="008A08C1"/>
    <w:rsid w:val="008A2227"/>
    <w:rsid w:val="008A3E0B"/>
    <w:rsid w:val="008A49B1"/>
    <w:rsid w:val="008A64C4"/>
    <w:rsid w:val="008B6A1B"/>
    <w:rsid w:val="008C4677"/>
    <w:rsid w:val="008D36F6"/>
    <w:rsid w:val="008D39E6"/>
    <w:rsid w:val="008E34DE"/>
    <w:rsid w:val="008E6AEF"/>
    <w:rsid w:val="008F46A5"/>
    <w:rsid w:val="008F4B4A"/>
    <w:rsid w:val="00902DF1"/>
    <w:rsid w:val="00912E17"/>
    <w:rsid w:val="00914F19"/>
    <w:rsid w:val="00915A52"/>
    <w:rsid w:val="009177C2"/>
    <w:rsid w:val="0092279E"/>
    <w:rsid w:val="00924BA2"/>
    <w:rsid w:val="00931F76"/>
    <w:rsid w:val="009326C3"/>
    <w:rsid w:val="009345C3"/>
    <w:rsid w:val="009375E1"/>
    <w:rsid w:val="0095413E"/>
    <w:rsid w:val="00956582"/>
    <w:rsid w:val="0096232D"/>
    <w:rsid w:val="00963B6E"/>
    <w:rsid w:val="00967D78"/>
    <w:rsid w:val="00972687"/>
    <w:rsid w:val="00975FE9"/>
    <w:rsid w:val="00981789"/>
    <w:rsid w:val="00987F33"/>
    <w:rsid w:val="00994298"/>
    <w:rsid w:val="0099465D"/>
    <w:rsid w:val="009A0E5E"/>
    <w:rsid w:val="009A7A70"/>
    <w:rsid w:val="009B6BF3"/>
    <w:rsid w:val="009C41FA"/>
    <w:rsid w:val="009C619B"/>
    <w:rsid w:val="009C7584"/>
    <w:rsid w:val="009D0ABB"/>
    <w:rsid w:val="009D6E30"/>
    <w:rsid w:val="009F5B9C"/>
    <w:rsid w:val="009F72CA"/>
    <w:rsid w:val="00A02D60"/>
    <w:rsid w:val="00A05B4C"/>
    <w:rsid w:val="00A07C99"/>
    <w:rsid w:val="00A16608"/>
    <w:rsid w:val="00A205AA"/>
    <w:rsid w:val="00A21169"/>
    <w:rsid w:val="00A342E5"/>
    <w:rsid w:val="00A36475"/>
    <w:rsid w:val="00A43AAB"/>
    <w:rsid w:val="00A70D7F"/>
    <w:rsid w:val="00A8347B"/>
    <w:rsid w:val="00A83543"/>
    <w:rsid w:val="00A84624"/>
    <w:rsid w:val="00A85E9A"/>
    <w:rsid w:val="00A9137F"/>
    <w:rsid w:val="00AA463F"/>
    <w:rsid w:val="00AB694B"/>
    <w:rsid w:val="00AC3B6A"/>
    <w:rsid w:val="00AD2A24"/>
    <w:rsid w:val="00AD4F2B"/>
    <w:rsid w:val="00AD5657"/>
    <w:rsid w:val="00AE0C17"/>
    <w:rsid w:val="00AE1732"/>
    <w:rsid w:val="00AE66B7"/>
    <w:rsid w:val="00B056F1"/>
    <w:rsid w:val="00B1591E"/>
    <w:rsid w:val="00B163A7"/>
    <w:rsid w:val="00B166B3"/>
    <w:rsid w:val="00B1750C"/>
    <w:rsid w:val="00B2034A"/>
    <w:rsid w:val="00B2044C"/>
    <w:rsid w:val="00B4172A"/>
    <w:rsid w:val="00B51D61"/>
    <w:rsid w:val="00B54C95"/>
    <w:rsid w:val="00B5555E"/>
    <w:rsid w:val="00B6005E"/>
    <w:rsid w:val="00B634A6"/>
    <w:rsid w:val="00B72805"/>
    <w:rsid w:val="00B76C8E"/>
    <w:rsid w:val="00B87366"/>
    <w:rsid w:val="00B93A9F"/>
    <w:rsid w:val="00B94DD0"/>
    <w:rsid w:val="00B97AF2"/>
    <w:rsid w:val="00BA0939"/>
    <w:rsid w:val="00BA436D"/>
    <w:rsid w:val="00BC40E1"/>
    <w:rsid w:val="00BC51F4"/>
    <w:rsid w:val="00BC777F"/>
    <w:rsid w:val="00BD3E3F"/>
    <w:rsid w:val="00BD4564"/>
    <w:rsid w:val="00BD5240"/>
    <w:rsid w:val="00BD6377"/>
    <w:rsid w:val="00BD7897"/>
    <w:rsid w:val="00BE0521"/>
    <w:rsid w:val="00BE1A2D"/>
    <w:rsid w:val="00BE1E40"/>
    <w:rsid w:val="00BE263D"/>
    <w:rsid w:val="00BE4B2E"/>
    <w:rsid w:val="00BE6954"/>
    <w:rsid w:val="00BF4F92"/>
    <w:rsid w:val="00BF5E5F"/>
    <w:rsid w:val="00C00B07"/>
    <w:rsid w:val="00C03B6B"/>
    <w:rsid w:val="00C042CD"/>
    <w:rsid w:val="00C0443F"/>
    <w:rsid w:val="00C046FD"/>
    <w:rsid w:val="00C05C14"/>
    <w:rsid w:val="00C07758"/>
    <w:rsid w:val="00C12AE0"/>
    <w:rsid w:val="00C15938"/>
    <w:rsid w:val="00C16F1D"/>
    <w:rsid w:val="00C20AB4"/>
    <w:rsid w:val="00C21805"/>
    <w:rsid w:val="00C259FC"/>
    <w:rsid w:val="00C25B3B"/>
    <w:rsid w:val="00C30624"/>
    <w:rsid w:val="00C36026"/>
    <w:rsid w:val="00C415C9"/>
    <w:rsid w:val="00C4257C"/>
    <w:rsid w:val="00C4670B"/>
    <w:rsid w:val="00C4698C"/>
    <w:rsid w:val="00C47963"/>
    <w:rsid w:val="00C52BAD"/>
    <w:rsid w:val="00C55D40"/>
    <w:rsid w:val="00C7241E"/>
    <w:rsid w:val="00C84BBD"/>
    <w:rsid w:val="00C87B86"/>
    <w:rsid w:val="00C87ECC"/>
    <w:rsid w:val="00CA3CDE"/>
    <w:rsid w:val="00CB015E"/>
    <w:rsid w:val="00CB077F"/>
    <w:rsid w:val="00CB1F45"/>
    <w:rsid w:val="00CB365E"/>
    <w:rsid w:val="00CB41F3"/>
    <w:rsid w:val="00CB680D"/>
    <w:rsid w:val="00CC096B"/>
    <w:rsid w:val="00CC265F"/>
    <w:rsid w:val="00CD14A8"/>
    <w:rsid w:val="00CD370E"/>
    <w:rsid w:val="00CD642F"/>
    <w:rsid w:val="00CE182D"/>
    <w:rsid w:val="00CE31F3"/>
    <w:rsid w:val="00CE66A4"/>
    <w:rsid w:val="00CE6F02"/>
    <w:rsid w:val="00CE77D0"/>
    <w:rsid w:val="00CF32AD"/>
    <w:rsid w:val="00D017A4"/>
    <w:rsid w:val="00D07204"/>
    <w:rsid w:val="00D2479F"/>
    <w:rsid w:val="00D27639"/>
    <w:rsid w:val="00D27ACF"/>
    <w:rsid w:val="00D3169C"/>
    <w:rsid w:val="00D411C2"/>
    <w:rsid w:val="00D4167F"/>
    <w:rsid w:val="00D4485B"/>
    <w:rsid w:val="00D44C99"/>
    <w:rsid w:val="00D47C72"/>
    <w:rsid w:val="00D52346"/>
    <w:rsid w:val="00D5470A"/>
    <w:rsid w:val="00D57259"/>
    <w:rsid w:val="00D57499"/>
    <w:rsid w:val="00D60174"/>
    <w:rsid w:val="00D64C0C"/>
    <w:rsid w:val="00D72345"/>
    <w:rsid w:val="00D83FDF"/>
    <w:rsid w:val="00D8489B"/>
    <w:rsid w:val="00D86FBD"/>
    <w:rsid w:val="00D9439C"/>
    <w:rsid w:val="00D95DAF"/>
    <w:rsid w:val="00DA2F02"/>
    <w:rsid w:val="00DB31D6"/>
    <w:rsid w:val="00DB7B2C"/>
    <w:rsid w:val="00DC65F6"/>
    <w:rsid w:val="00DF2084"/>
    <w:rsid w:val="00DF2E9C"/>
    <w:rsid w:val="00DF3696"/>
    <w:rsid w:val="00E02A12"/>
    <w:rsid w:val="00E04F4B"/>
    <w:rsid w:val="00E0568A"/>
    <w:rsid w:val="00E07566"/>
    <w:rsid w:val="00E14E6F"/>
    <w:rsid w:val="00E1653C"/>
    <w:rsid w:val="00E329E6"/>
    <w:rsid w:val="00E3565A"/>
    <w:rsid w:val="00E43CDF"/>
    <w:rsid w:val="00E46447"/>
    <w:rsid w:val="00E60846"/>
    <w:rsid w:val="00E64758"/>
    <w:rsid w:val="00E653B1"/>
    <w:rsid w:val="00E702F4"/>
    <w:rsid w:val="00E753AE"/>
    <w:rsid w:val="00E805F2"/>
    <w:rsid w:val="00E806EC"/>
    <w:rsid w:val="00E84839"/>
    <w:rsid w:val="00E86AE8"/>
    <w:rsid w:val="00E935EE"/>
    <w:rsid w:val="00E94EDF"/>
    <w:rsid w:val="00EA6FB5"/>
    <w:rsid w:val="00EA7B5C"/>
    <w:rsid w:val="00EB2428"/>
    <w:rsid w:val="00EB264E"/>
    <w:rsid w:val="00EC0FAC"/>
    <w:rsid w:val="00EC2F3D"/>
    <w:rsid w:val="00EC6CBA"/>
    <w:rsid w:val="00EE3E01"/>
    <w:rsid w:val="00EE7050"/>
    <w:rsid w:val="00EF3A46"/>
    <w:rsid w:val="00EF42C3"/>
    <w:rsid w:val="00EF6009"/>
    <w:rsid w:val="00EF735E"/>
    <w:rsid w:val="00F12835"/>
    <w:rsid w:val="00F12860"/>
    <w:rsid w:val="00F30C8A"/>
    <w:rsid w:val="00F33D27"/>
    <w:rsid w:val="00F42991"/>
    <w:rsid w:val="00F463E8"/>
    <w:rsid w:val="00F4683E"/>
    <w:rsid w:val="00F518D9"/>
    <w:rsid w:val="00F550C1"/>
    <w:rsid w:val="00F5604F"/>
    <w:rsid w:val="00F6082C"/>
    <w:rsid w:val="00F609CA"/>
    <w:rsid w:val="00F61EA4"/>
    <w:rsid w:val="00F6354D"/>
    <w:rsid w:val="00F635BE"/>
    <w:rsid w:val="00F64A59"/>
    <w:rsid w:val="00F70340"/>
    <w:rsid w:val="00F70A92"/>
    <w:rsid w:val="00F7659D"/>
    <w:rsid w:val="00F829DA"/>
    <w:rsid w:val="00F85A9E"/>
    <w:rsid w:val="00F90723"/>
    <w:rsid w:val="00F96627"/>
    <w:rsid w:val="00FA0737"/>
    <w:rsid w:val="00FA5F83"/>
    <w:rsid w:val="00FB2839"/>
    <w:rsid w:val="00FB4882"/>
    <w:rsid w:val="00FC375A"/>
    <w:rsid w:val="00FC3BBE"/>
    <w:rsid w:val="00FD7195"/>
    <w:rsid w:val="00FE292A"/>
    <w:rsid w:val="00FE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3F2E2"/>
  <w15:docId w15:val="{F8656711-FB6F-4C71-BEBA-9C50F051C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E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0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202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029F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029F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02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029F"/>
    <w:rPr>
      <w:b/>
      <w:bCs/>
      <w:sz w:val="20"/>
      <w:szCs w:val="25"/>
    </w:rPr>
  </w:style>
  <w:style w:type="paragraph" w:styleId="ListParagraph">
    <w:name w:val="List Paragraph"/>
    <w:basedOn w:val="Normal"/>
    <w:uiPriority w:val="34"/>
    <w:qFormat/>
    <w:rsid w:val="00CD642F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6928E8"/>
  </w:style>
  <w:style w:type="paragraph" w:styleId="Header">
    <w:name w:val="header"/>
    <w:basedOn w:val="Normal"/>
    <w:link w:val="HeaderChar"/>
    <w:uiPriority w:val="99"/>
    <w:unhideWhenUsed/>
    <w:rsid w:val="006928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8E8"/>
  </w:style>
  <w:style w:type="paragraph" w:styleId="Footer">
    <w:name w:val="footer"/>
    <w:basedOn w:val="Normal"/>
    <w:link w:val="FooterChar"/>
    <w:uiPriority w:val="99"/>
    <w:unhideWhenUsed/>
    <w:rsid w:val="006928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8E8"/>
  </w:style>
  <w:style w:type="paragraph" w:customStyle="1" w:styleId="Body">
    <w:name w:val="Body"/>
    <w:rsid w:val="002C4BD2"/>
    <w:pPr>
      <w:spacing w:after="0" w:line="240" w:lineRule="auto"/>
    </w:pPr>
    <w:rPr>
      <w:rFonts w:ascii="Helvetica" w:eastAsia="Arial Unicode MS" w:hAnsi="Helvetica" w:cs="Arial Unicode MS"/>
      <w:color w:val="000000"/>
      <w:szCs w:val="22"/>
    </w:rPr>
  </w:style>
  <w:style w:type="character" w:customStyle="1" w:styleId="apple-converted-space">
    <w:name w:val="apple-converted-space"/>
    <w:basedOn w:val="DefaultParagraphFont"/>
    <w:rsid w:val="00D072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0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1526</Words>
  <Characters>8701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surasak srimongkolpitak</dc:creator>
  <cp:keywords/>
  <dc:description/>
  <cp:lastModifiedBy>Rohit Pandey</cp:lastModifiedBy>
  <cp:revision>2</cp:revision>
  <dcterms:created xsi:type="dcterms:W3CDTF">2023-03-17T14:34:00Z</dcterms:created>
  <dcterms:modified xsi:type="dcterms:W3CDTF">2023-03-17T14:34:00Z</dcterms:modified>
</cp:coreProperties>
</file>