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15F9E" w14:textId="40DBB24F" w:rsidR="00714E9A" w:rsidRDefault="006C4458" w:rsidP="00B36FFD">
      <w:pPr>
        <w:spacing w:line="480" w:lineRule="auto"/>
        <w:rPr>
          <w:rFonts w:ascii="Times New Roman" w:eastAsia="바탕" w:hAnsi="Times New Roman" w:cs="Times New Roman"/>
          <w:sz w:val="24"/>
          <w:szCs w:val="24"/>
        </w:rPr>
      </w:pPr>
      <w:r w:rsidRPr="00FC6B80">
        <w:rPr>
          <w:rFonts w:ascii="Times New Roman" w:eastAsia="바탕" w:hAnsi="Times New Roman" w:cs="Times New Roman"/>
          <w:b/>
          <w:sz w:val="24"/>
          <w:szCs w:val="24"/>
        </w:rPr>
        <w:t>T</w:t>
      </w:r>
      <w:r w:rsidR="00F66A3E" w:rsidRPr="00FC6B80">
        <w:rPr>
          <w:rFonts w:ascii="Times New Roman" w:eastAsia="바탕" w:hAnsi="Times New Roman" w:cs="Times New Roman"/>
          <w:b/>
          <w:sz w:val="24"/>
          <w:szCs w:val="24"/>
        </w:rPr>
        <w:t>able</w:t>
      </w:r>
      <w:r w:rsidR="00433944">
        <w:rPr>
          <w:rFonts w:ascii="Times New Roman" w:eastAsia="바탕" w:hAnsi="Times New Roman" w:cs="Times New Roman"/>
          <w:b/>
          <w:sz w:val="24"/>
          <w:szCs w:val="24"/>
        </w:rPr>
        <w:t xml:space="preserve"> </w:t>
      </w:r>
      <w:r w:rsidR="00433944">
        <w:rPr>
          <w:rFonts w:ascii="Times New Roman" w:eastAsia="바탕" w:hAnsi="Times New Roman" w:cs="Times New Roman" w:hint="eastAsia"/>
          <w:b/>
          <w:sz w:val="24"/>
          <w:szCs w:val="24"/>
        </w:rPr>
        <w:t>S</w:t>
      </w:r>
      <w:r w:rsidRPr="00FC6B80">
        <w:rPr>
          <w:rFonts w:ascii="Times New Roman" w:eastAsia="바탕" w:hAnsi="Times New Roman" w:cs="Times New Roman"/>
          <w:b/>
          <w:sz w:val="24"/>
          <w:szCs w:val="24"/>
        </w:rPr>
        <w:t>1</w:t>
      </w:r>
      <w:r w:rsidR="00F66A3E" w:rsidRPr="00FC6B80">
        <w:rPr>
          <w:rFonts w:ascii="Times New Roman" w:eastAsia="바탕" w:hAnsi="Times New Roman" w:cs="Times New Roman"/>
          <w:sz w:val="24"/>
          <w:szCs w:val="24"/>
        </w:rPr>
        <w:t xml:space="preserve"> </w:t>
      </w:r>
    </w:p>
    <w:p w14:paraId="7502FE9F" w14:textId="0944DBC4" w:rsidR="006C4458" w:rsidRPr="00FC6B80" w:rsidRDefault="006C4458" w:rsidP="00B36FFD">
      <w:pPr>
        <w:spacing w:line="480" w:lineRule="auto"/>
        <w:rPr>
          <w:rFonts w:ascii="Times New Roman" w:eastAsia="바탕" w:hAnsi="Times New Roman" w:cs="Times New Roman"/>
          <w:sz w:val="24"/>
          <w:szCs w:val="24"/>
        </w:rPr>
      </w:pPr>
      <w:r w:rsidRPr="00FC6B80">
        <w:rPr>
          <w:rFonts w:ascii="Times New Roman" w:eastAsia="바탕" w:hAnsi="Times New Roman" w:cs="Times New Roman"/>
          <w:sz w:val="24"/>
          <w:szCs w:val="24"/>
        </w:rPr>
        <w:t>Clinical characteristics and labora</w:t>
      </w:r>
      <w:r w:rsidR="00990771" w:rsidRPr="00FC6B80">
        <w:rPr>
          <w:rFonts w:ascii="Times New Roman" w:eastAsia="바탕" w:hAnsi="Times New Roman" w:cs="Times New Roman"/>
          <w:sz w:val="24"/>
          <w:szCs w:val="24"/>
        </w:rPr>
        <w:t xml:space="preserve">tory findings of patients with </w:t>
      </w:r>
      <w:r w:rsidRPr="00FC6B80">
        <w:rPr>
          <w:rFonts w:ascii="Times New Roman" w:eastAsia="바탕" w:hAnsi="Times New Roman" w:cs="Times New Roman"/>
          <w:sz w:val="24"/>
          <w:szCs w:val="24"/>
        </w:rPr>
        <w:t>A</w:t>
      </w:r>
      <w:r w:rsidR="00990771" w:rsidRPr="00FC6B80">
        <w:rPr>
          <w:rFonts w:ascii="Times New Roman" w:eastAsia="바탕" w:hAnsi="Times New Roman" w:cs="Times New Roman"/>
          <w:sz w:val="24"/>
          <w:szCs w:val="24"/>
        </w:rPr>
        <w:t>S</w:t>
      </w:r>
      <w:r w:rsidRPr="00FC6B80">
        <w:rPr>
          <w:rFonts w:ascii="Times New Roman" w:eastAsia="바탕" w:hAnsi="Times New Roman" w:cs="Times New Roman"/>
          <w:sz w:val="24"/>
          <w:szCs w:val="24"/>
        </w:rPr>
        <w:t xml:space="preserve"> and HC</w:t>
      </w:r>
      <w:bookmarkStart w:id="0" w:name="_GoBack"/>
      <w:bookmarkEnd w:id="0"/>
    </w:p>
    <w:tbl>
      <w:tblPr>
        <w:tblStyle w:val="a4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8"/>
        <w:gridCol w:w="2665"/>
        <w:gridCol w:w="2665"/>
        <w:gridCol w:w="12"/>
      </w:tblGrid>
      <w:tr w:rsidR="00FC6B80" w:rsidRPr="00FC6B80" w14:paraId="50DDE9AB" w14:textId="77777777" w:rsidTr="00441A75">
        <w:trPr>
          <w:trHeight w:val="414"/>
        </w:trPr>
        <w:tc>
          <w:tcPr>
            <w:tcW w:w="3728" w:type="dxa"/>
            <w:tcBorders>
              <w:top w:val="single" w:sz="4" w:space="0" w:color="auto"/>
            </w:tcBorders>
          </w:tcPr>
          <w:p w14:paraId="0A4E47A2" w14:textId="77777777" w:rsidR="00FC6B80" w:rsidRPr="00FC6B80" w:rsidRDefault="00FC6B80" w:rsidP="00714E9A">
            <w:pPr>
              <w:spacing w:line="480" w:lineRule="auto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FC6B80">
              <w:rPr>
                <w:rFonts w:ascii="Times New Roman" w:eastAsia="바탕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1ECE51" w14:textId="77777777" w:rsidR="00FC6B80" w:rsidRPr="00FC6B80" w:rsidRDefault="00FC6B80" w:rsidP="00714E9A">
            <w:pPr>
              <w:spacing w:line="480" w:lineRule="auto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FC6B80">
              <w:rPr>
                <w:rFonts w:ascii="Times New Roman" w:eastAsia="바탕" w:hAnsi="Times New Roman" w:cs="Times New Roman"/>
                <w:sz w:val="24"/>
                <w:szCs w:val="24"/>
              </w:rPr>
              <w:t>PBMC</w:t>
            </w:r>
          </w:p>
        </w:tc>
      </w:tr>
      <w:tr w:rsidR="00FC6B80" w:rsidRPr="00FC6B80" w14:paraId="146810B1" w14:textId="77777777" w:rsidTr="00FC6B80">
        <w:trPr>
          <w:gridAfter w:val="1"/>
          <w:wAfter w:w="12" w:type="dxa"/>
          <w:trHeight w:val="414"/>
        </w:trPr>
        <w:tc>
          <w:tcPr>
            <w:tcW w:w="3728" w:type="dxa"/>
            <w:tcBorders>
              <w:bottom w:val="single" w:sz="4" w:space="0" w:color="auto"/>
            </w:tcBorders>
          </w:tcPr>
          <w:p w14:paraId="6C5A22DB" w14:textId="77777777" w:rsidR="00FC6B80" w:rsidRPr="00FC6B80" w:rsidRDefault="00FC6B80" w:rsidP="00714E9A">
            <w:pPr>
              <w:spacing w:line="480" w:lineRule="auto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14:paraId="58F80E50" w14:textId="77777777" w:rsidR="00FC6B80" w:rsidRPr="00FC6B80" w:rsidRDefault="00FC6B80" w:rsidP="00714E9A">
            <w:pPr>
              <w:spacing w:line="480" w:lineRule="auto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FC6B80">
              <w:rPr>
                <w:rFonts w:ascii="Times New Roman" w:eastAsia="바탕" w:hAnsi="Times New Roman" w:cs="Times New Roman"/>
                <w:sz w:val="24"/>
                <w:szCs w:val="24"/>
              </w:rPr>
              <w:t>HC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14:paraId="3F49FC7D" w14:textId="77777777" w:rsidR="00FC6B80" w:rsidRPr="00FC6B80" w:rsidRDefault="00FC6B80" w:rsidP="00714E9A">
            <w:pPr>
              <w:spacing w:line="480" w:lineRule="auto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FC6B80">
              <w:rPr>
                <w:rFonts w:ascii="Times New Roman" w:eastAsia="바탕" w:hAnsi="Times New Roman" w:cs="Times New Roman"/>
                <w:sz w:val="24"/>
                <w:szCs w:val="24"/>
              </w:rPr>
              <w:t>AS</w:t>
            </w:r>
          </w:p>
        </w:tc>
      </w:tr>
    </w:tbl>
    <w:tbl>
      <w:tblPr>
        <w:tblW w:w="5000" w:type="pct"/>
        <w:tblCellMar>
          <w:left w:w="0" w:type="dxa"/>
        </w:tblCellMar>
        <w:tblLook w:val="04A0" w:firstRow="1" w:lastRow="0" w:firstColumn="1" w:lastColumn="0" w:noHBand="0" w:noVBand="1"/>
      </w:tblPr>
      <w:tblGrid>
        <w:gridCol w:w="3829"/>
        <w:gridCol w:w="2408"/>
        <w:gridCol w:w="2789"/>
      </w:tblGrid>
      <w:tr w:rsidR="00FC6B80" w:rsidRPr="00FC6B80" w14:paraId="348000B4" w14:textId="77777777" w:rsidTr="00714E9A">
        <w:trPr>
          <w:trHeight w:val="326"/>
        </w:trPr>
        <w:tc>
          <w:tcPr>
            <w:tcW w:w="2121" w:type="pct"/>
            <w:tcBorders>
              <w:top w:val="single" w:sz="4" w:space="0" w:color="auto"/>
            </w:tcBorders>
          </w:tcPr>
          <w:p w14:paraId="1A869FD3" w14:textId="77777777" w:rsidR="00FC6B80" w:rsidRPr="00FC6B80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FC6B8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Total number</w:t>
            </w:r>
          </w:p>
        </w:tc>
        <w:tc>
          <w:tcPr>
            <w:tcW w:w="1334" w:type="pct"/>
            <w:tcBorders>
              <w:top w:val="single" w:sz="4" w:space="0" w:color="auto"/>
            </w:tcBorders>
          </w:tcPr>
          <w:p w14:paraId="39AE2DDB" w14:textId="77777777" w:rsidR="00FC6B80" w:rsidRPr="00FC6B80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FC6B8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7</w:t>
            </w:r>
          </w:p>
        </w:tc>
        <w:tc>
          <w:tcPr>
            <w:tcW w:w="1545" w:type="pct"/>
            <w:tcBorders>
              <w:top w:val="single" w:sz="4" w:space="0" w:color="auto"/>
            </w:tcBorders>
          </w:tcPr>
          <w:p w14:paraId="6A21F9FB" w14:textId="44D2A9A7" w:rsidR="00FC6B80" w:rsidRPr="00FC6B80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FC6B8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8</w:t>
            </w:r>
          </w:p>
        </w:tc>
      </w:tr>
      <w:tr w:rsidR="00FC6B80" w:rsidRPr="00B37AE4" w14:paraId="2DE29B71" w14:textId="77777777" w:rsidTr="00714E9A">
        <w:trPr>
          <w:trHeight w:val="317"/>
        </w:trPr>
        <w:tc>
          <w:tcPr>
            <w:tcW w:w="2121" w:type="pct"/>
          </w:tcPr>
          <w:p w14:paraId="2DA7D029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Age, mean 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 SD</w:t>
            </w: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(</w:t>
            </w: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years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)</w:t>
            </w:r>
          </w:p>
        </w:tc>
        <w:tc>
          <w:tcPr>
            <w:tcW w:w="1334" w:type="pct"/>
          </w:tcPr>
          <w:p w14:paraId="19E97569" w14:textId="53455963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25.1</w:t>
            </w:r>
            <w:r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 w:rsidRPr="008A614E">
              <w:rPr>
                <w:rFonts w:ascii="Times New Roman" w:eastAsia="Dutch801BT-Roman" w:hAnsi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Dutch801BT-Roman" w:hAnsi="Times New Roman"/>
                <w:kern w:val="0"/>
                <w:sz w:val="24"/>
                <w:szCs w:val="24"/>
              </w:rPr>
              <w:t xml:space="preserve"> </w:t>
            </w:r>
            <w:r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1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.7</w:t>
            </w:r>
          </w:p>
        </w:tc>
        <w:tc>
          <w:tcPr>
            <w:tcW w:w="1545" w:type="pct"/>
          </w:tcPr>
          <w:p w14:paraId="2C49FFAF" w14:textId="15B756C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37</w:t>
            </w:r>
            <w:r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.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9 </w:t>
            </w:r>
            <w:r w:rsidRPr="008A614E">
              <w:rPr>
                <w:rFonts w:ascii="Times New Roman" w:eastAsia="Dutch801BT-Roman" w:hAnsi="Times New Roman"/>
                <w:kern w:val="0"/>
                <w:sz w:val="24"/>
                <w:szCs w:val="24"/>
              </w:rPr>
              <w:t>±</w:t>
            </w:r>
            <w:r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6</w:t>
            </w:r>
            <w:r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.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5</w:t>
            </w:r>
          </w:p>
        </w:tc>
      </w:tr>
      <w:tr w:rsidR="00FC6B80" w:rsidRPr="00B37AE4" w14:paraId="6DE10465" w14:textId="77777777" w:rsidTr="00714E9A">
        <w:trPr>
          <w:trHeight w:val="326"/>
        </w:trPr>
        <w:tc>
          <w:tcPr>
            <w:tcW w:w="2121" w:type="pct"/>
          </w:tcPr>
          <w:p w14:paraId="697200BC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Male, n (%)</w:t>
            </w:r>
          </w:p>
        </w:tc>
        <w:tc>
          <w:tcPr>
            <w:tcW w:w="1334" w:type="pct"/>
          </w:tcPr>
          <w:p w14:paraId="55931F76" w14:textId="2991D831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5</w:t>
            </w: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71.4)</w:t>
            </w:r>
          </w:p>
        </w:tc>
        <w:tc>
          <w:tcPr>
            <w:tcW w:w="1545" w:type="pct"/>
          </w:tcPr>
          <w:p w14:paraId="082AD2AE" w14:textId="0B55DC4E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5 (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62.5)</w:t>
            </w:r>
          </w:p>
        </w:tc>
      </w:tr>
      <w:tr w:rsidR="00FC6B80" w:rsidRPr="00B37AE4" w14:paraId="6E4F7986" w14:textId="77777777" w:rsidTr="00714E9A">
        <w:trPr>
          <w:trHeight w:val="326"/>
        </w:trPr>
        <w:tc>
          <w:tcPr>
            <w:tcW w:w="2121" w:type="pct"/>
          </w:tcPr>
          <w:p w14:paraId="6C7296D1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BASDAI, mean ± SD</w:t>
            </w:r>
          </w:p>
        </w:tc>
        <w:tc>
          <w:tcPr>
            <w:tcW w:w="1334" w:type="pct"/>
          </w:tcPr>
          <w:p w14:paraId="0310C125" w14:textId="77C7C175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NA</w:t>
            </w:r>
          </w:p>
        </w:tc>
        <w:tc>
          <w:tcPr>
            <w:tcW w:w="1545" w:type="pct"/>
          </w:tcPr>
          <w:p w14:paraId="34CE6D9A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5.7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 w:rsidRPr="008A614E">
              <w:rPr>
                <w:rFonts w:ascii="Times New Roman" w:eastAsia="Dutch801BT-Roman" w:hAnsi="Times New Roman"/>
                <w:kern w:val="0"/>
                <w:sz w:val="24"/>
                <w:szCs w:val="24"/>
              </w:rPr>
              <w:t>±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A7A" w:rsidRPr="00B37AE4" w14:paraId="5996F954" w14:textId="77777777" w:rsidTr="00714E9A">
        <w:trPr>
          <w:trHeight w:val="326"/>
        </w:trPr>
        <w:tc>
          <w:tcPr>
            <w:tcW w:w="2121" w:type="pct"/>
          </w:tcPr>
          <w:p w14:paraId="44BC335D" w14:textId="77777777" w:rsidR="000D5A7A" w:rsidRPr="00B37AE4" w:rsidRDefault="000D5A7A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CRP, mean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 SD</w:t>
            </w: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(range, mg/L)</w:t>
            </w:r>
          </w:p>
        </w:tc>
        <w:tc>
          <w:tcPr>
            <w:tcW w:w="1334" w:type="pct"/>
          </w:tcPr>
          <w:p w14:paraId="030B52CD" w14:textId="77777777" w:rsidR="000D5A7A" w:rsidRPr="00B37AE4" w:rsidRDefault="000D5A7A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545" w:type="pct"/>
          </w:tcPr>
          <w:p w14:paraId="6474380B" w14:textId="77777777" w:rsidR="000D5A7A" w:rsidRPr="00B37AE4" w:rsidRDefault="000D5A7A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2.1 </w:t>
            </w:r>
            <w:r w:rsidRPr="008A614E">
              <w:rPr>
                <w:rFonts w:ascii="Times New Roman" w:eastAsia="Dutch801BT-Roman" w:hAnsi="Times New Roman"/>
                <w:kern w:val="0"/>
                <w:sz w:val="24"/>
                <w:szCs w:val="24"/>
              </w:rPr>
              <w:t>±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2.9</w:t>
            </w:r>
          </w:p>
        </w:tc>
      </w:tr>
      <w:tr w:rsidR="00FC6B80" w:rsidRPr="00B37AE4" w14:paraId="236E5D9B" w14:textId="77777777" w:rsidTr="00714E9A">
        <w:trPr>
          <w:trHeight w:val="326"/>
        </w:trPr>
        <w:tc>
          <w:tcPr>
            <w:tcW w:w="2121" w:type="pct"/>
          </w:tcPr>
          <w:p w14:paraId="79F5EC95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HLA-B27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, n </w:t>
            </w:r>
            <w:r w:rsidRPr="00B37A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334" w:type="pct"/>
          </w:tcPr>
          <w:p w14:paraId="6A820756" w14:textId="7FAEF7C0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NA</w:t>
            </w:r>
          </w:p>
        </w:tc>
        <w:tc>
          <w:tcPr>
            <w:tcW w:w="1545" w:type="pct"/>
          </w:tcPr>
          <w:p w14:paraId="19606E26" w14:textId="666AFF0A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8 (100)</w:t>
            </w:r>
          </w:p>
        </w:tc>
      </w:tr>
      <w:tr w:rsidR="00FC6B80" w:rsidRPr="00B37AE4" w14:paraId="415F97CF" w14:textId="77777777" w:rsidTr="00714E9A">
        <w:trPr>
          <w:trHeight w:val="326"/>
        </w:trPr>
        <w:tc>
          <w:tcPr>
            <w:tcW w:w="2121" w:type="pct"/>
          </w:tcPr>
          <w:p w14:paraId="4CE450A1" w14:textId="375F1041" w:rsidR="00FC6B80" w:rsidRPr="00B37AE4" w:rsidRDefault="009E1806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  <w:lang w:val="pt-BR"/>
              </w:rPr>
              <w:t xml:space="preserve">Current </w:t>
            </w:r>
            <w:r w:rsidR="00FC6B80"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treatments </w:t>
            </w:r>
          </w:p>
        </w:tc>
        <w:tc>
          <w:tcPr>
            <w:tcW w:w="1334" w:type="pct"/>
          </w:tcPr>
          <w:p w14:paraId="6DF620F4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한양견고딕,한컴돋움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pct"/>
          </w:tcPr>
          <w:p w14:paraId="165B2322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</w:p>
        </w:tc>
      </w:tr>
      <w:tr w:rsidR="00FC6B80" w:rsidRPr="00B37AE4" w14:paraId="6ED12303" w14:textId="77777777" w:rsidTr="00714E9A">
        <w:trPr>
          <w:trHeight w:val="326"/>
        </w:trPr>
        <w:tc>
          <w:tcPr>
            <w:tcW w:w="2121" w:type="pct"/>
          </w:tcPr>
          <w:p w14:paraId="76CCF112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 NSAIDs use, n (%)</w:t>
            </w:r>
          </w:p>
        </w:tc>
        <w:tc>
          <w:tcPr>
            <w:tcW w:w="1334" w:type="pct"/>
          </w:tcPr>
          <w:p w14:paraId="2F493A33" w14:textId="51C013AB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한양견고딕,한컴돋움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NA</w:t>
            </w:r>
          </w:p>
        </w:tc>
        <w:tc>
          <w:tcPr>
            <w:tcW w:w="1545" w:type="pct"/>
          </w:tcPr>
          <w:p w14:paraId="274A7758" w14:textId="1B2C4C15" w:rsidR="00FC6B80" w:rsidRPr="00B37AE4" w:rsidRDefault="000D5A7A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8</w:t>
            </w:r>
            <w:r w:rsidR="00FC6B80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(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100</w:t>
            </w:r>
            <w:r w:rsidR="00FC6B80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)</w:t>
            </w:r>
          </w:p>
        </w:tc>
      </w:tr>
      <w:tr w:rsidR="00FC6B80" w:rsidRPr="00B37AE4" w14:paraId="7627C350" w14:textId="77777777" w:rsidTr="00714E9A">
        <w:trPr>
          <w:trHeight w:val="326"/>
        </w:trPr>
        <w:tc>
          <w:tcPr>
            <w:tcW w:w="2121" w:type="pct"/>
          </w:tcPr>
          <w:p w14:paraId="68392532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  <w:lang w:val="pt-BR"/>
              </w:rPr>
              <w:t>Sulfasalazine use, n (%)</w:t>
            </w:r>
          </w:p>
        </w:tc>
        <w:tc>
          <w:tcPr>
            <w:tcW w:w="1334" w:type="pct"/>
          </w:tcPr>
          <w:p w14:paraId="7354D9C9" w14:textId="579E9E8F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한양견고딕,한컴돋움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545" w:type="pct"/>
          </w:tcPr>
          <w:p w14:paraId="1933E012" w14:textId="2C2D1E27" w:rsidR="00FC6B80" w:rsidRDefault="00441A75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</w:t>
            </w:r>
            <w:r w:rsidR="00FC6B80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(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25.0</w:t>
            </w:r>
            <w:r w:rsidR="00FC6B80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)</w:t>
            </w:r>
          </w:p>
        </w:tc>
      </w:tr>
      <w:tr w:rsidR="00FC6B80" w:rsidRPr="00B37AE4" w14:paraId="27E9FE55" w14:textId="77777777" w:rsidTr="00714E9A">
        <w:trPr>
          <w:trHeight w:val="326"/>
        </w:trPr>
        <w:tc>
          <w:tcPr>
            <w:tcW w:w="2121" w:type="pct"/>
            <w:tcBorders>
              <w:bottom w:val="single" w:sz="4" w:space="0" w:color="auto"/>
            </w:tcBorders>
          </w:tcPr>
          <w:p w14:paraId="6E7CDDC7" w14:textId="77777777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 w:rsidRPr="00B37AE4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 TNF-blocker use, n (%)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4755161A" w14:textId="3029D900" w:rsidR="00FC6B80" w:rsidRPr="00B37AE4" w:rsidRDefault="00FC6B80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한양견고딕,한컴돋움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한양견고딕,한컴돋움" w:hAnsi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545" w:type="pct"/>
            <w:tcBorders>
              <w:bottom w:val="single" w:sz="4" w:space="0" w:color="auto"/>
            </w:tcBorders>
          </w:tcPr>
          <w:p w14:paraId="263DB232" w14:textId="17241E6B" w:rsidR="00FC6B80" w:rsidRPr="00B37AE4" w:rsidRDefault="00441A75" w:rsidP="00714E9A">
            <w:pPr>
              <w:widowControl/>
              <w:tabs>
                <w:tab w:val="left" w:pos="547"/>
              </w:tabs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</w:pP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</w:t>
            </w:r>
            <w:r w:rsidR="00FC6B80" w:rsidRPr="00B37AE4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 xml:space="preserve"> (</w:t>
            </w:r>
            <w:r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25.0</w:t>
            </w:r>
            <w:r w:rsidR="00FC6B80">
              <w:rPr>
                <w:rFonts w:ascii="Times New Roman" w:eastAsia="바탕" w:hAnsi="Times New Roman"/>
                <w:color w:val="000000" w:themeColor="text1"/>
                <w:kern w:val="0"/>
                <w:sz w:val="24"/>
                <w:szCs w:val="24"/>
                <w:lang w:val="pt-BR"/>
              </w:rPr>
              <w:t>)</w:t>
            </w:r>
          </w:p>
        </w:tc>
      </w:tr>
    </w:tbl>
    <w:p w14:paraId="56CED85F" w14:textId="6DFC7EC9" w:rsidR="00FC6B80" w:rsidRDefault="00F67783" w:rsidP="00FC6B80">
      <w:pPr>
        <w:wordWrap/>
        <w:spacing w:after="0" w:line="360" w:lineRule="auto"/>
        <w:jc w:val="left"/>
        <w:rPr>
          <w:lang w:val="pt-BR"/>
        </w:rPr>
      </w:pPr>
      <w:r>
        <w:rPr>
          <w:rFonts w:ascii="Times New Roman" w:hAnsi="Times New Roman"/>
          <w:kern w:val="0"/>
          <w:sz w:val="24"/>
          <w:szCs w:val="24"/>
        </w:rPr>
        <w:t xml:space="preserve">AS: </w:t>
      </w:r>
      <w:r w:rsidRPr="00427901">
        <w:rPr>
          <w:rFonts w:ascii="Times New Roman" w:hAnsi="Times New Roman"/>
          <w:kern w:val="0"/>
          <w:sz w:val="24"/>
          <w:szCs w:val="24"/>
        </w:rPr>
        <w:t>Ankylosing Spondylitis</w:t>
      </w:r>
      <w:r>
        <w:rPr>
          <w:rFonts w:ascii="Times New Roman" w:hAnsi="Times New Roman"/>
          <w:kern w:val="0"/>
          <w:sz w:val="24"/>
          <w:szCs w:val="24"/>
        </w:rPr>
        <w:t>,</w:t>
      </w:r>
      <w:r w:rsidRPr="00427901">
        <w:rPr>
          <w:rFonts w:ascii="Times New Roman" w:hAnsi="Times New Roman"/>
          <w:kern w:val="0"/>
          <w:sz w:val="24"/>
          <w:szCs w:val="24"/>
        </w:rPr>
        <w:t xml:space="preserve"> </w:t>
      </w:r>
      <w:r w:rsidR="00FC6B80" w:rsidRPr="00427901">
        <w:rPr>
          <w:rFonts w:ascii="Times New Roman" w:hAnsi="Times New Roman"/>
          <w:kern w:val="0"/>
          <w:sz w:val="24"/>
          <w:szCs w:val="24"/>
        </w:rPr>
        <w:t xml:space="preserve">BASDAI: Bath Ankylosing Spondylitis Disease Activity Index, </w:t>
      </w:r>
      <w:r w:rsidRPr="00427901">
        <w:rPr>
          <w:rFonts w:ascii="Times New Roman" w:hAnsi="Times New Roman"/>
          <w:kern w:val="0"/>
          <w:sz w:val="24"/>
          <w:szCs w:val="24"/>
        </w:rPr>
        <w:t>CRP: C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427901">
        <w:rPr>
          <w:rFonts w:ascii="Times New Roman" w:hAnsi="Times New Roman"/>
          <w:kern w:val="0"/>
          <w:sz w:val="24"/>
          <w:szCs w:val="24"/>
        </w:rPr>
        <w:t>reactive Protein,</w:t>
      </w:r>
      <w:r>
        <w:rPr>
          <w:rFonts w:ascii="Times New Roman" w:hAnsi="Times New Roman"/>
          <w:kern w:val="0"/>
          <w:sz w:val="24"/>
          <w:szCs w:val="24"/>
        </w:rPr>
        <w:t xml:space="preserve"> HC: Healthy Control, </w:t>
      </w:r>
      <w:r w:rsidR="00FC6B80" w:rsidRPr="00427901">
        <w:rPr>
          <w:rFonts w:ascii="Times New Roman" w:hAnsi="Times New Roman"/>
          <w:kern w:val="0"/>
          <w:sz w:val="24"/>
          <w:szCs w:val="24"/>
        </w:rPr>
        <w:t xml:space="preserve">HLA: Human Leukocyte Antigen, </w:t>
      </w:r>
      <w:r w:rsidR="00FC6B80" w:rsidRPr="00427901">
        <w:rPr>
          <w:rFonts w:ascii="Times New Roman" w:hAnsi="Times New Roman"/>
          <w:sz w:val="24"/>
          <w:szCs w:val="24"/>
        </w:rPr>
        <w:t xml:space="preserve">NSAIDs: </w:t>
      </w:r>
      <w:r w:rsidR="00FC6B80" w:rsidRPr="00427901">
        <w:rPr>
          <w:rFonts w:ascii="Times New Roman" w:hAnsi="Times New Roman"/>
          <w:kern w:val="0"/>
          <w:sz w:val="24"/>
          <w:szCs w:val="24"/>
        </w:rPr>
        <w:t xml:space="preserve">Non-steroid inflammatory drugs, </w:t>
      </w:r>
      <w:r>
        <w:rPr>
          <w:rFonts w:ascii="Times New Roman" w:hAnsi="Times New Roman"/>
          <w:kern w:val="0"/>
          <w:sz w:val="24"/>
          <w:szCs w:val="24"/>
        </w:rPr>
        <w:t xml:space="preserve">PBMC: </w:t>
      </w:r>
      <w:r w:rsidRPr="00545D2C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Peripheral </w:t>
      </w:r>
      <w:r>
        <w:rPr>
          <w:rFonts w:ascii="Times New Roman" w:eastAsia="Arial Unicode MS" w:hAnsi="Times New Roman" w:cs="Times New Roman"/>
          <w:kern w:val="0"/>
          <w:sz w:val="24"/>
          <w:szCs w:val="24"/>
        </w:rPr>
        <w:t>B</w:t>
      </w:r>
      <w:r w:rsidRPr="00545D2C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lood </w:t>
      </w:r>
      <w:r>
        <w:rPr>
          <w:rFonts w:ascii="Times New Roman" w:eastAsia="Arial Unicode MS" w:hAnsi="Times New Roman" w:cs="Times New Roman"/>
          <w:kern w:val="0"/>
          <w:sz w:val="24"/>
          <w:szCs w:val="24"/>
        </w:rPr>
        <w:t>M</w:t>
      </w:r>
      <w:r w:rsidRPr="00545D2C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ononuclear </w:t>
      </w:r>
      <w:r>
        <w:rPr>
          <w:rFonts w:ascii="Times New Roman" w:eastAsia="Arial Unicode MS" w:hAnsi="Times New Roman" w:cs="Times New Roman"/>
          <w:kern w:val="0"/>
          <w:sz w:val="24"/>
          <w:szCs w:val="24"/>
        </w:rPr>
        <w:t>C</w:t>
      </w:r>
      <w:r w:rsidRPr="00545D2C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ell </w:t>
      </w:r>
      <w:r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, </w:t>
      </w:r>
      <w:r w:rsidR="00FC6B80" w:rsidRPr="00427901">
        <w:rPr>
          <w:rFonts w:ascii="Times New Roman" w:hAnsi="Times New Roman"/>
          <w:kern w:val="0"/>
          <w:sz w:val="24"/>
          <w:szCs w:val="24"/>
        </w:rPr>
        <w:t xml:space="preserve">TNF: Tumor Necrosis Factor </w:t>
      </w:r>
    </w:p>
    <w:p w14:paraId="584F9804" w14:textId="77777777" w:rsidR="00FC6B80" w:rsidRDefault="00FC6B80" w:rsidP="00FC6B80">
      <w:pPr>
        <w:spacing w:line="360" w:lineRule="auto"/>
        <w:rPr>
          <w:lang w:val="pt-BR"/>
        </w:rPr>
      </w:pPr>
    </w:p>
    <w:p w14:paraId="681A13F7" w14:textId="47AFB50A" w:rsidR="00CD3267" w:rsidRPr="00FC6B80" w:rsidRDefault="00CD3267" w:rsidP="00856E3E">
      <w:pPr>
        <w:widowControl/>
        <w:wordWrap/>
        <w:autoSpaceDE/>
        <w:autoSpaceDN/>
        <w:spacing w:line="480" w:lineRule="auto"/>
        <w:rPr>
          <w:rFonts w:ascii="바탕" w:eastAsia="바탕" w:hAnsi="바탕" w:cs="Times New Roman"/>
          <w:szCs w:val="20"/>
          <w:lang w:val="pt-BR"/>
        </w:rPr>
      </w:pPr>
    </w:p>
    <w:sectPr w:rsidR="00CD3267" w:rsidRPr="00FC6B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20306" w14:textId="77777777" w:rsidR="00130715" w:rsidRDefault="00130715" w:rsidP="003B3D3A">
      <w:pPr>
        <w:spacing w:after="0" w:line="240" w:lineRule="auto"/>
      </w:pPr>
      <w:r>
        <w:separator/>
      </w:r>
    </w:p>
  </w:endnote>
  <w:endnote w:type="continuationSeparator" w:id="0">
    <w:p w14:paraId="74391D5F" w14:textId="77777777" w:rsidR="00130715" w:rsidRDefault="00130715" w:rsidP="003B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utch801BT-Roman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한양견고딕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altName w:val="함초롬바탕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506C8" w14:textId="77777777" w:rsidR="00130715" w:rsidRDefault="00130715" w:rsidP="003B3D3A">
      <w:pPr>
        <w:spacing w:after="0" w:line="240" w:lineRule="auto"/>
      </w:pPr>
      <w:r>
        <w:separator/>
      </w:r>
    </w:p>
  </w:footnote>
  <w:footnote w:type="continuationSeparator" w:id="0">
    <w:p w14:paraId="4DABA5F7" w14:textId="77777777" w:rsidR="00130715" w:rsidRDefault="00130715" w:rsidP="003B3D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78"/>
    <w:rsid w:val="000461E2"/>
    <w:rsid w:val="000927E9"/>
    <w:rsid w:val="000A36F1"/>
    <w:rsid w:val="000A7152"/>
    <w:rsid w:val="000D5A7A"/>
    <w:rsid w:val="00130715"/>
    <w:rsid w:val="001A7FFE"/>
    <w:rsid w:val="001B27D0"/>
    <w:rsid w:val="00214C37"/>
    <w:rsid w:val="00266A5D"/>
    <w:rsid w:val="0027004E"/>
    <w:rsid w:val="002821B4"/>
    <w:rsid w:val="002C0C5B"/>
    <w:rsid w:val="002F2B1D"/>
    <w:rsid w:val="00322AA6"/>
    <w:rsid w:val="003644A6"/>
    <w:rsid w:val="003B3D3A"/>
    <w:rsid w:val="00433944"/>
    <w:rsid w:val="00441A75"/>
    <w:rsid w:val="00475081"/>
    <w:rsid w:val="004D2B0C"/>
    <w:rsid w:val="004F3C0F"/>
    <w:rsid w:val="00514021"/>
    <w:rsid w:val="00586D59"/>
    <w:rsid w:val="005B37B8"/>
    <w:rsid w:val="005B5935"/>
    <w:rsid w:val="00610B33"/>
    <w:rsid w:val="00682A3C"/>
    <w:rsid w:val="006C4458"/>
    <w:rsid w:val="006C6633"/>
    <w:rsid w:val="006C7553"/>
    <w:rsid w:val="006F3E3C"/>
    <w:rsid w:val="00714E9A"/>
    <w:rsid w:val="00716DB5"/>
    <w:rsid w:val="007B5224"/>
    <w:rsid w:val="007C78B2"/>
    <w:rsid w:val="007D3C8C"/>
    <w:rsid w:val="00806CBA"/>
    <w:rsid w:val="00856E3E"/>
    <w:rsid w:val="008E11AA"/>
    <w:rsid w:val="008F4ACB"/>
    <w:rsid w:val="009241EC"/>
    <w:rsid w:val="00947761"/>
    <w:rsid w:val="00951BF1"/>
    <w:rsid w:val="009740F1"/>
    <w:rsid w:val="00990771"/>
    <w:rsid w:val="009C7568"/>
    <w:rsid w:val="009E1806"/>
    <w:rsid w:val="00A25484"/>
    <w:rsid w:val="00A3096A"/>
    <w:rsid w:val="00A670BE"/>
    <w:rsid w:val="00A87EC6"/>
    <w:rsid w:val="00A90344"/>
    <w:rsid w:val="00A94E76"/>
    <w:rsid w:val="00AC42E4"/>
    <w:rsid w:val="00AD24DD"/>
    <w:rsid w:val="00B10C9A"/>
    <w:rsid w:val="00B229E5"/>
    <w:rsid w:val="00B36FFD"/>
    <w:rsid w:val="00B550C8"/>
    <w:rsid w:val="00B774B7"/>
    <w:rsid w:val="00BC6BA7"/>
    <w:rsid w:val="00C024DF"/>
    <w:rsid w:val="00C876CB"/>
    <w:rsid w:val="00CD3267"/>
    <w:rsid w:val="00D15746"/>
    <w:rsid w:val="00D86A78"/>
    <w:rsid w:val="00D87FB5"/>
    <w:rsid w:val="00DD0BDF"/>
    <w:rsid w:val="00E06686"/>
    <w:rsid w:val="00E51F10"/>
    <w:rsid w:val="00E65AF1"/>
    <w:rsid w:val="00E95ABF"/>
    <w:rsid w:val="00EC323E"/>
    <w:rsid w:val="00F66A3E"/>
    <w:rsid w:val="00F67783"/>
    <w:rsid w:val="00F85126"/>
    <w:rsid w:val="00F93F85"/>
    <w:rsid w:val="00FA651B"/>
    <w:rsid w:val="00FC6B80"/>
    <w:rsid w:val="00F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B2ED1"/>
  <w15:chartTrackingRefBased/>
  <w15:docId w15:val="{AC5FF9EB-EE37-462C-A603-12DA77EF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D86A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6F3E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6F3E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4">
    <w:name w:val="Grid Table Light"/>
    <w:basedOn w:val="a1"/>
    <w:uiPriority w:val="40"/>
    <w:rsid w:val="006F3E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Char"/>
    <w:uiPriority w:val="99"/>
    <w:unhideWhenUsed/>
    <w:rsid w:val="003B3D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B3D3A"/>
  </w:style>
  <w:style w:type="paragraph" w:styleId="a6">
    <w:name w:val="footer"/>
    <w:basedOn w:val="a"/>
    <w:link w:val="Char0"/>
    <w:uiPriority w:val="99"/>
    <w:unhideWhenUsed/>
    <w:rsid w:val="003B3D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B3D3A"/>
  </w:style>
  <w:style w:type="character" w:styleId="a7">
    <w:name w:val="Emphasis"/>
    <w:basedOn w:val="a0"/>
    <w:uiPriority w:val="20"/>
    <w:qFormat/>
    <w:rsid w:val="00B774B7"/>
    <w:rPr>
      <w:i/>
      <w:iCs/>
    </w:rPr>
  </w:style>
  <w:style w:type="paragraph" w:styleId="a8">
    <w:name w:val="Normal (Web)"/>
    <w:basedOn w:val="a"/>
    <w:uiPriority w:val="99"/>
    <w:semiHidden/>
    <w:unhideWhenUsed/>
    <w:rsid w:val="00514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285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2</cp:revision>
  <dcterms:created xsi:type="dcterms:W3CDTF">2023-03-10T02:44:00Z</dcterms:created>
  <dcterms:modified xsi:type="dcterms:W3CDTF">2023-03-10T02:44:00Z</dcterms:modified>
</cp:coreProperties>
</file>