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1D920" w14:textId="4CE27A19" w:rsidR="005B2480" w:rsidRDefault="009E272B" w:rsidP="005B2480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Hlk129026981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softHyphen/>
      </w:r>
      <w:r w:rsidR="005B2480" w:rsidRPr="0045316E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</w:t>
      </w:r>
      <w:r w:rsidR="00151BC5">
        <w:rPr>
          <w:rFonts w:ascii="Times New Roman" w:hAnsi="Times New Roman" w:cs="Times New Roman"/>
          <w:b/>
          <w:bCs/>
          <w:sz w:val="24"/>
          <w:szCs w:val="24"/>
          <w:lang w:val="en-GB"/>
        </w:rPr>
        <w:t>RY MATERIAL</w:t>
      </w:r>
    </w:p>
    <w:p w14:paraId="5764D1BF" w14:textId="4AF12692" w:rsidR="00130205" w:rsidRDefault="00B627A9" w:rsidP="002B14F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23A5FFE9" wp14:editId="20619C70">
            <wp:extent cx="5760720" cy="4323080"/>
            <wp:effectExtent l="0" t="0" r="0" b="1270"/>
            <wp:docPr id="7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86255" w14:textId="77777777" w:rsidR="003F4D4A" w:rsidRDefault="003F4D4A" w:rsidP="00130205">
      <w:pPr>
        <w:rPr>
          <w:b/>
          <w:bCs/>
          <w:lang w:val="en-US"/>
        </w:rPr>
      </w:pPr>
    </w:p>
    <w:p w14:paraId="57CBC079" w14:textId="762089ED" w:rsidR="00130205" w:rsidRPr="008C54E8" w:rsidRDefault="00130205" w:rsidP="00130205">
      <w:pPr>
        <w:rPr>
          <w:lang w:val="en-US"/>
        </w:rPr>
      </w:pPr>
      <w:r w:rsidRPr="008C54E8">
        <w:rPr>
          <w:b/>
          <w:bCs/>
          <w:lang w:val="en-US"/>
        </w:rPr>
        <w:t xml:space="preserve">Supplementary Figure </w:t>
      </w:r>
      <w:r w:rsidR="002B14FC">
        <w:rPr>
          <w:b/>
          <w:bCs/>
          <w:lang w:val="en-US"/>
        </w:rPr>
        <w:t>1</w:t>
      </w:r>
      <w:r w:rsidRPr="008C54E8">
        <w:rPr>
          <w:b/>
          <w:bCs/>
          <w:lang w:val="en-US"/>
        </w:rPr>
        <w:t>:</w:t>
      </w:r>
      <w:r w:rsidRPr="008C54E8">
        <w:rPr>
          <w:lang w:val="en-US"/>
        </w:rPr>
        <w:t xml:space="preserve"> Rates of </w:t>
      </w:r>
      <w:r w:rsidR="007C5CB8" w:rsidRPr="008C54E8">
        <w:rPr>
          <w:lang w:val="en-US"/>
        </w:rPr>
        <w:t>i</w:t>
      </w:r>
      <w:r w:rsidRPr="008C54E8">
        <w:rPr>
          <w:lang w:val="en-US"/>
        </w:rPr>
        <w:t xml:space="preserve">ncident </w:t>
      </w:r>
      <w:r w:rsidR="00864A41" w:rsidRPr="008C54E8">
        <w:rPr>
          <w:lang w:val="en-US"/>
        </w:rPr>
        <w:t>s</w:t>
      </w:r>
      <w:r w:rsidRPr="008C54E8">
        <w:rPr>
          <w:lang w:val="en-US"/>
        </w:rPr>
        <w:t>yphilis</w:t>
      </w:r>
      <w:r w:rsidR="008C54E8" w:rsidRPr="008C54E8">
        <w:rPr>
          <w:lang w:val="en-US"/>
        </w:rPr>
        <w:t xml:space="preserve"> </w:t>
      </w:r>
      <w:r w:rsidR="002B14FC">
        <w:rPr>
          <w:lang w:val="en-US"/>
        </w:rPr>
        <w:t xml:space="preserve">per 100 PYFU </w:t>
      </w:r>
      <w:r w:rsidR="008C54E8" w:rsidRPr="008C54E8">
        <w:rPr>
          <w:lang w:val="en-US"/>
        </w:rPr>
        <w:t>with 95% confidence interval</w:t>
      </w:r>
      <w:r w:rsidRPr="008C54E8">
        <w:rPr>
          <w:lang w:val="en-US"/>
        </w:rPr>
        <w:t xml:space="preserve"> in men living with HIV by sociodemographic and clinical characteristics and </w:t>
      </w:r>
      <w:r w:rsidR="009E272B" w:rsidRPr="008C54E8">
        <w:rPr>
          <w:lang w:val="en-US"/>
        </w:rPr>
        <w:t>crude (univariable)</w:t>
      </w:r>
      <w:r w:rsidRPr="008C54E8">
        <w:rPr>
          <w:lang w:val="en-US"/>
        </w:rPr>
        <w:t xml:space="preserve"> and multivariable </w:t>
      </w:r>
      <w:r w:rsidR="008C54E8">
        <w:rPr>
          <w:lang w:val="en-US"/>
        </w:rPr>
        <w:t xml:space="preserve">IRR for </w:t>
      </w:r>
      <w:r w:rsidRPr="008C54E8">
        <w:rPr>
          <w:lang w:val="en-US"/>
        </w:rPr>
        <w:t xml:space="preserve">syphilis </w:t>
      </w:r>
      <w:r w:rsidR="009E272B" w:rsidRPr="008C54E8">
        <w:rPr>
          <w:lang w:val="en-US"/>
        </w:rPr>
        <w:t>events</w:t>
      </w:r>
      <w:r w:rsidRPr="008C54E8">
        <w:rPr>
          <w:lang w:val="en-US"/>
        </w:rPr>
        <w:t>, Croatia, 2018 to 2021.</w:t>
      </w:r>
      <w:r w:rsidR="00D6373E" w:rsidRPr="008C54E8">
        <w:rPr>
          <w:lang w:val="en-US"/>
        </w:rPr>
        <w:t xml:space="preserve"> Years are </w:t>
      </w:r>
      <w:r w:rsidR="00B627A9" w:rsidRPr="008C54E8">
        <w:rPr>
          <w:lang w:val="en-US"/>
        </w:rPr>
        <w:t xml:space="preserve">person-years of </w:t>
      </w:r>
      <w:r w:rsidR="00D6373E" w:rsidRPr="008C54E8">
        <w:rPr>
          <w:lang w:val="en-US"/>
        </w:rPr>
        <w:t>follow-up.</w:t>
      </w:r>
      <w:r w:rsidR="001E6145">
        <w:rPr>
          <w:lang w:val="en-US"/>
        </w:rPr>
        <w:t xml:space="preserve"> </w:t>
      </w:r>
      <w:bookmarkStart w:id="1" w:name="_Hlk128365872"/>
      <w:r w:rsidR="001E6145">
        <w:rPr>
          <w:lang w:val="en-US"/>
        </w:rPr>
        <w:t xml:space="preserve">The overall incidence rate </w:t>
      </w:r>
      <w:r w:rsidR="001E6145" w:rsidRPr="00C16C2D">
        <w:rPr>
          <w:rFonts w:cstheme="minorHAnsi"/>
        </w:rPr>
        <w:t>per 100 PYFU</w:t>
      </w:r>
      <w:r w:rsidR="001E6145">
        <w:rPr>
          <w:lang w:val="en-US"/>
        </w:rPr>
        <w:t xml:space="preserve"> was </w:t>
      </w:r>
      <w:r w:rsidR="001E6145">
        <w:rPr>
          <w:rFonts w:cstheme="minorHAnsi"/>
          <w:color w:val="000000"/>
          <w:shd w:val="clear" w:color="auto" w:fill="FFFFFF"/>
        </w:rPr>
        <w:t xml:space="preserve">6.0 </w:t>
      </w:r>
      <w:r w:rsidR="001E6145" w:rsidRPr="00C16C2D">
        <w:rPr>
          <w:rFonts w:cstheme="minorHAnsi"/>
          <w:color w:val="000000"/>
          <w:shd w:val="clear" w:color="auto" w:fill="FFFFFF"/>
        </w:rPr>
        <w:t xml:space="preserve">(95% CI, </w:t>
      </w:r>
      <w:r w:rsidR="001E6145" w:rsidRPr="006A777A">
        <w:t>5.3–6.8</w:t>
      </w:r>
      <w:r w:rsidR="001E6145" w:rsidRPr="00C16C2D">
        <w:rPr>
          <w:rFonts w:cstheme="minorHAnsi"/>
          <w:color w:val="000000"/>
          <w:shd w:val="clear" w:color="auto" w:fill="FFFFFF"/>
        </w:rPr>
        <w:t>)</w:t>
      </w:r>
      <w:r w:rsidR="001E6145">
        <w:rPr>
          <w:rFonts w:cstheme="minorHAnsi"/>
          <w:color w:val="000000"/>
          <w:shd w:val="clear" w:color="auto" w:fill="FFFFFF"/>
        </w:rPr>
        <w:t xml:space="preserve">. </w:t>
      </w:r>
      <w:bookmarkEnd w:id="1"/>
    </w:p>
    <w:p w14:paraId="343DDF2C" w14:textId="5704AF4A" w:rsidR="00130205" w:rsidRPr="008C54E8" w:rsidRDefault="00130205" w:rsidP="006B4317">
      <w:pPr>
        <w:pStyle w:val="Pa26"/>
        <w:rPr>
          <w:rFonts w:asciiTheme="minorHAnsi" w:hAnsiTheme="minorHAnsi" w:cstheme="minorHAnsi"/>
          <w:sz w:val="20"/>
          <w:szCs w:val="20"/>
        </w:rPr>
      </w:pPr>
      <w:r w:rsidRPr="008C54E8">
        <w:rPr>
          <w:rFonts w:asciiTheme="minorHAnsi" w:hAnsiTheme="minorHAnsi" w:cstheme="minorHAnsi"/>
          <w:color w:val="000000"/>
          <w:sz w:val="20"/>
          <w:szCs w:val="20"/>
        </w:rPr>
        <w:t>MSM, men who have sex with men; IRR, incidence rate ratio; CI, confidence intervals</w:t>
      </w:r>
      <w:r w:rsidR="001E614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1E6145" w:rsidRPr="001E6145">
        <w:rPr>
          <w:rFonts w:asciiTheme="minorHAnsi" w:hAnsiTheme="minorHAnsi" w:cstheme="minorHAnsi"/>
          <w:sz w:val="20"/>
          <w:szCs w:val="20"/>
        </w:rPr>
        <w:t>PYFU, person-years of follow-up</w:t>
      </w:r>
      <w:r w:rsidRPr="001E6145">
        <w:rPr>
          <w:rFonts w:asciiTheme="minorHAnsi" w:hAnsiTheme="minorHAnsi" w:cstheme="minorHAnsi"/>
          <w:color w:val="000000"/>
          <w:sz w:val="20"/>
          <w:szCs w:val="20"/>
        </w:rPr>
        <w:t>;</w:t>
      </w:r>
      <w:r w:rsidRPr="008C54E8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002042" w:rsidRPr="008C54E8">
        <w:rPr>
          <w:rFonts w:asciiTheme="minorHAnsi" w:hAnsiTheme="minorHAnsi" w:cstheme="minorHAnsi"/>
          <w:color w:val="000000"/>
          <w:sz w:val="20"/>
          <w:szCs w:val="20"/>
        </w:rPr>
        <w:t>Clinical AIDS, HIV-1 RNA, hepatitis C and previous syphilis diagnosis were time-updated variables.</w:t>
      </w:r>
      <w:r w:rsidRPr="008C54E8">
        <w:rPr>
          <w:rFonts w:asciiTheme="minorHAnsi" w:hAnsiTheme="minorHAnsi" w:cstheme="minorHAnsi"/>
          <w:color w:val="221E1F"/>
          <w:sz w:val="20"/>
          <w:szCs w:val="20"/>
        </w:rPr>
        <w:t xml:space="preserve"> </w:t>
      </w:r>
      <w:r w:rsidRPr="008C54E8">
        <w:rPr>
          <w:rFonts w:asciiTheme="minorHAnsi" w:hAnsiTheme="minorHAnsi" w:cstheme="minorHAnsi"/>
          <w:sz w:val="20"/>
          <w:szCs w:val="20"/>
        </w:rPr>
        <w:t xml:space="preserve">IRR are based on a generalized </w:t>
      </w:r>
      <w:r w:rsidR="001E13D1" w:rsidRPr="008C54E8">
        <w:rPr>
          <w:rFonts w:asciiTheme="minorHAnsi" w:hAnsiTheme="minorHAnsi" w:cstheme="minorHAnsi"/>
          <w:sz w:val="20"/>
          <w:szCs w:val="20"/>
        </w:rPr>
        <w:t>estimating equations</w:t>
      </w:r>
      <w:r w:rsidRPr="008C54E8">
        <w:rPr>
          <w:rFonts w:asciiTheme="minorHAnsi" w:hAnsiTheme="minorHAnsi" w:cstheme="minorHAnsi"/>
          <w:sz w:val="20"/>
          <w:szCs w:val="20"/>
        </w:rPr>
        <w:t xml:space="preserve"> model with an exchangeable correlation structure.</w:t>
      </w:r>
      <w:r w:rsidR="001E13D1" w:rsidRPr="008C54E8">
        <w:rPr>
          <w:rFonts w:asciiTheme="minorHAnsi" w:hAnsiTheme="minorHAnsi" w:cstheme="minorHAnsi"/>
          <w:sz w:val="20"/>
          <w:szCs w:val="20"/>
        </w:rPr>
        <w:t xml:space="preserve"> The upper 95%</w:t>
      </w:r>
      <w:r w:rsidR="006B4317" w:rsidRPr="008C54E8">
        <w:rPr>
          <w:rFonts w:asciiTheme="minorHAnsi" w:hAnsiTheme="minorHAnsi" w:cstheme="minorHAnsi"/>
          <w:sz w:val="20"/>
          <w:szCs w:val="20"/>
        </w:rPr>
        <w:t xml:space="preserve"> </w:t>
      </w:r>
      <w:r w:rsidR="001E13D1" w:rsidRPr="008C54E8">
        <w:rPr>
          <w:rFonts w:asciiTheme="minorHAnsi" w:hAnsiTheme="minorHAnsi" w:cstheme="minorHAnsi"/>
          <w:sz w:val="20"/>
          <w:szCs w:val="20"/>
        </w:rPr>
        <w:t xml:space="preserve">CI </w:t>
      </w:r>
      <w:r w:rsidR="006B4317" w:rsidRPr="008C54E8">
        <w:rPr>
          <w:rFonts w:asciiTheme="minorHAnsi" w:hAnsiTheme="minorHAnsi" w:cstheme="minorHAnsi"/>
          <w:sz w:val="20"/>
          <w:szCs w:val="20"/>
        </w:rPr>
        <w:t xml:space="preserve">for risk </w:t>
      </w:r>
      <w:r w:rsidR="001E13D1" w:rsidRPr="008C54E8">
        <w:rPr>
          <w:rFonts w:asciiTheme="minorHAnsi" w:hAnsiTheme="minorHAnsi" w:cstheme="minorHAnsi"/>
          <w:sz w:val="20"/>
          <w:szCs w:val="20"/>
        </w:rPr>
        <w:t>is truncated.</w:t>
      </w:r>
    </w:p>
    <w:p w14:paraId="64F20E93" w14:textId="7E8FFB2A" w:rsidR="00130205" w:rsidRPr="008C54E8" w:rsidRDefault="008C54E8" w:rsidP="008C54E8">
      <w:pPr>
        <w:pStyle w:val="NoSpacing"/>
        <w:rPr>
          <w:rFonts w:cstheme="minorHAnsi"/>
          <w:sz w:val="20"/>
          <w:szCs w:val="20"/>
          <w:lang w:val="en-US"/>
        </w:rPr>
      </w:pPr>
      <w:r w:rsidRPr="008C54E8">
        <w:rPr>
          <w:rFonts w:cstheme="minorHAnsi"/>
          <w:sz w:val="20"/>
          <w:szCs w:val="20"/>
          <w:lang w:val="en-US"/>
        </w:rPr>
        <w:t xml:space="preserve">The 95% confidence intervals for the rate per 100 person-years of </w:t>
      </w:r>
      <w:r w:rsidR="001E6145">
        <w:rPr>
          <w:rFonts w:cstheme="minorHAnsi"/>
          <w:sz w:val="20"/>
          <w:szCs w:val="20"/>
          <w:lang w:val="en-US"/>
        </w:rPr>
        <w:t>follow-up</w:t>
      </w:r>
      <w:r w:rsidRPr="008C54E8">
        <w:rPr>
          <w:rFonts w:cstheme="minorHAnsi"/>
          <w:sz w:val="20"/>
          <w:szCs w:val="20"/>
          <w:lang w:val="en-US"/>
        </w:rPr>
        <w:t xml:space="preserve"> was </w:t>
      </w:r>
      <w:r w:rsidR="001E6145">
        <w:rPr>
          <w:rFonts w:cstheme="minorHAnsi"/>
          <w:sz w:val="20"/>
          <w:szCs w:val="20"/>
          <w:lang w:val="en-US"/>
        </w:rPr>
        <w:t>calculated</w:t>
      </w:r>
      <w:r w:rsidRPr="008C54E8">
        <w:rPr>
          <w:rFonts w:cstheme="minorHAnsi"/>
          <w:sz w:val="20"/>
          <w:szCs w:val="20"/>
          <w:lang w:val="en-US"/>
        </w:rPr>
        <w:t xml:space="preserve"> using the Rothman/Greenland estimation. </w:t>
      </w:r>
    </w:p>
    <w:p w14:paraId="22B6EB17" w14:textId="5E6589ED" w:rsidR="0038500B" w:rsidRDefault="0038500B" w:rsidP="0028148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8692841" w14:textId="674B1066" w:rsidR="0038500B" w:rsidRDefault="0038500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24CDC95F" w14:textId="014EE99F" w:rsidR="0038500B" w:rsidRDefault="007C5CB8" w:rsidP="0038500B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4B6528A4" wp14:editId="0F668347">
            <wp:extent cx="5760720" cy="4313555"/>
            <wp:effectExtent l="0" t="0" r="0" b="0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88F56" w14:textId="1E3269CA" w:rsidR="00E818FD" w:rsidRDefault="0038500B" w:rsidP="0038500B">
      <w:pPr>
        <w:rPr>
          <w:lang w:val="en-US"/>
        </w:rPr>
      </w:pPr>
      <w:r w:rsidRPr="0038500B">
        <w:rPr>
          <w:b/>
          <w:bCs/>
          <w:lang w:val="en-US"/>
        </w:rPr>
        <w:t xml:space="preserve">Supplementary Figure </w:t>
      </w:r>
      <w:r w:rsidR="002B14FC">
        <w:rPr>
          <w:b/>
          <w:bCs/>
          <w:lang w:val="en-US"/>
        </w:rPr>
        <w:t>2</w:t>
      </w:r>
      <w:r w:rsidRPr="0038500B">
        <w:rPr>
          <w:b/>
          <w:bCs/>
          <w:lang w:val="en-US"/>
        </w:rPr>
        <w:t>:</w:t>
      </w:r>
      <w:r w:rsidRPr="0038500B">
        <w:rPr>
          <w:lang w:val="en-US"/>
        </w:rPr>
        <w:t xml:space="preserve"> </w:t>
      </w:r>
    </w:p>
    <w:p w14:paraId="09360B47" w14:textId="1F7C97EE" w:rsidR="00E818FD" w:rsidRPr="008C54E8" w:rsidRDefault="00E818FD" w:rsidP="00E818FD">
      <w:pPr>
        <w:rPr>
          <w:lang w:val="en-US"/>
        </w:rPr>
      </w:pPr>
      <w:r w:rsidRPr="008C54E8">
        <w:rPr>
          <w:lang w:val="en-US"/>
        </w:rPr>
        <w:t xml:space="preserve">Rates of incident syphilis </w:t>
      </w:r>
      <w:r w:rsidR="002B14FC">
        <w:rPr>
          <w:lang w:val="en-US"/>
        </w:rPr>
        <w:t>per 100 PYFU</w:t>
      </w:r>
      <w:r w:rsidR="002B14FC" w:rsidRPr="008C54E8">
        <w:rPr>
          <w:lang w:val="en-US"/>
        </w:rPr>
        <w:t xml:space="preserve"> </w:t>
      </w:r>
      <w:r w:rsidRPr="008C54E8">
        <w:rPr>
          <w:lang w:val="en-US"/>
        </w:rPr>
        <w:t xml:space="preserve">with 95% confidence interval </w:t>
      </w:r>
      <w:r w:rsidRPr="0038500B">
        <w:rPr>
          <w:lang w:val="en-US"/>
        </w:rPr>
        <w:t>in men living with HIV who had at least one syphilis test done annually</w:t>
      </w:r>
      <w:r w:rsidRPr="008C54E8">
        <w:rPr>
          <w:lang w:val="en-US"/>
        </w:rPr>
        <w:t xml:space="preserve"> by sociodemographic and clinical characteristics and crude (univariable) and multivariable </w:t>
      </w:r>
      <w:r>
        <w:rPr>
          <w:lang w:val="en-US"/>
        </w:rPr>
        <w:t xml:space="preserve">IRR for </w:t>
      </w:r>
      <w:r w:rsidRPr="008C54E8">
        <w:rPr>
          <w:lang w:val="en-US"/>
        </w:rPr>
        <w:t>syphilis events, Croatia, 2018 to 2021. Years are person-years of follow-up.</w:t>
      </w:r>
      <w:r w:rsidR="00750836">
        <w:rPr>
          <w:lang w:val="en-US"/>
        </w:rPr>
        <w:t xml:space="preserve"> The overall incidence rate </w:t>
      </w:r>
      <w:r w:rsidR="001E6145" w:rsidRPr="00C16C2D">
        <w:rPr>
          <w:rFonts w:cstheme="minorHAnsi"/>
        </w:rPr>
        <w:t>per 100 PYFU</w:t>
      </w:r>
      <w:r w:rsidR="001E6145">
        <w:rPr>
          <w:lang w:val="en-US"/>
        </w:rPr>
        <w:t xml:space="preserve"> </w:t>
      </w:r>
      <w:r w:rsidR="00750836">
        <w:rPr>
          <w:lang w:val="en-US"/>
        </w:rPr>
        <w:t xml:space="preserve">was </w:t>
      </w:r>
      <w:r w:rsidR="00750836">
        <w:rPr>
          <w:rFonts w:cstheme="minorHAnsi"/>
          <w:color w:val="000000"/>
          <w:shd w:val="clear" w:color="auto" w:fill="FFFFFF"/>
        </w:rPr>
        <w:t xml:space="preserve">7.2 </w:t>
      </w:r>
      <w:r w:rsidR="00750836" w:rsidRPr="00C16C2D">
        <w:rPr>
          <w:rFonts w:cstheme="minorHAnsi"/>
          <w:color w:val="000000"/>
          <w:shd w:val="clear" w:color="auto" w:fill="FFFFFF"/>
        </w:rPr>
        <w:t xml:space="preserve">(95% CI, </w:t>
      </w:r>
      <w:r w:rsidR="00750836">
        <w:rPr>
          <w:rFonts w:cstheme="minorHAnsi"/>
          <w:color w:val="000000"/>
          <w:shd w:val="clear" w:color="auto" w:fill="FFFFFF"/>
        </w:rPr>
        <w:t>6</w:t>
      </w:r>
      <w:r w:rsidR="00750836" w:rsidRPr="00C16C2D">
        <w:rPr>
          <w:rFonts w:cstheme="minorHAnsi"/>
          <w:color w:val="000000"/>
          <w:shd w:val="clear" w:color="auto" w:fill="FFFFFF"/>
        </w:rPr>
        <w:t>.3–</w:t>
      </w:r>
      <w:r w:rsidR="00750836">
        <w:rPr>
          <w:rFonts w:cstheme="minorHAnsi"/>
          <w:color w:val="000000"/>
          <w:shd w:val="clear" w:color="auto" w:fill="FFFFFF"/>
        </w:rPr>
        <w:t>8</w:t>
      </w:r>
      <w:r w:rsidR="00750836" w:rsidRPr="00C16C2D">
        <w:rPr>
          <w:rFonts w:cstheme="minorHAnsi"/>
          <w:color w:val="000000"/>
          <w:shd w:val="clear" w:color="auto" w:fill="FFFFFF"/>
        </w:rPr>
        <w:t>.</w:t>
      </w:r>
      <w:r w:rsidR="00750836">
        <w:rPr>
          <w:rFonts w:cstheme="minorHAnsi"/>
          <w:color w:val="000000"/>
          <w:shd w:val="clear" w:color="auto" w:fill="FFFFFF"/>
        </w:rPr>
        <w:t>1</w:t>
      </w:r>
      <w:r w:rsidR="00750836" w:rsidRPr="00C16C2D">
        <w:rPr>
          <w:rFonts w:cstheme="minorHAnsi"/>
          <w:color w:val="000000"/>
          <w:shd w:val="clear" w:color="auto" w:fill="FFFFFF"/>
        </w:rPr>
        <w:t>)</w:t>
      </w:r>
      <w:r w:rsidR="00750836">
        <w:rPr>
          <w:rFonts w:cstheme="minorHAnsi"/>
          <w:color w:val="000000"/>
          <w:shd w:val="clear" w:color="auto" w:fill="FFFFFF"/>
        </w:rPr>
        <w:t>.</w:t>
      </w:r>
    </w:p>
    <w:p w14:paraId="275862BC" w14:textId="5AB4125C" w:rsidR="0038500B" w:rsidRPr="00E818FD" w:rsidRDefault="0038500B" w:rsidP="0038500B">
      <w:pPr>
        <w:pStyle w:val="Pa26"/>
        <w:rPr>
          <w:rFonts w:asciiTheme="minorHAnsi" w:hAnsiTheme="minorHAnsi" w:cstheme="minorHAnsi"/>
          <w:sz w:val="20"/>
          <w:szCs w:val="20"/>
        </w:rPr>
      </w:pPr>
      <w:r w:rsidRPr="00E818FD">
        <w:rPr>
          <w:rFonts w:asciiTheme="minorHAnsi" w:hAnsiTheme="minorHAnsi" w:cstheme="minorHAnsi"/>
          <w:color w:val="000000"/>
          <w:sz w:val="20"/>
          <w:szCs w:val="20"/>
        </w:rPr>
        <w:t>MSM, men who have sex with men; IRR, incidence rate ratio; CI, confidence intervals</w:t>
      </w:r>
      <w:r w:rsidR="001E6145">
        <w:rPr>
          <w:rFonts w:asciiTheme="minorHAnsi" w:hAnsiTheme="minorHAnsi" w:cstheme="minorHAnsi"/>
          <w:color w:val="000000"/>
          <w:sz w:val="20"/>
          <w:szCs w:val="20"/>
        </w:rPr>
        <w:t xml:space="preserve">; </w:t>
      </w:r>
      <w:r w:rsidR="001E6145" w:rsidRPr="001E6145">
        <w:rPr>
          <w:rFonts w:asciiTheme="minorHAnsi" w:hAnsiTheme="minorHAnsi" w:cstheme="minorHAnsi"/>
          <w:sz w:val="20"/>
          <w:szCs w:val="20"/>
        </w:rPr>
        <w:t>PYFU, person-years of follow-up</w:t>
      </w:r>
      <w:r w:rsidRPr="00E818FD">
        <w:rPr>
          <w:rFonts w:asciiTheme="minorHAnsi" w:hAnsiTheme="minorHAnsi" w:cstheme="minorHAnsi"/>
          <w:color w:val="000000"/>
          <w:sz w:val="20"/>
          <w:szCs w:val="20"/>
        </w:rPr>
        <w:t>; Clinical AIDS, HIV-1 RNA, hepatitis C and previous syphilis diagnosis were time-updated variables.</w:t>
      </w:r>
      <w:r w:rsidRPr="00E818FD">
        <w:rPr>
          <w:rFonts w:asciiTheme="minorHAnsi" w:hAnsiTheme="minorHAnsi" w:cstheme="minorHAnsi"/>
          <w:color w:val="221E1F"/>
          <w:sz w:val="20"/>
          <w:szCs w:val="20"/>
        </w:rPr>
        <w:t xml:space="preserve"> </w:t>
      </w:r>
      <w:r w:rsidRPr="00E818FD">
        <w:rPr>
          <w:rFonts w:asciiTheme="minorHAnsi" w:hAnsiTheme="minorHAnsi" w:cstheme="minorHAnsi"/>
          <w:sz w:val="20"/>
          <w:szCs w:val="20"/>
        </w:rPr>
        <w:t>IRR are based on a generalized estimating equations model with an exchangeable correlation structure.</w:t>
      </w:r>
      <w:r w:rsidR="008C54E8" w:rsidRPr="00E818FD">
        <w:rPr>
          <w:rFonts w:asciiTheme="minorHAnsi" w:hAnsiTheme="minorHAnsi" w:cstheme="minorHAnsi"/>
          <w:sz w:val="20"/>
          <w:szCs w:val="20"/>
        </w:rPr>
        <w:t xml:space="preserve"> </w:t>
      </w:r>
      <w:r w:rsidR="008C54E8" w:rsidRPr="00E818FD">
        <w:rPr>
          <w:rFonts w:asciiTheme="minorHAnsi" w:hAnsiTheme="minorHAnsi" w:cstheme="minorHAnsi"/>
          <w:sz w:val="20"/>
          <w:szCs w:val="20"/>
          <w:lang w:val="en-GB"/>
        </w:rPr>
        <w:t xml:space="preserve">The 95% confidence intervals for the rate per 100 person-years of </w:t>
      </w:r>
      <w:r w:rsidR="001E6145">
        <w:rPr>
          <w:rFonts w:asciiTheme="minorHAnsi" w:hAnsiTheme="minorHAnsi" w:cstheme="minorHAnsi"/>
          <w:sz w:val="20"/>
          <w:szCs w:val="20"/>
          <w:lang w:val="en-GB"/>
        </w:rPr>
        <w:t>follow-up</w:t>
      </w:r>
      <w:r w:rsidR="008C54E8" w:rsidRPr="00E818FD">
        <w:rPr>
          <w:rFonts w:asciiTheme="minorHAnsi" w:hAnsiTheme="minorHAnsi" w:cstheme="minorHAnsi"/>
          <w:sz w:val="20"/>
          <w:szCs w:val="20"/>
          <w:lang w:val="en-GB"/>
        </w:rPr>
        <w:t xml:space="preserve"> was </w:t>
      </w:r>
      <w:r w:rsidR="001E6145">
        <w:rPr>
          <w:rFonts w:asciiTheme="minorHAnsi" w:hAnsiTheme="minorHAnsi" w:cstheme="minorHAnsi"/>
          <w:sz w:val="20"/>
          <w:szCs w:val="20"/>
          <w:lang w:val="en-GB"/>
        </w:rPr>
        <w:t>calculated</w:t>
      </w:r>
      <w:r w:rsidR="008C54E8" w:rsidRPr="00E818FD">
        <w:rPr>
          <w:rFonts w:asciiTheme="minorHAnsi" w:hAnsiTheme="minorHAnsi" w:cstheme="minorHAnsi"/>
          <w:sz w:val="20"/>
          <w:szCs w:val="20"/>
          <w:lang w:val="en-GB"/>
        </w:rPr>
        <w:t xml:space="preserve"> using the Rothman/Greenland estimation.</w:t>
      </w:r>
      <w:r w:rsidRPr="00E818F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4D08B76" w14:textId="77777777" w:rsidR="0038500B" w:rsidRDefault="0038500B" w:rsidP="0038500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5C10819" w14:textId="2BDAE7C4" w:rsidR="00864A41" w:rsidRDefault="00864A4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  <w:r w:rsidR="008C54E8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 </w:t>
      </w:r>
    </w:p>
    <w:p w14:paraId="48A6FCBE" w14:textId="6F7443C3" w:rsidR="00864A41" w:rsidRDefault="00226C11" w:rsidP="00864A4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A58719F" wp14:editId="13AD1526">
            <wp:extent cx="5760720" cy="4323080"/>
            <wp:effectExtent l="0" t="0" r="0" b="127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91202" w14:textId="08D80A1A" w:rsidR="00E818FD" w:rsidRDefault="00864A41" w:rsidP="00864A41">
      <w:proofErr w:type="spellStart"/>
      <w:r w:rsidRPr="00130205">
        <w:rPr>
          <w:b/>
          <w:bCs/>
        </w:rPr>
        <w:t>Supplementary</w:t>
      </w:r>
      <w:proofErr w:type="spellEnd"/>
      <w:r w:rsidRPr="00130205">
        <w:rPr>
          <w:b/>
          <w:bCs/>
        </w:rPr>
        <w:t xml:space="preserve"> Figure </w:t>
      </w:r>
      <w:proofErr w:type="gramStart"/>
      <w:r w:rsidR="002B14FC">
        <w:rPr>
          <w:b/>
          <w:bCs/>
        </w:rPr>
        <w:t>3</w:t>
      </w:r>
      <w:r w:rsidRPr="00130205">
        <w:rPr>
          <w:b/>
          <w:bCs/>
        </w:rPr>
        <w:t>:</w:t>
      </w:r>
      <w:proofErr w:type="gramEnd"/>
      <w:r w:rsidRPr="00130205">
        <w:t xml:space="preserve"> </w:t>
      </w:r>
    </w:p>
    <w:p w14:paraId="4023C0DA" w14:textId="4E41FBF9" w:rsidR="00E818FD" w:rsidRPr="008C54E8" w:rsidRDefault="00E818FD" w:rsidP="00E818FD">
      <w:pPr>
        <w:rPr>
          <w:lang w:val="en-US"/>
        </w:rPr>
      </w:pPr>
      <w:r w:rsidRPr="008C54E8">
        <w:rPr>
          <w:lang w:val="en-US"/>
        </w:rPr>
        <w:t xml:space="preserve">Rates of incident syphilis </w:t>
      </w:r>
      <w:r w:rsidR="002B14FC">
        <w:rPr>
          <w:lang w:val="en-US"/>
        </w:rPr>
        <w:t>per 100 PYFU</w:t>
      </w:r>
      <w:r w:rsidR="002B14FC" w:rsidRPr="008C54E8">
        <w:rPr>
          <w:lang w:val="en-US"/>
        </w:rPr>
        <w:t xml:space="preserve"> </w:t>
      </w:r>
      <w:r w:rsidRPr="008C54E8">
        <w:rPr>
          <w:lang w:val="en-US"/>
        </w:rPr>
        <w:t xml:space="preserve">with 95% confidence interval </w:t>
      </w:r>
      <w:r w:rsidRPr="0038500B">
        <w:rPr>
          <w:lang w:val="en-US"/>
        </w:rPr>
        <w:t xml:space="preserve">in </w:t>
      </w:r>
      <w:r>
        <w:rPr>
          <w:lang w:val="en-US"/>
        </w:rPr>
        <w:t>MSM</w:t>
      </w:r>
      <w:r w:rsidRPr="0038500B">
        <w:rPr>
          <w:lang w:val="en-US"/>
        </w:rPr>
        <w:t xml:space="preserve"> living with HIV</w:t>
      </w:r>
      <w:r w:rsidRPr="008C54E8">
        <w:rPr>
          <w:lang w:val="en-US"/>
        </w:rPr>
        <w:t xml:space="preserve"> by sociodemographic and clinical characteristics and crude (univariable) and multivariable </w:t>
      </w:r>
      <w:r>
        <w:rPr>
          <w:lang w:val="en-US"/>
        </w:rPr>
        <w:t xml:space="preserve">IRR for </w:t>
      </w:r>
      <w:r w:rsidRPr="008C54E8">
        <w:rPr>
          <w:lang w:val="en-US"/>
        </w:rPr>
        <w:t>syphilis events, Croatia, 2018 to 2021. Years are person-years of follow-up.</w:t>
      </w:r>
      <w:r w:rsidR="00750836">
        <w:rPr>
          <w:lang w:val="en-US"/>
        </w:rPr>
        <w:t xml:space="preserve"> The overall incidence rate </w:t>
      </w:r>
      <w:r w:rsidR="001E6145" w:rsidRPr="00C16C2D">
        <w:rPr>
          <w:rFonts w:cstheme="minorHAnsi"/>
        </w:rPr>
        <w:t>per 100 PYFU</w:t>
      </w:r>
      <w:r w:rsidR="001E6145">
        <w:rPr>
          <w:lang w:val="en-US"/>
        </w:rPr>
        <w:t xml:space="preserve"> </w:t>
      </w:r>
      <w:r w:rsidR="00750836">
        <w:rPr>
          <w:lang w:val="en-US"/>
        </w:rPr>
        <w:t xml:space="preserve">was </w:t>
      </w:r>
      <w:r w:rsidR="00750836">
        <w:rPr>
          <w:rFonts w:cstheme="minorHAnsi"/>
          <w:color w:val="000000"/>
          <w:shd w:val="clear" w:color="auto" w:fill="FFFFFF"/>
        </w:rPr>
        <w:t>7.0</w:t>
      </w:r>
      <w:r w:rsidR="00750836" w:rsidRPr="00C16C2D">
        <w:rPr>
          <w:rFonts w:cstheme="minorHAnsi"/>
          <w:color w:val="000000"/>
          <w:shd w:val="clear" w:color="auto" w:fill="FFFFFF"/>
        </w:rPr>
        <w:t xml:space="preserve"> (95% CI, </w:t>
      </w:r>
      <w:r w:rsidR="00750836">
        <w:rPr>
          <w:rFonts w:cstheme="minorHAnsi"/>
          <w:color w:val="000000"/>
          <w:shd w:val="clear" w:color="auto" w:fill="FFFFFF"/>
        </w:rPr>
        <w:t>6</w:t>
      </w:r>
      <w:r w:rsidR="00750836" w:rsidRPr="00C16C2D">
        <w:rPr>
          <w:rFonts w:cstheme="minorHAnsi"/>
          <w:color w:val="000000"/>
          <w:shd w:val="clear" w:color="auto" w:fill="FFFFFF"/>
        </w:rPr>
        <w:t>.</w:t>
      </w:r>
      <w:r w:rsidR="00750836">
        <w:rPr>
          <w:rFonts w:cstheme="minorHAnsi"/>
          <w:color w:val="000000"/>
          <w:shd w:val="clear" w:color="auto" w:fill="FFFFFF"/>
        </w:rPr>
        <w:t>2</w:t>
      </w:r>
      <w:r w:rsidR="00750836" w:rsidRPr="00C16C2D">
        <w:rPr>
          <w:rFonts w:cstheme="minorHAnsi"/>
          <w:color w:val="000000"/>
          <w:shd w:val="clear" w:color="auto" w:fill="FFFFFF"/>
        </w:rPr>
        <w:t>–</w:t>
      </w:r>
      <w:r w:rsidR="00750836">
        <w:rPr>
          <w:rFonts w:cstheme="minorHAnsi"/>
          <w:color w:val="000000"/>
          <w:shd w:val="clear" w:color="auto" w:fill="FFFFFF"/>
        </w:rPr>
        <w:t>8</w:t>
      </w:r>
      <w:r w:rsidR="00750836" w:rsidRPr="00C16C2D">
        <w:rPr>
          <w:rFonts w:cstheme="minorHAnsi"/>
          <w:color w:val="000000"/>
          <w:shd w:val="clear" w:color="auto" w:fill="FFFFFF"/>
        </w:rPr>
        <w:t>.</w:t>
      </w:r>
      <w:r w:rsidR="00750836">
        <w:rPr>
          <w:rFonts w:cstheme="minorHAnsi"/>
          <w:color w:val="000000"/>
          <w:shd w:val="clear" w:color="auto" w:fill="FFFFFF"/>
        </w:rPr>
        <w:t>0</w:t>
      </w:r>
      <w:r w:rsidR="00750836" w:rsidRPr="00C16C2D">
        <w:rPr>
          <w:rFonts w:cstheme="minorHAnsi"/>
          <w:color w:val="000000"/>
          <w:shd w:val="clear" w:color="auto" w:fill="FFFFFF"/>
        </w:rPr>
        <w:t>)</w:t>
      </w:r>
      <w:r w:rsidR="00750836">
        <w:rPr>
          <w:rFonts w:cstheme="minorHAnsi"/>
          <w:color w:val="000000"/>
          <w:shd w:val="clear" w:color="auto" w:fill="FFFFFF"/>
        </w:rPr>
        <w:t>.</w:t>
      </w:r>
    </w:p>
    <w:p w14:paraId="32623A9E" w14:textId="7F31EE8B" w:rsidR="00864A41" w:rsidRPr="00E818FD" w:rsidRDefault="00864A41" w:rsidP="00864A41">
      <w:pPr>
        <w:pStyle w:val="Pa26"/>
        <w:rPr>
          <w:rFonts w:asciiTheme="minorHAnsi" w:hAnsiTheme="minorHAnsi" w:cstheme="minorHAnsi"/>
          <w:sz w:val="20"/>
          <w:szCs w:val="20"/>
        </w:rPr>
      </w:pPr>
      <w:r w:rsidRPr="00E818FD">
        <w:rPr>
          <w:rFonts w:asciiTheme="minorHAnsi" w:hAnsiTheme="minorHAnsi" w:cstheme="minorHAnsi"/>
          <w:color w:val="000000"/>
          <w:sz w:val="20"/>
          <w:szCs w:val="20"/>
        </w:rPr>
        <w:t>MSM, men who have sex with men; IRR, incidence rate ratio; CI, confidence intervals</w:t>
      </w:r>
      <w:r w:rsidR="001E6145">
        <w:rPr>
          <w:rFonts w:asciiTheme="minorHAnsi" w:hAnsiTheme="minorHAnsi" w:cstheme="minorHAnsi"/>
          <w:color w:val="000000"/>
          <w:sz w:val="20"/>
          <w:szCs w:val="20"/>
        </w:rPr>
        <w:t xml:space="preserve">; </w:t>
      </w:r>
      <w:r w:rsidR="001E6145" w:rsidRPr="001E6145">
        <w:rPr>
          <w:rFonts w:asciiTheme="minorHAnsi" w:hAnsiTheme="minorHAnsi" w:cstheme="minorHAnsi"/>
          <w:sz w:val="20"/>
          <w:szCs w:val="20"/>
        </w:rPr>
        <w:t>PYFU, person-years of follow-up</w:t>
      </w:r>
      <w:r w:rsidR="001E6145" w:rsidRPr="00E818FD">
        <w:rPr>
          <w:rFonts w:asciiTheme="minorHAnsi" w:hAnsiTheme="minorHAnsi" w:cstheme="minorHAnsi"/>
          <w:color w:val="000000"/>
          <w:sz w:val="20"/>
          <w:szCs w:val="20"/>
        </w:rPr>
        <w:t>;</w:t>
      </w:r>
      <w:r w:rsidRPr="00E818FD">
        <w:rPr>
          <w:rFonts w:asciiTheme="minorHAnsi" w:hAnsiTheme="minorHAnsi" w:cstheme="minorHAnsi"/>
          <w:color w:val="000000"/>
          <w:sz w:val="20"/>
          <w:szCs w:val="20"/>
        </w:rPr>
        <w:t xml:space="preserve"> Clinical AIDS, HIV-1 RNA, hepatitis C and previous syphilis diagnosis were time-updated variables.</w:t>
      </w:r>
      <w:r w:rsidRPr="00E818FD">
        <w:rPr>
          <w:rFonts w:asciiTheme="minorHAnsi" w:hAnsiTheme="minorHAnsi" w:cstheme="minorHAnsi"/>
          <w:color w:val="221E1F"/>
          <w:sz w:val="20"/>
          <w:szCs w:val="20"/>
        </w:rPr>
        <w:t xml:space="preserve"> </w:t>
      </w:r>
      <w:r w:rsidRPr="00E818FD">
        <w:rPr>
          <w:rFonts w:asciiTheme="minorHAnsi" w:hAnsiTheme="minorHAnsi" w:cstheme="minorHAnsi"/>
          <w:sz w:val="20"/>
          <w:szCs w:val="20"/>
        </w:rPr>
        <w:t xml:space="preserve">IRR are based on a generalized estimating equations model with an exchangeable correlation structure. </w:t>
      </w:r>
      <w:r w:rsidR="008C54E8" w:rsidRPr="00E818FD">
        <w:rPr>
          <w:rFonts w:asciiTheme="minorHAnsi" w:hAnsiTheme="minorHAnsi" w:cstheme="minorHAnsi"/>
          <w:sz w:val="20"/>
          <w:szCs w:val="20"/>
          <w:lang w:val="en-GB"/>
        </w:rPr>
        <w:t xml:space="preserve">The 95% confidence intervals for the rate per 100 person-years of </w:t>
      </w:r>
      <w:r w:rsidR="001E6145">
        <w:rPr>
          <w:rFonts w:asciiTheme="minorHAnsi" w:hAnsiTheme="minorHAnsi" w:cstheme="minorHAnsi"/>
          <w:sz w:val="20"/>
          <w:szCs w:val="20"/>
          <w:lang w:val="en-GB"/>
        </w:rPr>
        <w:t>follow-up</w:t>
      </w:r>
      <w:r w:rsidR="008C54E8" w:rsidRPr="00E818FD">
        <w:rPr>
          <w:rFonts w:asciiTheme="minorHAnsi" w:hAnsiTheme="minorHAnsi" w:cstheme="minorHAnsi"/>
          <w:sz w:val="20"/>
          <w:szCs w:val="20"/>
          <w:lang w:val="en-GB"/>
        </w:rPr>
        <w:t xml:space="preserve"> was </w:t>
      </w:r>
      <w:r w:rsidR="001E6145">
        <w:rPr>
          <w:rFonts w:asciiTheme="minorHAnsi" w:hAnsiTheme="minorHAnsi" w:cstheme="minorHAnsi"/>
          <w:sz w:val="20"/>
          <w:szCs w:val="20"/>
          <w:lang w:val="en-GB"/>
        </w:rPr>
        <w:t>calculated</w:t>
      </w:r>
      <w:r w:rsidR="008C54E8" w:rsidRPr="00E818FD">
        <w:rPr>
          <w:rFonts w:asciiTheme="minorHAnsi" w:hAnsiTheme="minorHAnsi" w:cstheme="minorHAnsi"/>
          <w:sz w:val="20"/>
          <w:szCs w:val="20"/>
          <w:lang w:val="en-GB"/>
        </w:rPr>
        <w:t xml:space="preserve"> using the Rothman/Greenland estimation.</w:t>
      </w:r>
    </w:p>
    <w:p w14:paraId="6160BC09" w14:textId="77777777" w:rsidR="0038500B" w:rsidRDefault="0038500B" w:rsidP="0028148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5C3899F" w14:textId="498388A1" w:rsidR="0038500B" w:rsidRDefault="0038500B" w:rsidP="0028148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61D6998" w14:textId="4168D5A5" w:rsidR="0038500B" w:rsidRDefault="0038500B" w:rsidP="0028148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DD8E438" w14:textId="27DD7D33" w:rsidR="00D6373E" w:rsidRDefault="00D6373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00E1AFDF" w14:textId="7676F4DC" w:rsidR="00BB032C" w:rsidRDefault="00B627A9" w:rsidP="00D6373E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4C9C9CB9" wp14:editId="7B53AFF9">
            <wp:extent cx="5760720" cy="4323080"/>
            <wp:effectExtent l="0" t="0" r="0" b="1270"/>
            <wp:docPr id="8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33C77" w14:textId="7A393897" w:rsidR="00D6373E" w:rsidRPr="0038500B" w:rsidRDefault="00D6373E" w:rsidP="00D6373E">
      <w:pPr>
        <w:rPr>
          <w:lang w:val="en-US"/>
        </w:rPr>
      </w:pPr>
      <w:r w:rsidRPr="0038500B">
        <w:rPr>
          <w:b/>
          <w:bCs/>
          <w:lang w:val="en-US"/>
        </w:rPr>
        <w:t xml:space="preserve">Supplementary Figure </w:t>
      </w:r>
      <w:r w:rsidR="0064477B">
        <w:rPr>
          <w:b/>
          <w:bCs/>
          <w:lang w:val="en-US"/>
        </w:rPr>
        <w:t>4</w:t>
      </w:r>
      <w:r w:rsidRPr="0038500B">
        <w:rPr>
          <w:b/>
          <w:bCs/>
          <w:lang w:val="en-US"/>
        </w:rPr>
        <w:t>:</w:t>
      </w:r>
      <w:r w:rsidRPr="0038500B">
        <w:rPr>
          <w:lang w:val="en-US"/>
        </w:rPr>
        <w:t xml:space="preserve"> Rates of </w:t>
      </w:r>
      <w:r>
        <w:rPr>
          <w:lang w:val="en-US"/>
        </w:rPr>
        <w:t>i</w:t>
      </w:r>
      <w:r w:rsidRPr="0038500B">
        <w:rPr>
          <w:lang w:val="en-US"/>
        </w:rPr>
        <w:t xml:space="preserve">ncident </w:t>
      </w:r>
      <w:r>
        <w:rPr>
          <w:lang w:val="en-US"/>
        </w:rPr>
        <w:t>s</w:t>
      </w:r>
      <w:r w:rsidRPr="0038500B">
        <w:rPr>
          <w:lang w:val="en-US"/>
        </w:rPr>
        <w:t>yphilis</w:t>
      </w:r>
      <w:r w:rsidR="00775592">
        <w:rPr>
          <w:lang w:val="en-US"/>
        </w:rPr>
        <w:t xml:space="preserve"> </w:t>
      </w:r>
      <w:r w:rsidR="0064477B">
        <w:rPr>
          <w:lang w:val="en-US"/>
        </w:rPr>
        <w:t xml:space="preserve">per 100 PYFU </w:t>
      </w:r>
      <w:r w:rsidR="00775592">
        <w:rPr>
          <w:lang w:val="en-US"/>
        </w:rPr>
        <w:t>with 95% confidence intervals</w:t>
      </w:r>
      <w:r w:rsidRPr="0038500B">
        <w:rPr>
          <w:lang w:val="en-US"/>
        </w:rPr>
        <w:t xml:space="preserve"> in </w:t>
      </w:r>
      <w:r>
        <w:rPr>
          <w:lang w:val="en-US"/>
        </w:rPr>
        <w:t>MSM</w:t>
      </w:r>
      <w:r w:rsidRPr="0038500B">
        <w:rPr>
          <w:lang w:val="en-US"/>
        </w:rPr>
        <w:t xml:space="preserve"> living with HIV who had at least one syphilis test done annually by sociodemographic and clinical characteristics and crude (univariable) and multivariable </w:t>
      </w:r>
      <w:r w:rsidR="00775592">
        <w:rPr>
          <w:lang w:val="en-US"/>
        </w:rPr>
        <w:t xml:space="preserve">IRR of </w:t>
      </w:r>
      <w:r w:rsidRPr="0038500B">
        <w:rPr>
          <w:lang w:val="en-US"/>
        </w:rPr>
        <w:t>syphilis events, Croatia, 2018 to 2021.</w:t>
      </w:r>
      <w:r>
        <w:rPr>
          <w:lang w:val="en-US"/>
        </w:rPr>
        <w:t xml:space="preserve"> Years are </w:t>
      </w:r>
      <w:r w:rsidR="00B627A9">
        <w:rPr>
          <w:lang w:val="en-US"/>
        </w:rPr>
        <w:t>person</w:t>
      </w:r>
      <w:r w:rsidR="00B627A9">
        <w:rPr>
          <w:lang w:val="hr-HR"/>
        </w:rPr>
        <w:t>-</w:t>
      </w:r>
      <w:r>
        <w:rPr>
          <w:lang w:val="en-US"/>
        </w:rPr>
        <w:t>year</w:t>
      </w:r>
      <w:r w:rsidR="00B627A9">
        <w:rPr>
          <w:lang w:val="en-US"/>
        </w:rPr>
        <w:t>s</w:t>
      </w:r>
      <w:r>
        <w:rPr>
          <w:lang w:val="en-US"/>
        </w:rPr>
        <w:t xml:space="preserve"> of follow-up.</w:t>
      </w:r>
      <w:r w:rsidR="00750836">
        <w:rPr>
          <w:lang w:val="en-US"/>
        </w:rPr>
        <w:t xml:space="preserve"> The overall incidence rate</w:t>
      </w:r>
      <w:r w:rsidR="001E6145">
        <w:rPr>
          <w:lang w:val="en-US"/>
        </w:rPr>
        <w:t xml:space="preserve"> </w:t>
      </w:r>
      <w:r w:rsidR="001E6145" w:rsidRPr="00C16C2D">
        <w:rPr>
          <w:rFonts w:cstheme="minorHAnsi"/>
        </w:rPr>
        <w:t xml:space="preserve">rate per 100 </w:t>
      </w:r>
      <w:bookmarkStart w:id="2" w:name="_Hlk128365212"/>
      <w:r w:rsidR="001E6145" w:rsidRPr="00C16C2D">
        <w:rPr>
          <w:rFonts w:cstheme="minorHAnsi"/>
        </w:rPr>
        <w:t>PYFU</w:t>
      </w:r>
      <w:bookmarkEnd w:id="2"/>
      <w:r w:rsidR="00750836">
        <w:rPr>
          <w:lang w:val="en-US"/>
        </w:rPr>
        <w:t xml:space="preserve"> was </w:t>
      </w:r>
      <w:r w:rsidR="00750836">
        <w:rPr>
          <w:rFonts w:cstheme="minorHAnsi"/>
          <w:color w:val="000000"/>
          <w:shd w:val="clear" w:color="auto" w:fill="FFFFFF"/>
        </w:rPr>
        <w:t>8</w:t>
      </w:r>
      <w:r w:rsidR="00750836" w:rsidRPr="00C16C2D">
        <w:rPr>
          <w:rFonts w:cstheme="minorHAnsi"/>
          <w:color w:val="000000"/>
          <w:shd w:val="clear" w:color="auto" w:fill="FFFFFF"/>
        </w:rPr>
        <w:t>.</w:t>
      </w:r>
      <w:r w:rsidR="00750836">
        <w:rPr>
          <w:rFonts w:cstheme="minorHAnsi"/>
          <w:color w:val="000000"/>
          <w:shd w:val="clear" w:color="auto" w:fill="FFFFFF"/>
        </w:rPr>
        <w:t>1</w:t>
      </w:r>
      <w:r w:rsidR="00750836" w:rsidRPr="00C16C2D">
        <w:rPr>
          <w:rFonts w:cstheme="minorHAnsi"/>
          <w:color w:val="000000"/>
          <w:shd w:val="clear" w:color="auto" w:fill="FFFFFF"/>
        </w:rPr>
        <w:t xml:space="preserve"> (95% CI, </w:t>
      </w:r>
      <w:r w:rsidR="00750836">
        <w:rPr>
          <w:rFonts w:cstheme="minorHAnsi"/>
          <w:color w:val="000000"/>
          <w:shd w:val="clear" w:color="auto" w:fill="FFFFFF"/>
        </w:rPr>
        <w:t>7</w:t>
      </w:r>
      <w:r w:rsidR="00750836" w:rsidRPr="00C16C2D">
        <w:rPr>
          <w:rFonts w:cstheme="minorHAnsi"/>
          <w:color w:val="000000"/>
          <w:shd w:val="clear" w:color="auto" w:fill="FFFFFF"/>
        </w:rPr>
        <w:t>.</w:t>
      </w:r>
      <w:r w:rsidR="00750836">
        <w:rPr>
          <w:rFonts w:cstheme="minorHAnsi"/>
          <w:color w:val="000000"/>
          <w:shd w:val="clear" w:color="auto" w:fill="FFFFFF"/>
        </w:rPr>
        <w:t>1</w:t>
      </w:r>
      <w:r w:rsidR="00750836" w:rsidRPr="00C16C2D">
        <w:rPr>
          <w:rFonts w:cstheme="minorHAnsi"/>
          <w:color w:val="000000"/>
          <w:shd w:val="clear" w:color="auto" w:fill="FFFFFF"/>
        </w:rPr>
        <w:t>–</w:t>
      </w:r>
      <w:r w:rsidR="00750836">
        <w:rPr>
          <w:rFonts w:cstheme="minorHAnsi"/>
          <w:color w:val="000000"/>
          <w:shd w:val="clear" w:color="auto" w:fill="FFFFFF"/>
        </w:rPr>
        <w:t>9</w:t>
      </w:r>
      <w:r w:rsidR="00750836" w:rsidRPr="00C16C2D">
        <w:rPr>
          <w:rFonts w:cstheme="minorHAnsi"/>
          <w:color w:val="000000"/>
          <w:shd w:val="clear" w:color="auto" w:fill="FFFFFF"/>
        </w:rPr>
        <w:t>.</w:t>
      </w:r>
      <w:r w:rsidR="00750836">
        <w:rPr>
          <w:rFonts w:cstheme="minorHAnsi"/>
          <w:color w:val="000000"/>
          <w:shd w:val="clear" w:color="auto" w:fill="FFFFFF"/>
        </w:rPr>
        <w:t>2</w:t>
      </w:r>
      <w:r w:rsidR="00750836" w:rsidRPr="00C16C2D">
        <w:rPr>
          <w:rFonts w:cstheme="minorHAnsi"/>
          <w:color w:val="000000"/>
          <w:shd w:val="clear" w:color="auto" w:fill="FFFFFF"/>
        </w:rPr>
        <w:t>)</w:t>
      </w:r>
      <w:r w:rsidR="00750836">
        <w:rPr>
          <w:rFonts w:cstheme="minorHAnsi"/>
          <w:color w:val="000000"/>
          <w:shd w:val="clear" w:color="auto" w:fill="FFFFFF"/>
        </w:rPr>
        <w:t>.</w:t>
      </w:r>
    </w:p>
    <w:p w14:paraId="7718CF3D" w14:textId="3AFD5B4E" w:rsidR="004C67D3" w:rsidRDefault="00D6373E" w:rsidP="00B66FB6">
      <w:pPr>
        <w:pStyle w:val="Pa26"/>
        <w:rPr>
          <w:rFonts w:asciiTheme="minorHAnsi" w:hAnsiTheme="minorHAnsi" w:cstheme="minorHAnsi"/>
          <w:sz w:val="20"/>
          <w:szCs w:val="20"/>
          <w:lang w:val="en-GB"/>
        </w:rPr>
      </w:pPr>
      <w:r w:rsidRPr="00775592">
        <w:rPr>
          <w:rFonts w:asciiTheme="minorHAnsi" w:hAnsiTheme="minorHAnsi" w:cstheme="minorHAnsi"/>
          <w:color w:val="000000"/>
          <w:sz w:val="20"/>
          <w:szCs w:val="20"/>
        </w:rPr>
        <w:t>MSM, men who have sex with men; IRR, incidence rate ratio; CI, confidence intervals</w:t>
      </w:r>
      <w:r w:rsidR="001E6145">
        <w:rPr>
          <w:rFonts w:asciiTheme="minorHAnsi" w:hAnsiTheme="minorHAnsi" w:cstheme="minorHAnsi"/>
          <w:color w:val="000000"/>
          <w:sz w:val="20"/>
          <w:szCs w:val="20"/>
        </w:rPr>
        <w:t xml:space="preserve">; </w:t>
      </w:r>
      <w:r w:rsidR="001E6145" w:rsidRPr="001E6145">
        <w:rPr>
          <w:rFonts w:asciiTheme="minorHAnsi" w:hAnsiTheme="minorHAnsi" w:cstheme="minorHAnsi"/>
          <w:sz w:val="20"/>
          <w:szCs w:val="20"/>
        </w:rPr>
        <w:t>PYFU, person-years of follow-up</w:t>
      </w:r>
      <w:r w:rsidR="001E6145" w:rsidRPr="00E818FD">
        <w:rPr>
          <w:rFonts w:asciiTheme="minorHAnsi" w:hAnsiTheme="minorHAnsi" w:cstheme="minorHAnsi"/>
          <w:color w:val="000000"/>
          <w:sz w:val="20"/>
          <w:szCs w:val="20"/>
        </w:rPr>
        <w:t>;</w:t>
      </w:r>
      <w:r w:rsidR="001E614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775592">
        <w:rPr>
          <w:rFonts w:asciiTheme="minorHAnsi" w:hAnsiTheme="minorHAnsi" w:cstheme="minorHAnsi"/>
          <w:color w:val="000000"/>
          <w:sz w:val="20"/>
          <w:szCs w:val="20"/>
        </w:rPr>
        <w:t>Clinical AIDS, HIV-1 RNA, hepatitis C and previous syphilis diagnosis were time-updated variables.</w:t>
      </w:r>
      <w:r w:rsidRPr="00775592">
        <w:rPr>
          <w:rFonts w:asciiTheme="minorHAnsi" w:hAnsiTheme="minorHAnsi" w:cstheme="minorHAnsi"/>
          <w:color w:val="221E1F"/>
          <w:sz w:val="20"/>
          <w:szCs w:val="20"/>
        </w:rPr>
        <w:t xml:space="preserve"> </w:t>
      </w:r>
      <w:r w:rsidRPr="00775592">
        <w:rPr>
          <w:rFonts w:asciiTheme="minorHAnsi" w:hAnsiTheme="minorHAnsi" w:cstheme="minorHAnsi"/>
          <w:sz w:val="20"/>
          <w:szCs w:val="20"/>
        </w:rPr>
        <w:t xml:space="preserve">IRR are based on a generalized estimating equations model with an exchangeable correlation structure. </w:t>
      </w:r>
      <w:bookmarkStart w:id="3" w:name="_Hlk128365779"/>
      <w:r w:rsidR="008C54E8" w:rsidRPr="00775592">
        <w:rPr>
          <w:rFonts w:asciiTheme="minorHAnsi" w:hAnsiTheme="minorHAnsi" w:cstheme="minorHAnsi"/>
          <w:sz w:val="20"/>
          <w:szCs w:val="20"/>
          <w:lang w:val="en-GB"/>
        </w:rPr>
        <w:t xml:space="preserve">The 95% confidence intervals for the rate per 100 person-years of </w:t>
      </w:r>
      <w:r w:rsidR="001E6145">
        <w:rPr>
          <w:rFonts w:asciiTheme="minorHAnsi" w:hAnsiTheme="minorHAnsi" w:cstheme="minorHAnsi"/>
          <w:sz w:val="20"/>
          <w:szCs w:val="20"/>
          <w:lang w:val="en-GB"/>
        </w:rPr>
        <w:t>follow-up</w:t>
      </w:r>
      <w:r w:rsidR="008C54E8" w:rsidRPr="00775592">
        <w:rPr>
          <w:rFonts w:asciiTheme="minorHAnsi" w:hAnsiTheme="minorHAnsi" w:cstheme="minorHAnsi"/>
          <w:sz w:val="20"/>
          <w:szCs w:val="20"/>
          <w:lang w:val="en-GB"/>
        </w:rPr>
        <w:t xml:space="preserve"> was </w:t>
      </w:r>
      <w:r w:rsidR="001E6145">
        <w:rPr>
          <w:rFonts w:asciiTheme="minorHAnsi" w:hAnsiTheme="minorHAnsi" w:cstheme="minorHAnsi"/>
          <w:sz w:val="20"/>
          <w:szCs w:val="20"/>
          <w:lang w:val="en-GB"/>
        </w:rPr>
        <w:t>calculated</w:t>
      </w:r>
      <w:r w:rsidR="008C54E8" w:rsidRPr="00775592">
        <w:rPr>
          <w:rFonts w:asciiTheme="minorHAnsi" w:hAnsiTheme="minorHAnsi" w:cstheme="minorHAnsi"/>
          <w:sz w:val="20"/>
          <w:szCs w:val="20"/>
          <w:lang w:val="en-GB"/>
        </w:rPr>
        <w:t xml:space="preserve"> using the Rothman/Greenland estimation.</w:t>
      </w:r>
      <w:bookmarkEnd w:id="3"/>
    </w:p>
    <w:sectPr w:rsidR="004C67D3" w:rsidSect="009A485F">
      <w:footerReference w:type="default" r:id="rId14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473E3" w14:textId="77777777" w:rsidR="00D06766" w:rsidRDefault="00D06766">
      <w:pPr>
        <w:spacing w:after="0" w:line="240" w:lineRule="auto"/>
      </w:pPr>
      <w:r>
        <w:separator/>
      </w:r>
    </w:p>
  </w:endnote>
  <w:endnote w:type="continuationSeparator" w:id="0">
    <w:p w14:paraId="405E1DF2" w14:textId="77777777" w:rsidR="00D06766" w:rsidRDefault="00D06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LT Std 47 Cn L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8238418"/>
      <w:docPartObj>
        <w:docPartGallery w:val="Page Numbers (Bottom of Page)"/>
        <w:docPartUnique/>
      </w:docPartObj>
    </w:sdtPr>
    <w:sdtContent>
      <w:p w14:paraId="0A0502FB" w14:textId="77777777" w:rsidR="000D0F3D" w:rsidRDefault="005B24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7D501CF0" w14:textId="77777777" w:rsidR="000D0F3D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E3597" w14:textId="77777777" w:rsidR="00D06766" w:rsidRDefault="00D06766">
      <w:pPr>
        <w:spacing w:after="0" w:line="240" w:lineRule="auto"/>
      </w:pPr>
      <w:r>
        <w:separator/>
      </w:r>
    </w:p>
  </w:footnote>
  <w:footnote w:type="continuationSeparator" w:id="0">
    <w:p w14:paraId="60B425AB" w14:textId="77777777" w:rsidR="00D06766" w:rsidRDefault="00D067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yNDUwNjG2MDGyMDdU0lEKTi0uzszPAykwNK4FAFYgNuYtAAAA"/>
  </w:docVars>
  <w:rsids>
    <w:rsidRoot w:val="0042782C"/>
    <w:rsid w:val="00002042"/>
    <w:rsid w:val="000E5605"/>
    <w:rsid w:val="00130205"/>
    <w:rsid w:val="00130C19"/>
    <w:rsid w:val="00151BC5"/>
    <w:rsid w:val="001E13D1"/>
    <w:rsid w:val="001E6145"/>
    <w:rsid w:val="001F4F59"/>
    <w:rsid w:val="001F68B3"/>
    <w:rsid w:val="00226C11"/>
    <w:rsid w:val="0024622D"/>
    <w:rsid w:val="00264347"/>
    <w:rsid w:val="00277C7F"/>
    <w:rsid w:val="00281489"/>
    <w:rsid w:val="00283F82"/>
    <w:rsid w:val="002A65CB"/>
    <w:rsid w:val="002A6C7D"/>
    <w:rsid w:val="002B14FC"/>
    <w:rsid w:val="002E2970"/>
    <w:rsid w:val="0038500B"/>
    <w:rsid w:val="003F4D4A"/>
    <w:rsid w:val="0042782C"/>
    <w:rsid w:val="004C67D3"/>
    <w:rsid w:val="005832DE"/>
    <w:rsid w:val="005A0351"/>
    <w:rsid w:val="005B2480"/>
    <w:rsid w:val="006408AC"/>
    <w:rsid w:val="0064477B"/>
    <w:rsid w:val="0064766B"/>
    <w:rsid w:val="00654823"/>
    <w:rsid w:val="0066762A"/>
    <w:rsid w:val="006B4317"/>
    <w:rsid w:val="00750836"/>
    <w:rsid w:val="00761C02"/>
    <w:rsid w:val="00771875"/>
    <w:rsid w:val="00775592"/>
    <w:rsid w:val="007C5CB8"/>
    <w:rsid w:val="008450BD"/>
    <w:rsid w:val="00864A41"/>
    <w:rsid w:val="008C54E8"/>
    <w:rsid w:val="008F0B94"/>
    <w:rsid w:val="008F1421"/>
    <w:rsid w:val="00911DC7"/>
    <w:rsid w:val="00927105"/>
    <w:rsid w:val="009A485F"/>
    <w:rsid w:val="009A7E3B"/>
    <w:rsid w:val="009E272B"/>
    <w:rsid w:val="009F3E9D"/>
    <w:rsid w:val="00A94AFC"/>
    <w:rsid w:val="00AF187A"/>
    <w:rsid w:val="00B35A10"/>
    <w:rsid w:val="00B627A9"/>
    <w:rsid w:val="00B66FB6"/>
    <w:rsid w:val="00B975DC"/>
    <w:rsid w:val="00BB032C"/>
    <w:rsid w:val="00BC441E"/>
    <w:rsid w:val="00C118DC"/>
    <w:rsid w:val="00CF5A99"/>
    <w:rsid w:val="00D06766"/>
    <w:rsid w:val="00D6373E"/>
    <w:rsid w:val="00DF03DC"/>
    <w:rsid w:val="00E2622F"/>
    <w:rsid w:val="00E55709"/>
    <w:rsid w:val="00E62105"/>
    <w:rsid w:val="00E818FD"/>
    <w:rsid w:val="00E85AAE"/>
    <w:rsid w:val="00ED0014"/>
    <w:rsid w:val="00FA638F"/>
    <w:rsid w:val="00FB61C8"/>
    <w:rsid w:val="00FF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B4988"/>
  <w15:chartTrackingRefBased/>
  <w15:docId w15:val="{B1B44011-609B-4152-AE03-E89A7907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B2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480"/>
  </w:style>
  <w:style w:type="table" w:styleId="TableGrid">
    <w:name w:val="Table Grid"/>
    <w:basedOn w:val="TableNormal"/>
    <w:uiPriority w:val="39"/>
    <w:rsid w:val="005B2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B2480"/>
  </w:style>
  <w:style w:type="paragraph" w:customStyle="1" w:styleId="Pa26">
    <w:name w:val="Pa26"/>
    <w:basedOn w:val="Normal"/>
    <w:next w:val="Normal"/>
    <w:uiPriority w:val="99"/>
    <w:qFormat/>
    <w:rsid w:val="00130205"/>
    <w:pPr>
      <w:suppressAutoHyphens/>
      <w:spacing w:after="0" w:line="141" w:lineRule="atLeast"/>
    </w:pPr>
    <w:rPr>
      <w:rFonts w:ascii="Univers LT Std 47 Cn Lt" w:hAnsi="Univers LT Std 47 Cn Lt"/>
      <w:sz w:val="24"/>
      <w:szCs w:val="24"/>
      <w:lang w:val="en-US"/>
    </w:rPr>
  </w:style>
  <w:style w:type="paragraph" w:styleId="NoSpacing">
    <w:name w:val="No Spacing"/>
    <w:uiPriority w:val="1"/>
    <w:qFormat/>
    <w:rsid w:val="001E13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511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Dumitrescu</dc:creator>
  <cp:keywords/>
  <dc:description/>
  <cp:lastModifiedBy>Josip Begovac</cp:lastModifiedBy>
  <cp:revision>2</cp:revision>
  <cp:lastPrinted>2023-02-08T16:55:00Z</cp:lastPrinted>
  <dcterms:created xsi:type="dcterms:W3CDTF">2023-03-13T19:07:00Z</dcterms:created>
  <dcterms:modified xsi:type="dcterms:W3CDTF">2023-03-13T19:07:00Z</dcterms:modified>
</cp:coreProperties>
</file>