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74686" w14:textId="71E03947" w:rsidR="009C3D22" w:rsidRPr="00E456B8" w:rsidRDefault="00FB6E9C" w:rsidP="0059229F">
      <w:pPr>
        <w:adjustRightInd w:val="0"/>
        <w:snapToGrid w:val="0"/>
        <w:spacing w:beforeLines="50" w:before="156" w:afterLines="50" w:after="156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Model’s</w:t>
      </w:r>
      <w:r w:rsidR="00E456B8" w:rsidRPr="00E456B8">
        <w:rPr>
          <w:rFonts w:ascii="Times New Roman" w:hAnsi="Times New Roman" w:cs="Times New Roman"/>
          <w:b/>
          <w:bCs/>
          <w:sz w:val="24"/>
          <w:szCs w:val="24"/>
        </w:rPr>
        <w:t xml:space="preserve"> performance </w:t>
      </w:r>
      <w:r w:rsidR="00C67BD6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C67BD6" w:rsidRPr="00C67BD6">
        <w:rPr>
          <w:rFonts w:ascii="Times New Roman" w:hAnsi="Times New Roman" w:cs="Times New Roman"/>
          <w:b/>
          <w:bCs/>
          <w:sz w:val="24"/>
          <w:szCs w:val="24"/>
        </w:rPr>
        <w:t>GO families</w:t>
      </w:r>
      <w:r w:rsidR="00C67BD6">
        <w:rPr>
          <w:rFonts w:ascii="Times New Roman" w:hAnsi="Times New Roman" w:cs="Times New Roman"/>
          <w:b/>
          <w:bCs/>
          <w:sz w:val="24"/>
          <w:szCs w:val="24"/>
        </w:rPr>
        <w:t xml:space="preserve"> in three </w:t>
      </w:r>
      <w:r w:rsidR="00D93BA3">
        <w:rPr>
          <w:rFonts w:ascii="Times New Roman" w:hAnsi="Times New Roman" w:cs="Times New Roman"/>
          <w:b/>
          <w:bCs/>
          <w:sz w:val="24"/>
          <w:szCs w:val="24"/>
        </w:rPr>
        <w:t>domains</w:t>
      </w:r>
    </w:p>
    <w:p w14:paraId="0E610265" w14:textId="4E1D5DF3" w:rsidR="00131A6E" w:rsidRDefault="00FA2539" w:rsidP="00131A6E">
      <w:pPr>
        <w:adjustRightInd w:val="0"/>
        <w:snapToGrid w:val="0"/>
        <w:spacing w:line="288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D8302B">
        <w:rPr>
          <w:rFonts w:ascii="Times New Roman" w:hAnsi="Times New Roman" w:cs="Times New Roman"/>
          <w:sz w:val="24"/>
          <w:szCs w:val="24"/>
        </w:rPr>
        <w:t>W</w:t>
      </w:r>
      <w:r w:rsidR="00367ED2">
        <w:rPr>
          <w:rFonts w:ascii="Times New Roman" w:hAnsi="Times New Roman" w:cs="Times New Roman"/>
          <w:sz w:val="24"/>
          <w:szCs w:val="24"/>
        </w:rPr>
        <w:t xml:space="preserve">hen </w:t>
      </w:r>
      <w:r w:rsidR="00125E55">
        <w:rPr>
          <w:rFonts w:ascii="Times New Roman" w:hAnsi="Times New Roman" w:cs="Times New Roman"/>
          <w:sz w:val="24"/>
          <w:szCs w:val="24"/>
        </w:rPr>
        <w:t>establishing</w:t>
      </w:r>
      <w:r w:rsidRPr="00D8302B">
        <w:rPr>
          <w:rFonts w:ascii="Times New Roman" w:hAnsi="Times New Roman" w:cs="Times New Roman"/>
          <w:sz w:val="24"/>
          <w:szCs w:val="24"/>
        </w:rPr>
        <w:t xml:space="preserve"> the</w:t>
      </w:r>
      <w:r w:rsidR="00367ED2">
        <w:rPr>
          <w:rFonts w:ascii="Times New Roman" w:hAnsi="Times New Roman" w:cs="Times New Roman"/>
          <w:sz w:val="24"/>
          <w:szCs w:val="24"/>
        </w:rPr>
        <w:t xml:space="preserve"> prediction</w:t>
      </w:r>
      <w:r w:rsidRPr="00D8302B">
        <w:rPr>
          <w:rFonts w:ascii="Times New Roman" w:hAnsi="Times New Roman" w:cs="Times New Roman"/>
          <w:sz w:val="24"/>
          <w:szCs w:val="24"/>
        </w:rPr>
        <w:t xml:space="preserve"> model, we train</w:t>
      </w:r>
      <w:r w:rsidR="00367ED2">
        <w:rPr>
          <w:rFonts w:ascii="Times New Roman" w:hAnsi="Times New Roman" w:cs="Times New Roman" w:hint="eastAsia"/>
          <w:sz w:val="24"/>
          <w:szCs w:val="24"/>
        </w:rPr>
        <w:t>ed</w:t>
      </w:r>
      <w:r w:rsidRPr="00D8302B">
        <w:rPr>
          <w:rFonts w:ascii="Times New Roman" w:hAnsi="Times New Roman" w:cs="Times New Roman"/>
          <w:sz w:val="24"/>
          <w:szCs w:val="24"/>
        </w:rPr>
        <w:t xml:space="preserve"> the model </w:t>
      </w:r>
      <w:r w:rsidR="00457876">
        <w:rPr>
          <w:rFonts w:ascii="Times New Roman" w:hAnsi="Times New Roman" w:cs="Times New Roman"/>
          <w:sz w:val="24"/>
          <w:szCs w:val="24"/>
        </w:rPr>
        <w:t>by the protein sequences collected from the Uniport database</w:t>
      </w:r>
      <w:r w:rsidR="00457876" w:rsidRPr="00D8302B">
        <w:rPr>
          <w:rFonts w:ascii="Times New Roman" w:hAnsi="Times New Roman" w:cs="Times New Roman"/>
          <w:sz w:val="24"/>
          <w:szCs w:val="24"/>
        </w:rPr>
        <w:t xml:space="preserve"> </w:t>
      </w:r>
      <w:r w:rsidR="00457876">
        <w:rPr>
          <w:rFonts w:ascii="Times New Roman" w:hAnsi="Times New Roman" w:cs="Times New Roman"/>
          <w:sz w:val="24"/>
          <w:szCs w:val="24"/>
        </w:rPr>
        <w:t>in</w:t>
      </w:r>
      <w:r w:rsidRPr="00D8302B">
        <w:rPr>
          <w:rFonts w:ascii="Times New Roman" w:hAnsi="Times New Roman" w:cs="Times New Roman"/>
          <w:sz w:val="24"/>
          <w:szCs w:val="24"/>
        </w:rPr>
        <w:t xml:space="preserve"> the </w:t>
      </w:r>
      <w:r w:rsidR="00367ED2">
        <w:rPr>
          <w:rFonts w:ascii="Times New Roman" w:hAnsi="Times New Roman" w:cs="Times New Roman"/>
          <w:sz w:val="24"/>
          <w:szCs w:val="24"/>
        </w:rPr>
        <w:t>GO families</w:t>
      </w:r>
      <w:r w:rsidRPr="00D8302B">
        <w:rPr>
          <w:rFonts w:ascii="Times New Roman" w:hAnsi="Times New Roman" w:cs="Times New Roman"/>
          <w:sz w:val="24"/>
          <w:szCs w:val="24"/>
        </w:rPr>
        <w:t xml:space="preserve"> from three domains. To evaluate the</w:t>
      </w:r>
      <w:r w:rsidR="00E10D3E">
        <w:rPr>
          <w:rFonts w:ascii="Times New Roman" w:hAnsi="Times New Roman" w:cs="Times New Roman"/>
          <w:sz w:val="24"/>
          <w:szCs w:val="24"/>
        </w:rPr>
        <w:t xml:space="preserve"> </w:t>
      </w:r>
      <w:r w:rsidR="00E10D3E">
        <w:rPr>
          <w:rFonts w:ascii="Times New Roman" w:hAnsi="Times New Roman" w:cs="Times New Roman" w:hint="eastAsia"/>
          <w:sz w:val="24"/>
          <w:szCs w:val="24"/>
        </w:rPr>
        <w:t>pe</w:t>
      </w:r>
      <w:r w:rsidR="00E10D3E">
        <w:rPr>
          <w:rFonts w:ascii="Times New Roman" w:hAnsi="Times New Roman" w:cs="Times New Roman"/>
          <w:sz w:val="24"/>
          <w:szCs w:val="24"/>
        </w:rPr>
        <w:t>r</w:t>
      </w:r>
      <w:r w:rsidR="00E10D3E">
        <w:rPr>
          <w:rFonts w:ascii="Times New Roman" w:hAnsi="Times New Roman" w:cs="Times New Roman" w:hint="eastAsia"/>
          <w:sz w:val="24"/>
          <w:szCs w:val="24"/>
        </w:rPr>
        <w:t>forma</w:t>
      </w:r>
      <w:r w:rsidR="00E10D3E">
        <w:rPr>
          <w:rFonts w:ascii="Times New Roman" w:hAnsi="Times New Roman" w:cs="Times New Roman"/>
          <w:sz w:val="24"/>
          <w:szCs w:val="24"/>
        </w:rPr>
        <w:t>n</w:t>
      </w:r>
      <w:r w:rsidR="00E10D3E">
        <w:rPr>
          <w:rFonts w:ascii="Times New Roman" w:hAnsi="Times New Roman" w:cs="Times New Roman" w:hint="eastAsia"/>
          <w:sz w:val="24"/>
          <w:szCs w:val="24"/>
        </w:rPr>
        <w:t>ce</w:t>
      </w:r>
      <w:r w:rsidR="00E10D3E">
        <w:rPr>
          <w:rFonts w:ascii="Times New Roman" w:hAnsi="Times New Roman" w:cs="Times New Roman"/>
          <w:sz w:val="24"/>
          <w:szCs w:val="24"/>
        </w:rPr>
        <w:t xml:space="preserve"> of the model</w:t>
      </w:r>
      <w:r w:rsidRPr="00D8302B">
        <w:rPr>
          <w:rFonts w:ascii="Times New Roman" w:hAnsi="Times New Roman" w:cs="Times New Roman"/>
          <w:sz w:val="24"/>
          <w:szCs w:val="24"/>
        </w:rPr>
        <w:t xml:space="preserve">, we introduce five </w:t>
      </w:r>
      <w:r w:rsidR="000118EB" w:rsidRPr="00D8302B">
        <w:rPr>
          <w:rFonts w:ascii="Times New Roman" w:hAnsi="Times New Roman" w:cs="Times New Roman"/>
          <w:sz w:val="24"/>
          <w:szCs w:val="24"/>
        </w:rPr>
        <w:t xml:space="preserve">widely-used </w:t>
      </w:r>
      <w:r w:rsidR="00135B87" w:rsidRPr="00D8302B">
        <w:rPr>
          <w:rFonts w:ascii="Times New Roman" w:hAnsi="Times New Roman" w:cs="Times New Roman"/>
          <w:sz w:val="24"/>
          <w:szCs w:val="24"/>
        </w:rPr>
        <w:t xml:space="preserve">measurements, </w:t>
      </w:r>
      <w:r w:rsidR="000118EB" w:rsidRPr="00D8302B">
        <w:rPr>
          <w:rFonts w:ascii="Times New Roman" w:hAnsi="Times New Roman" w:cs="Times New Roman"/>
          <w:sz w:val="24"/>
          <w:szCs w:val="24"/>
        </w:rPr>
        <w:t xml:space="preserve">sensitivity (SE), specificity (SP), precision (PR), accuracy (AC) and Matthews correlation coefficient (MCC). </w:t>
      </w:r>
      <w:r w:rsidR="00457876">
        <w:rPr>
          <w:rFonts w:ascii="Times New Roman" w:hAnsi="Times New Roman" w:cs="Times New Roman"/>
          <w:sz w:val="24"/>
          <w:szCs w:val="24"/>
        </w:rPr>
        <w:t>T</w:t>
      </w:r>
      <w:r w:rsidR="00742B21" w:rsidRPr="00D8302B">
        <w:rPr>
          <w:rFonts w:ascii="Times New Roman" w:hAnsi="Times New Roman" w:cs="Times New Roman"/>
          <w:sz w:val="24"/>
          <w:szCs w:val="24"/>
        </w:rPr>
        <w:t xml:space="preserve">he </w:t>
      </w:r>
      <w:r w:rsidR="00131A6E" w:rsidRPr="00D8302B">
        <w:rPr>
          <w:rFonts w:ascii="Times New Roman" w:hAnsi="Times New Roman" w:cs="Times New Roman"/>
          <w:sz w:val="24"/>
          <w:szCs w:val="24"/>
        </w:rPr>
        <w:t>train</w:t>
      </w:r>
      <w:r w:rsidR="00131A6E">
        <w:rPr>
          <w:rFonts w:ascii="Times New Roman" w:hAnsi="Times New Roman" w:cs="Times New Roman"/>
          <w:sz w:val="24"/>
          <w:szCs w:val="24"/>
        </w:rPr>
        <w:t>i</w:t>
      </w:r>
      <w:r w:rsidR="00131A6E" w:rsidRPr="00D8302B">
        <w:rPr>
          <w:rFonts w:ascii="Times New Roman" w:hAnsi="Times New Roman" w:cs="Times New Roman"/>
          <w:sz w:val="24"/>
          <w:szCs w:val="24"/>
        </w:rPr>
        <w:t>ng</w:t>
      </w:r>
      <w:r w:rsidR="00742B21" w:rsidRPr="00D8302B">
        <w:rPr>
          <w:rFonts w:ascii="Times New Roman" w:hAnsi="Times New Roman" w:cs="Times New Roman"/>
          <w:sz w:val="24"/>
          <w:szCs w:val="24"/>
        </w:rPr>
        <w:t xml:space="preserve"> results for the selected </w:t>
      </w:r>
      <w:r w:rsidR="00430435">
        <w:rPr>
          <w:rFonts w:ascii="Times New Roman" w:hAnsi="Times New Roman" w:cs="Times New Roman" w:hint="eastAsia"/>
          <w:sz w:val="24"/>
          <w:szCs w:val="24"/>
        </w:rPr>
        <w:t>GO</w:t>
      </w:r>
      <w:r w:rsidR="00430435">
        <w:rPr>
          <w:rFonts w:ascii="Times New Roman" w:hAnsi="Times New Roman" w:cs="Times New Roman"/>
          <w:sz w:val="24"/>
          <w:szCs w:val="24"/>
        </w:rPr>
        <w:t xml:space="preserve"> families</w:t>
      </w:r>
      <w:r w:rsidR="00457876">
        <w:rPr>
          <w:rFonts w:ascii="Times New Roman" w:hAnsi="Times New Roman" w:cs="Times New Roman"/>
          <w:sz w:val="24"/>
          <w:szCs w:val="24"/>
        </w:rPr>
        <w:t xml:space="preserve"> are</w:t>
      </w:r>
      <w:r w:rsidR="00131A6E">
        <w:rPr>
          <w:rFonts w:ascii="Times New Roman" w:hAnsi="Times New Roman" w:cs="Times New Roman"/>
          <w:sz w:val="24"/>
          <w:szCs w:val="24"/>
        </w:rPr>
        <w:t xml:space="preserve"> </w:t>
      </w:r>
      <w:r w:rsidR="00457876">
        <w:rPr>
          <w:rFonts w:ascii="Times New Roman" w:hAnsi="Times New Roman" w:cs="Times New Roman"/>
          <w:sz w:val="24"/>
          <w:szCs w:val="24"/>
        </w:rPr>
        <w:t>listed</w:t>
      </w:r>
      <w:r w:rsidR="00430435">
        <w:rPr>
          <w:rFonts w:ascii="Times New Roman" w:hAnsi="Times New Roman" w:cs="Times New Roman"/>
          <w:sz w:val="24"/>
          <w:szCs w:val="24"/>
        </w:rPr>
        <w:t xml:space="preserve"> in Table </w:t>
      </w:r>
      <w:r w:rsidR="003747AF">
        <w:rPr>
          <w:rFonts w:ascii="Times New Roman" w:hAnsi="Times New Roman" w:cs="Times New Roman"/>
          <w:sz w:val="24"/>
          <w:szCs w:val="24"/>
        </w:rPr>
        <w:t>S</w:t>
      </w:r>
      <w:r w:rsidR="00430435">
        <w:rPr>
          <w:rFonts w:ascii="Times New Roman" w:hAnsi="Times New Roman" w:cs="Times New Roman"/>
          <w:sz w:val="24"/>
          <w:szCs w:val="24"/>
        </w:rPr>
        <w:t>1</w:t>
      </w:r>
      <w:r w:rsidR="006B35F5">
        <w:rPr>
          <w:rFonts w:ascii="Times New Roman" w:hAnsi="Times New Roman" w:cs="Times New Roman"/>
          <w:sz w:val="24"/>
          <w:szCs w:val="24"/>
        </w:rPr>
        <w:t xml:space="preserve"> to show the performance of the prediction model</w:t>
      </w:r>
      <w:r w:rsidR="00EB7F02">
        <w:rPr>
          <w:rFonts w:ascii="Times New Roman" w:hAnsi="Times New Roman" w:cs="Times New Roman" w:hint="eastAsia"/>
          <w:sz w:val="24"/>
          <w:szCs w:val="24"/>
        </w:rPr>
        <w:t>,</w:t>
      </w:r>
      <w:r w:rsidR="00EB7F02">
        <w:rPr>
          <w:rFonts w:ascii="Times New Roman" w:hAnsi="Times New Roman" w:cs="Times New Roman"/>
          <w:sz w:val="24"/>
          <w:szCs w:val="24"/>
        </w:rPr>
        <w:t xml:space="preserve"> </w:t>
      </w:r>
      <w:r w:rsidR="00C510B0">
        <w:rPr>
          <w:rFonts w:ascii="Times New Roman" w:hAnsi="Times New Roman" w:cs="Times New Roman" w:hint="eastAsia"/>
          <w:sz w:val="24"/>
          <w:szCs w:val="24"/>
        </w:rPr>
        <w:t>including</w:t>
      </w:r>
      <w:r w:rsidR="00EB7F02" w:rsidRPr="00D8302B">
        <w:rPr>
          <w:rFonts w:ascii="Times New Roman" w:hAnsi="Times New Roman" w:cs="Times New Roman"/>
          <w:sz w:val="24"/>
          <w:szCs w:val="24"/>
        </w:rPr>
        <w:t xml:space="preserve"> the cellar component (CC)</w:t>
      </w:r>
      <w:r w:rsidR="00EB7F02">
        <w:rPr>
          <w:rFonts w:ascii="Times New Roman" w:hAnsi="Times New Roman" w:cs="Times New Roman"/>
          <w:sz w:val="24"/>
          <w:szCs w:val="24"/>
        </w:rPr>
        <w:t xml:space="preserve"> </w:t>
      </w:r>
      <w:r w:rsidR="00EB7F02" w:rsidRPr="00D8302B">
        <w:rPr>
          <w:rFonts w:ascii="Times New Roman" w:hAnsi="Times New Roman" w:cs="Times New Roman"/>
          <w:sz w:val="24"/>
          <w:szCs w:val="24"/>
        </w:rPr>
        <w:t>domain</w:t>
      </w:r>
      <w:r w:rsidR="00EB7F02">
        <w:rPr>
          <w:rFonts w:ascii="Times New Roman" w:hAnsi="Times New Roman" w:cs="Times New Roman"/>
          <w:sz w:val="24"/>
          <w:szCs w:val="24"/>
        </w:rPr>
        <w:t xml:space="preserve">, </w:t>
      </w:r>
      <w:r w:rsidR="00EB7F02" w:rsidRPr="00D8302B">
        <w:rPr>
          <w:rFonts w:ascii="Times New Roman" w:hAnsi="Times New Roman" w:cs="Times New Roman"/>
          <w:sz w:val="24"/>
          <w:szCs w:val="24"/>
        </w:rPr>
        <w:t>molecular function (MF) domain</w:t>
      </w:r>
      <w:r w:rsidR="00EB7F02">
        <w:rPr>
          <w:rFonts w:ascii="Times New Roman" w:hAnsi="Times New Roman" w:cs="Times New Roman"/>
          <w:sz w:val="24"/>
          <w:szCs w:val="24"/>
        </w:rPr>
        <w:t xml:space="preserve"> and </w:t>
      </w:r>
      <w:r w:rsidR="00EB7F02" w:rsidRPr="00D8302B">
        <w:rPr>
          <w:rFonts w:ascii="Times New Roman" w:hAnsi="Times New Roman" w:cs="Times New Roman"/>
          <w:sz w:val="24"/>
          <w:szCs w:val="24"/>
        </w:rPr>
        <w:t>biological process</w:t>
      </w:r>
      <w:r w:rsidR="00EB7F02">
        <w:rPr>
          <w:rFonts w:ascii="Times New Roman" w:hAnsi="Times New Roman" w:cs="Times New Roman"/>
          <w:sz w:val="24"/>
          <w:szCs w:val="24"/>
        </w:rPr>
        <w:t xml:space="preserve"> (BP) domain.</w:t>
      </w:r>
      <w:r w:rsidR="00C51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02694" w14:textId="0DAA020D" w:rsidR="00D52D7D" w:rsidRPr="009D5FD8" w:rsidRDefault="00D93BA3" w:rsidP="00D93BA3">
      <w:pPr>
        <w:adjustRightInd w:val="0"/>
        <w:snapToGrid w:val="0"/>
        <w:spacing w:line="288" w:lineRule="auto"/>
        <w:rPr>
          <w:rFonts w:ascii="Times New Roman" w:hAnsi="Times New Roman" w:cs="Times New Roman"/>
          <w:b/>
          <w:sz w:val="18"/>
          <w:szCs w:val="21"/>
        </w:rPr>
      </w:pPr>
      <w:r w:rsidRPr="009D5FD8">
        <w:rPr>
          <w:rFonts w:ascii="Times New Roman" w:hAnsi="Times New Roman" w:cs="Times New Roman" w:hint="eastAsia"/>
          <w:b/>
          <w:sz w:val="18"/>
          <w:szCs w:val="21"/>
        </w:rPr>
        <w:t>T</w:t>
      </w:r>
      <w:r w:rsidRPr="009D5FD8">
        <w:rPr>
          <w:rFonts w:ascii="Times New Roman" w:hAnsi="Times New Roman" w:cs="Times New Roman"/>
          <w:b/>
          <w:sz w:val="18"/>
          <w:szCs w:val="21"/>
        </w:rPr>
        <w:t xml:space="preserve">able </w:t>
      </w:r>
      <w:r w:rsidR="003747AF">
        <w:rPr>
          <w:rFonts w:ascii="Times New Roman" w:hAnsi="Times New Roman" w:cs="Times New Roman"/>
          <w:b/>
          <w:sz w:val="18"/>
          <w:szCs w:val="21"/>
        </w:rPr>
        <w:t>S</w:t>
      </w:r>
      <w:r w:rsidRPr="009D5FD8">
        <w:rPr>
          <w:rFonts w:ascii="Times New Roman" w:hAnsi="Times New Roman" w:cs="Times New Roman"/>
          <w:b/>
          <w:sz w:val="18"/>
          <w:szCs w:val="21"/>
        </w:rPr>
        <w:t xml:space="preserve">1. </w:t>
      </w:r>
    </w:p>
    <w:p w14:paraId="15DB0BB3" w14:textId="0227DA15" w:rsidR="00D93BA3" w:rsidRPr="00131A6E" w:rsidRDefault="00D93BA3" w:rsidP="00D93BA3">
      <w:pPr>
        <w:adjustRightInd w:val="0"/>
        <w:snapToGrid w:val="0"/>
        <w:spacing w:line="288" w:lineRule="auto"/>
        <w:rPr>
          <w:rFonts w:ascii="Times New Roman" w:hAnsi="Times New Roman" w:cs="Times New Roman"/>
          <w:sz w:val="18"/>
          <w:szCs w:val="21"/>
        </w:rPr>
      </w:pPr>
      <w:r w:rsidRPr="00131A6E">
        <w:rPr>
          <w:rFonts w:ascii="Times New Roman" w:hAnsi="Times New Roman" w:cs="Times New Roman"/>
          <w:sz w:val="18"/>
          <w:szCs w:val="21"/>
        </w:rPr>
        <w:t xml:space="preserve">The performance of the prediction model for the </w:t>
      </w:r>
      <w:r w:rsidRPr="00131A6E">
        <w:rPr>
          <w:rFonts w:ascii="Times New Roman" w:hAnsi="Times New Roman" w:cs="Times New Roman" w:hint="eastAsia"/>
          <w:sz w:val="18"/>
          <w:szCs w:val="21"/>
        </w:rPr>
        <w:t>GO</w:t>
      </w:r>
      <w:r w:rsidRPr="00131A6E">
        <w:rPr>
          <w:rFonts w:ascii="Times New Roman" w:hAnsi="Times New Roman" w:cs="Times New Roman"/>
          <w:sz w:val="18"/>
          <w:szCs w:val="21"/>
        </w:rPr>
        <w:t xml:space="preserve"> </w:t>
      </w:r>
      <w:r w:rsidRPr="00131A6E">
        <w:rPr>
          <w:rFonts w:ascii="Times New Roman" w:hAnsi="Times New Roman" w:cs="Times New Roman" w:hint="eastAsia"/>
          <w:sz w:val="18"/>
          <w:szCs w:val="21"/>
        </w:rPr>
        <w:t>families</w:t>
      </w:r>
      <w:r w:rsidRPr="00131A6E">
        <w:rPr>
          <w:rFonts w:ascii="Times New Roman" w:hAnsi="Times New Roman" w:cs="Times New Roman"/>
          <w:sz w:val="18"/>
          <w:szCs w:val="21"/>
        </w:rPr>
        <w:t xml:space="preserve"> in the C</w:t>
      </w:r>
      <w:r w:rsidR="00D75D0B">
        <w:rPr>
          <w:rFonts w:ascii="Times New Roman" w:hAnsi="Times New Roman" w:cs="Times New Roman" w:hint="eastAsia"/>
          <w:sz w:val="18"/>
          <w:szCs w:val="21"/>
        </w:rPr>
        <w:t>C</w:t>
      </w:r>
      <w:r w:rsidRPr="00131A6E">
        <w:rPr>
          <w:rFonts w:ascii="Times New Roman" w:hAnsi="Times New Roman" w:cs="Times New Roman" w:hint="eastAsia"/>
          <w:sz w:val="18"/>
          <w:szCs w:val="21"/>
        </w:rPr>
        <w:t>,</w:t>
      </w:r>
      <w:r w:rsidRPr="00131A6E">
        <w:rPr>
          <w:rFonts w:ascii="Times New Roman" w:hAnsi="Times New Roman" w:cs="Times New Roman"/>
          <w:sz w:val="18"/>
          <w:szCs w:val="21"/>
        </w:rPr>
        <w:t xml:space="preserve"> MF </w:t>
      </w:r>
      <w:r w:rsidRPr="00131A6E">
        <w:rPr>
          <w:rFonts w:ascii="Times New Roman" w:hAnsi="Times New Roman" w:cs="Times New Roman"/>
          <w:sz w:val="18"/>
          <w:szCs w:val="24"/>
        </w:rPr>
        <w:t>and BP domain</w:t>
      </w:r>
      <w:r w:rsidR="00D75D0B">
        <w:rPr>
          <w:rFonts w:ascii="Times New Roman" w:hAnsi="Times New Roman" w:cs="Times New Roman" w:hint="eastAsia"/>
          <w:sz w:val="18"/>
          <w:szCs w:val="24"/>
        </w:rPr>
        <w:t>s</w:t>
      </w:r>
      <w:r w:rsidRPr="00131A6E">
        <w:rPr>
          <w:rFonts w:ascii="Times New Roman" w:hAnsi="Times New Roman" w:cs="Times New Roman"/>
          <w:sz w:val="18"/>
          <w:szCs w:val="24"/>
        </w:rPr>
        <w:t>.</w:t>
      </w:r>
      <w:r w:rsidR="00DF7F00" w:rsidRPr="00131A6E">
        <w:rPr>
          <w:rFonts w:ascii="Times New Roman" w:hAnsi="Times New Roman" w:cs="Times New Roman"/>
          <w:sz w:val="18"/>
          <w:szCs w:val="24"/>
        </w:rPr>
        <w:t xml:space="preserve"> The GO IDs, terms, and numbers </w:t>
      </w:r>
      <w:r w:rsidR="00E36363" w:rsidRPr="00DA5D44">
        <w:rPr>
          <w:rFonts w:ascii="Times New Roman" w:hAnsi="Times New Roman" w:cs="Times New Roman"/>
          <w:sz w:val="16"/>
          <w:szCs w:val="16"/>
        </w:rPr>
        <w:t>N</w:t>
      </w:r>
      <w:r w:rsidR="00E36363" w:rsidRPr="00DA5D44">
        <w:rPr>
          <w:rFonts w:ascii="Times New Roman" w:hAnsi="Times New Roman" w:cs="Times New Roman"/>
          <w:sz w:val="16"/>
          <w:szCs w:val="16"/>
          <w:vertAlign w:val="subscript"/>
        </w:rPr>
        <w:t>GO</w:t>
      </w:r>
      <w:r w:rsidR="00E36363" w:rsidRPr="00131A6E">
        <w:rPr>
          <w:rFonts w:ascii="Times New Roman" w:hAnsi="Times New Roman" w:cs="Times New Roman"/>
          <w:sz w:val="18"/>
          <w:szCs w:val="24"/>
        </w:rPr>
        <w:t xml:space="preserve"> </w:t>
      </w:r>
      <w:r w:rsidR="00DF7F00" w:rsidRPr="00131A6E">
        <w:rPr>
          <w:rFonts w:ascii="Times New Roman" w:hAnsi="Times New Roman" w:cs="Times New Roman"/>
          <w:sz w:val="18"/>
          <w:szCs w:val="24"/>
        </w:rPr>
        <w:t xml:space="preserve">of protein sequences in the GO families are listed in </w:t>
      </w:r>
      <w:r w:rsidR="00C20021">
        <w:rPr>
          <w:rFonts w:ascii="Times New Roman" w:hAnsi="Times New Roman" w:cs="Times New Roman"/>
          <w:sz w:val="18"/>
          <w:szCs w:val="24"/>
        </w:rPr>
        <w:t>the</w:t>
      </w:r>
      <w:r w:rsidR="00D75D0B">
        <w:rPr>
          <w:rFonts w:ascii="Times New Roman" w:hAnsi="Times New Roman" w:cs="Times New Roman"/>
          <w:sz w:val="18"/>
          <w:szCs w:val="24"/>
        </w:rPr>
        <w:t xml:space="preserve"> second to fourth</w:t>
      </w:r>
      <w:r w:rsidR="00DF7F00" w:rsidRPr="00131A6E">
        <w:rPr>
          <w:rFonts w:ascii="Times New Roman" w:hAnsi="Times New Roman" w:cs="Times New Roman"/>
          <w:sz w:val="18"/>
          <w:szCs w:val="24"/>
        </w:rPr>
        <w:t xml:space="preserve"> columns</w:t>
      </w:r>
      <w:r w:rsidR="00F40941" w:rsidRPr="00131A6E">
        <w:rPr>
          <w:rFonts w:ascii="Times New Roman" w:hAnsi="Times New Roman" w:cs="Times New Roman"/>
          <w:sz w:val="18"/>
          <w:szCs w:val="24"/>
        </w:rPr>
        <w:t>.</w:t>
      </w:r>
      <w:r w:rsidR="00D75D0B">
        <w:rPr>
          <w:rFonts w:ascii="Times New Roman" w:hAnsi="Times New Roman" w:cs="Times New Roman"/>
          <w:sz w:val="18"/>
          <w:szCs w:val="24"/>
        </w:rPr>
        <w:t xml:space="preserve"> </w:t>
      </w:r>
      <w:r w:rsidR="00D75D0B">
        <w:rPr>
          <w:rFonts w:ascii="Times New Roman" w:hAnsi="Times New Roman" w:cs="Times New Roman" w:hint="eastAsia"/>
          <w:sz w:val="18"/>
          <w:szCs w:val="24"/>
        </w:rPr>
        <w:t>T</w:t>
      </w:r>
      <w:r w:rsidR="00D75D0B">
        <w:rPr>
          <w:rFonts w:ascii="Times New Roman" w:hAnsi="Times New Roman" w:cs="Times New Roman"/>
          <w:sz w:val="18"/>
          <w:szCs w:val="24"/>
        </w:rPr>
        <w:t>h</w:t>
      </w:r>
      <w:r w:rsidR="00D75D0B">
        <w:rPr>
          <w:rFonts w:ascii="Times New Roman" w:hAnsi="Times New Roman" w:cs="Times New Roman" w:hint="eastAsia"/>
          <w:sz w:val="18"/>
          <w:szCs w:val="24"/>
        </w:rPr>
        <w:t>e</w:t>
      </w:r>
      <w:r w:rsidR="00D75D0B">
        <w:rPr>
          <w:rFonts w:ascii="Times New Roman" w:hAnsi="Times New Roman" w:cs="Times New Roman"/>
          <w:sz w:val="18"/>
          <w:szCs w:val="24"/>
        </w:rPr>
        <w:t xml:space="preserve"> </w:t>
      </w:r>
      <w:r w:rsidR="00D75D0B">
        <w:rPr>
          <w:rFonts w:ascii="Times New Roman" w:hAnsi="Times New Roman" w:cs="Times New Roman" w:hint="eastAsia"/>
          <w:sz w:val="18"/>
          <w:szCs w:val="24"/>
        </w:rPr>
        <w:t>measurements</w:t>
      </w:r>
      <w:r w:rsidR="00D75D0B">
        <w:rPr>
          <w:rFonts w:ascii="Times New Roman" w:hAnsi="Times New Roman" w:cs="Times New Roman"/>
          <w:sz w:val="18"/>
          <w:szCs w:val="24"/>
        </w:rPr>
        <w:t xml:space="preserve"> </w:t>
      </w:r>
      <w:r w:rsidR="00D75D0B">
        <w:rPr>
          <w:rFonts w:ascii="Times New Roman" w:hAnsi="Times New Roman" w:cs="Times New Roman" w:hint="eastAsia"/>
          <w:sz w:val="18"/>
          <w:szCs w:val="24"/>
        </w:rPr>
        <w:t>are</w:t>
      </w:r>
      <w:r w:rsidR="00D75D0B">
        <w:rPr>
          <w:rFonts w:ascii="Times New Roman" w:hAnsi="Times New Roman" w:cs="Times New Roman"/>
          <w:sz w:val="18"/>
          <w:szCs w:val="24"/>
        </w:rPr>
        <w:t xml:space="preserve"> </w:t>
      </w:r>
      <w:r w:rsidR="00D75D0B">
        <w:rPr>
          <w:rFonts w:ascii="Times New Roman" w:hAnsi="Times New Roman" w:cs="Times New Roman" w:hint="eastAsia"/>
          <w:sz w:val="18"/>
          <w:szCs w:val="24"/>
        </w:rPr>
        <w:t>listed</w:t>
      </w:r>
      <w:r w:rsidR="00D75D0B">
        <w:rPr>
          <w:rFonts w:ascii="Times New Roman" w:hAnsi="Times New Roman" w:cs="Times New Roman"/>
          <w:sz w:val="18"/>
          <w:szCs w:val="24"/>
        </w:rPr>
        <w:t xml:space="preserve"> </w:t>
      </w:r>
      <w:r w:rsidR="00D75D0B">
        <w:rPr>
          <w:rFonts w:ascii="Times New Roman" w:hAnsi="Times New Roman" w:cs="Times New Roman" w:hint="eastAsia"/>
          <w:sz w:val="18"/>
          <w:szCs w:val="24"/>
        </w:rPr>
        <w:t>in</w:t>
      </w:r>
      <w:r w:rsidR="00D75D0B">
        <w:rPr>
          <w:rFonts w:ascii="Times New Roman" w:hAnsi="Times New Roman" w:cs="Times New Roman"/>
          <w:sz w:val="18"/>
          <w:szCs w:val="24"/>
        </w:rPr>
        <w:t xml:space="preserve"> last five columns.</w:t>
      </w:r>
    </w:p>
    <w:tbl>
      <w:tblPr>
        <w:tblStyle w:val="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1107"/>
        <w:gridCol w:w="2056"/>
        <w:gridCol w:w="733"/>
        <w:gridCol w:w="706"/>
        <w:gridCol w:w="720"/>
        <w:gridCol w:w="720"/>
        <w:gridCol w:w="718"/>
        <w:gridCol w:w="718"/>
      </w:tblGrid>
      <w:tr w:rsidR="00D93BA3" w:rsidRPr="00DA5D44" w14:paraId="54501939" w14:textId="77777777" w:rsidTr="00807F26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F5C7E9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omain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6A72036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 ID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32FA8E3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Function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512ECC7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DA5D44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GO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B66CE12" w14:textId="14EDE755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1FC3E0B" w14:textId="74479163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SP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E4D3A2" w14:textId="1E10977F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PR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1997CB11" w14:textId="341E2868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AC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 w:rsidR="00DF7F0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6F56142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MCC</w:t>
            </w:r>
          </w:p>
        </w:tc>
      </w:tr>
      <w:tr w:rsidR="00D93BA3" w:rsidRPr="00DA5D44" w14:paraId="73444D04" w14:textId="77777777" w:rsidTr="00807F26">
        <w:tc>
          <w:tcPr>
            <w:tcW w:w="828" w:type="dxa"/>
            <w:vMerge w:val="restart"/>
          </w:tcPr>
          <w:p w14:paraId="1FE47FB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1C0376E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GO:0045202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BF642D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synapse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16EABF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9048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DC7DA4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 xml:space="preserve">84.2       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0CB9F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94.8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E46339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84.5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635BD9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92.1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46B6F0E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</w:tr>
      <w:tr w:rsidR="00D93BA3" w:rsidRPr="00DA5D44" w14:paraId="0FB7350C" w14:textId="77777777" w:rsidTr="00807F26">
        <w:tc>
          <w:tcPr>
            <w:tcW w:w="828" w:type="dxa"/>
            <w:vMerge/>
          </w:tcPr>
          <w:p w14:paraId="1E4B8BC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533D94A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GO:0055044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7C7D8CB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symplast</w:t>
            </w:r>
            <w:proofErr w:type="spellEnd"/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778BF01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7369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E878C2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93.5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19C67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4DF591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99.2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576A628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98.2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751FF2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0.95</w:t>
            </w:r>
          </w:p>
        </w:tc>
      </w:tr>
      <w:tr w:rsidR="00D93BA3" w:rsidRPr="00DA5D44" w14:paraId="3BE90E84" w14:textId="77777777" w:rsidTr="00807F26">
        <w:tc>
          <w:tcPr>
            <w:tcW w:w="828" w:type="dxa"/>
            <w:vMerge/>
          </w:tcPr>
          <w:p w14:paraId="027ABCB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39A68A8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GO:0009295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51D32E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nucleoid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C370BA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6C60A6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68A3FB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BAA2E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99.4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308287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94.7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1B05786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</w:tr>
      <w:tr w:rsidR="00D93BA3" w:rsidRPr="00DA5D44" w14:paraId="38FD61B0" w14:textId="77777777" w:rsidTr="00807F26">
        <w:tc>
          <w:tcPr>
            <w:tcW w:w="828" w:type="dxa"/>
            <w:vMerge/>
          </w:tcPr>
          <w:p w14:paraId="76DEA48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565AF9A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GO:0031012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7B286C6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extracellular matrix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8D4C65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4429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5C93C7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68.5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22553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2ADAE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95.5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B1C4F7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90.9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821852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</w:tr>
      <w:tr w:rsidR="00D93BA3" w:rsidRPr="00DA5D44" w14:paraId="3AF47142" w14:textId="77777777" w:rsidTr="00807F26">
        <w:tc>
          <w:tcPr>
            <w:tcW w:w="828" w:type="dxa"/>
            <w:vMerge/>
          </w:tcPr>
          <w:p w14:paraId="6B996BF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77D0949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GO:0005576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7E12A0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extracellular region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415A81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36198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DDEE6A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82.4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44770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95.0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C963A6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84.7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A4A6CF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91.9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0443DFF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0.78</w:t>
            </w:r>
          </w:p>
        </w:tc>
      </w:tr>
      <w:tr w:rsidR="00D93BA3" w:rsidRPr="00DA5D44" w14:paraId="747632F2" w14:textId="77777777" w:rsidTr="00807F26">
        <w:tc>
          <w:tcPr>
            <w:tcW w:w="828" w:type="dxa"/>
            <w:vMerge/>
          </w:tcPr>
          <w:p w14:paraId="4EA9B8F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602A646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GO:0030054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5559A5F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cell junction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B41E96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20421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AA4C08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D7A00D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C7EE1C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90.2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AA7F5B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93.2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588B562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</w:tr>
      <w:tr w:rsidR="00D93BA3" w:rsidRPr="00DA5D44" w14:paraId="5527CF20" w14:textId="77777777" w:rsidTr="00807F26"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758D610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</w:tcPr>
          <w:p w14:paraId="4BCF3D3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GO:0031974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14:paraId="686BC5A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membrane-enclosed lumen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14:paraId="0989DE9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83898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92C778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78.0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09F1825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95.5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1122A58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85.1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14:paraId="7934853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91.2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14:paraId="6EE7FED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</w:tr>
      <w:tr w:rsidR="00D93BA3" w:rsidRPr="00DA5D44" w14:paraId="52F5026E" w14:textId="77777777" w:rsidTr="00807F26">
        <w:tc>
          <w:tcPr>
            <w:tcW w:w="828" w:type="dxa"/>
            <w:vMerge w:val="restart"/>
            <w:tcBorders>
              <w:top w:val="nil"/>
            </w:tcBorders>
          </w:tcPr>
          <w:p w14:paraId="7341DCC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40C0D76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GO:0005085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1145AF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guanyl-nucleotide exchange factor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4F299A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3070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9FEB44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55E7B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9A864D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95.1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C30D5B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92.5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8835F8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</w:tr>
      <w:tr w:rsidR="00D93BA3" w:rsidRPr="00DA5D44" w14:paraId="0A898345" w14:textId="77777777" w:rsidTr="00807F26">
        <w:tc>
          <w:tcPr>
            <w:tcW w:w="828" w:type="dxa"/>
            <w:vMerge/>
          </w:tcPr>
          <w:p w14:paraId="1C6B12E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52BFD7D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GO:0016247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24C8435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channel regulator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1CC8AE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EFA2E3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81.9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CAD8F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94.2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6F1E99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83.3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99B6E1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91.0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5ADA7A0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0.76</w:t>
            </w:r>
          </w:p>
        </w:tc>
      </w:tr>
      <w:tr w:rsidR="00D93BA3" w:rsidRPr="00DA5D44" w14:paraId="025D0F10" w14:textId="77777777" w:rsidTr="00807F26">
        <w:tc>
          <w:tcPr>
            <w:tcW w:w="828" w:type="dxa"/>
            <w:vMerge/>
          </w:tcPr>
          <w:p w14:paraId="587D9E2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6629C8F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GO:0005198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6C1064E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structural molecule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BFCE23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24949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F7E42A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85.2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9CFB3C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3061C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97.3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B233D7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95.6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51FA174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0.88</w:t>
            </w:r>
          </w:p>
        </w:tc>
      </w:tr>
      <w:tr w:rsidR="00D93BA3" w:rsidRPr="00DA5D44" w14:paraId="53143B94" w14:textId="77777777" w:rsidTr="00807F26">
        <w:tc>
          <w:tcPr>
            <w:tcW w:w="828" w:type="dxa"/>
            <w:vMerge/>
          </w:tcPr>
          <w:p w14:paraId="471798B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6F4AEF1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GO:0005215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28C315D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transporter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5F29432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59697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D02008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DB920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96.9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27D5BC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89.6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E3791B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93.1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4DE66A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0.81</w:t>
            </w:r>
          </w:p>
        </w:tc>
      </w:tr>
      <w:tr w:rsidR="00D93BA3" w:rsidRPr="00DA5D44" w14:paraId="322091B2" w14:textId="77777777" w:rsidTr="00807F26">
        <w:tc>
          <w:tcPr>
            <w:tcW w:w="828" w:type="dxa"/>
            <w:vMerge/>
          </w:tcPr>
          <w:p w14:paraId="4A3E77B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5984080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GO:0016530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39354FE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metallochaperone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4D4857A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B581EC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88.9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A1821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508CFC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E17BED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97.7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00104C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0.93</w:t>
            </w:r>
          </w:p>
        </w:tc>
      </w:tr>
      <w:tr w:rsidR="00D93BA3" w:rsidRPr="00DA5D44" w14:paraId="318AF5AE" w14:textId="77777777" w:rsidTr="00807F26">
        <w:tc>
          <w:tcPr>
            <w:tcW w:w="828" w:type="dxa"/>
            <w:vMerge/>
          </w:tcPr>
          <w:p w14:paraId="26821FE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690D8F6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GO:0030545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843DAC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receptor regulator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E2DEFF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5048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735CD75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BBDE60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F2E175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92.6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64185E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94.8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0ABA8B9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</w:tr>
      <w:tr w:rsidR="00D93BA3" w:rsidRPr="00DA5D44" w14:paraId="1D78EA80" w14:textId="77777777" w:rsidTr="00807F26">
        <w:tc>
          <w:tcPr>
            <w:tcW w:w="828" w:type="dxa"/>
            <w:vMerge/>
          </w:tcPr>
          <w:p w14:paraId="3AFFE06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055111F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GO:0003700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229C5F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DNA-binding transcription factor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679D04F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50104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DD3C52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76.7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03F521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83C3B6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98.6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9BFC77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93.8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7D54136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0.83</w:t>
            </w:r>
          </w:p>
        </w:tc>
      </w:tr>
      <w:tr w:rsidR="00D93BA3" w:rsidRPr="00DA5D44" w14:paraId="419A0B30" w14:textId="77777777" w:rsidTr="00807F26">
        <w:tc>
          <w:tcPr>
            <w:tcW w:w="828" w:type="dxa"/>
            <w:vMerge/>
          </w:tcPr>
          <w:p w14:paraId="42C8FE0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33C7127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GO:0060089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771D101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molecular transducer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3100060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31235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8F4C83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1B18EE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C3A16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89.4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314182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89.6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14EF764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</w:tr>
      <w:tr w:rsidR="00D93BA3" w:rsidRPr="00DA5D44" w14:paraId="482C71EC" w14:textId="77777777" w:rsidTr="00807F26">
        <w:tc>
          <w:tcPr>
            <w:tcW w:w="828" w:type="dxa"/>
            <w:vMerge/>
          </w:tcPr>
          <w:p w14:paraId="4DAC188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5E353EE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GO:0016209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3BBAA0D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antioxidant activity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01B96D8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7154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1AB1BC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88.1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C5544F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E436D8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98.1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0BCDBDE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96.6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EFBAD1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</w:tr>
      <w:tr w:rsidR="00D93BA3" w:rsidRPr="00DA5D44" w14:paraId="3430EF1C" w14:textId="77777777" w:rsidTr="00807F26"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6C1B3C7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bottom w:val="single" w:sz="4" w:space="0" w:color="auto"/>
            </w:tcBorders>
          </w:tcPr>
          <w:p w14:paraId="6BEC1B0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GO:0030234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14:paraId="5BD63F4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enzyme regulator activity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14:paraId="4545546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25847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</w:tcPr>
          <w:p w14:paraId="0FC3478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74.0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519B357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4A6018D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94.4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14:paraId="63A693F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92.4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</w:tcPr>
          <w:p w14:paraId="0886BDE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0.79</w:t>
            </w:r>
          </w:p>
        </w:tc>
      </w:tr>
      <w:tr w:rsidR="00D93BA3" w:rsidRPr="00DA5D44" w14:paraId="4B0F4331" w14:textId="77777777" w:rsidTr="00807F26">
        <w:tc>
          <w:tcPr>
            <w:tcW w:w="828" w:type="dxa"/>
            <w:vMerge w:val="restart"/>
          </w:tcPr>
          <w:p w14:paraId="5451DFF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BP</w:t>
            </w:r>
          </w:p>
        </w:tc>
        <w:tc>
          <w:tcPr>
            <w:tcW w:w="1107" w:type="dxa"/>
          </w:tcPr>
          <w:p w14:paraId="640AA61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GO:0007610</w:t>
            </w:r>
          </w:p>
        </w:tc>
        <w:tc>
          <w:tcPr>
            <w:tcW w:w="2056" w:type="dxa"/>
          </w:tcPr>
          <w:p w14:paraId="07923DD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Behavior</w:t>
            </w:r>
          </w:p>
        </w:tc>
        <w:tc>
          <w:tcPr>
            <w:tcW w:w="733" w:type="dxa"/>
          </w:tcPr>
          <w:p w14:paraId="105A014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8061</w:t>
            </w:r>
          </w:p>
        </w:tc>
        <w:tc>
          <w:tcPr>
            <w:tcW w:w="706" w:type="dxa"/>
          </w:tcPr>
          <w:p w14:paraId="67F084F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75.6</w:t>
            </w:r>
          </w:p>
        </w:tc>
        <w:tc>
          <w:tcPr>
            <w:tcW w:w="720" w:type="dxa"/>
          </w:tcPr>
          <w:p w14:paraId="1129049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98.2</w:t>
            </w:r>
          </w:p>
        </w:tc>
        <w:tc>
          <w:tcPr>
            <w:tcW w:w="720" w:type="dxa"/>
          </w:tcPr>
          <w:p w14:paraId="6DA1018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93.2</w:t>
            </w:r>
          </w:p>
        </w:tc>
        <w:tc>
          <w:tcPr>
            <w:tcW w:w="718" w:type="dxa"/>
          </w:tcPr>
          <w:p w14:paraId="54C52DA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92.7</w:t>
            </w:r>
          </w:p>
        </w:tc>
        <w:tc>
          <w:tcPr>
            <w:tcW w:w="718" w:type="dxa"/>
          </w:tcPr>
          <w:p w14:paraId="2B7538C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0.80</w:t>
            </w:r>
          </w:p>
        </w:tc>
      </w:tr>
      <w:tr w:rsidR="00D93BA3" w:rsidRPr="00DA5D44" w14:paraId="5578B335" w14:textId="77777777" w:rsidTr="00807F26">
        <w:tc>
          <w:tcPr>
            <w:tcW w:w="828" w:type="dxa"/>
            <w:vMerge/>
          </w:tcPr>
          <w:p w14:paraId="23918B0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218FC91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GO:0032502</w:t>
            </w:r>
          </w:p>
        </w:tc>
        <w:tc>
          <w:tcPr>
            <w:tcW w:w="2056" w:type="dxa"/>
          </w:tcPr>
          <w:p w14:paraId="2423262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developmental process</w:t>
            </w:r>
          </w:p>
        </w:tc>
        <w:tc>
          <w:tcPr>
            <w:tcW w:w="733" w:type="dxa"/>
          </w:tcPr>
          <w:p w14:paraId="737B0D4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50081</w:t>
            </w:r>
          </w:p>
        </w:tc>
        <w:tc>
          <w:tcPr>
            <w:tcW w:w="706" w:type="dxa"/>
          </w:tcPr>
          <w:p w14:paraId="52B9C46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34.8</w:t>
            </w:r>
          </w:p>
        </w:tc>
        <w:tc>
          <w:tcPr>
            <w:tcW w:w="720" w:type="dxa"/>
          </w:tcPr>
          <w:p w14:paraId="3BB041E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97.1</w:t>
            </w:r>
          </w:p>
        </w:tc>
        <w:tc>
          <w:tcPr>
            <w:tcW w:w="720" w:type="dxa"/>
          </w:tcPr>
          <w:p w14:paraId="73DD851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80.1</w:t>
            </w:r>
          </w:p>
        </w:tc>
        <w:tc>
          <w:tcPr>
            <w:tcW w:w="718" w:type="dxa"/>
          </w:tcPr>
          <w:p w14:paraId="1447064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81.6</w:t>
            </w:r>
          </w:p>
        </w:tc>
        <w:tc>
          <w:tcPr>
            <w:tcW w:w="718" w:type="dxa"/>
          </w:tcPr>
          <w:p w14:paraId="03C91D6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0.44</w:t>
            </w:r>
          </w:p>
        </w:tc>
      </w:tr>
      <w:tr w:rsidR="00D93BA3" w:rsidRPr="00DA5D44" w14:paraId="603CA144" w14:textId="77777777" w:rsidTr="00807F26">
        <w:tc>
          <w:tcPr>
            <w:tcW w:w="828" w:type="dxa"/>
            <w:vMerge/>
          </w:tcPr>
          <w:p w14:paraId="127FCF1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4C38B99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GO:0022610</w:t>
            </w:r>
          </w:p>
        </w:tc>
        <w:tc>
          <w:tcPr>
            <w:tcW w:w="2056" w:type="dxa"/>
          </w:tcPr>
          <w:p w14:paraId="3733AE1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biological adhesion</w:t>
            </w:r>
          </w:p>
        </w:tc>
        <w:tc>
          <w:tcPr>
            <w:tcW w:w="733" w:type="dxa"/>
          </w:tcPr>
          <w:p w14:paraId="54AA8DF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2225</w:t>
            </w:r>
          </w:p>
        </w:tc>
        <w:tc>
          <w:tcPr>
            <w:tcW w:w="706" w:type="dxa"/>
          </w:tcPr>
          <w:p w14:paraId="2E14D58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67.6</w:t>
            </w:r>
          </w:p>
        </w:tc>
        <w:tc>
          <w:tcPr>
            <w:tcW w:w="720" w:type="dxa"/>
          </w:tcPr>
          <w:p w14:paraId="7050A0F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96.6</w:t>
            </w:r>
          </w:p>
        </w:tc>
        <w:tc>
          <w:tcPr>
            <w:tcW w:w="720" w:type="dxa"/>
          </w:tcPr>
          <w:p w14:paraId="603C066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86.9</w:t>
            </w:r>
          </w:p>
        </w:tc>
        <w:tc>
          <w:tcPr>
            <w:tcW w:w="718" w:type="dxa"/>
          </w:tcPr>
          <w:p w14:paraId="79CECC8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89.3</w:t>
            </w:r>
          </w:p>
        </w:tc>
        <w:tc>
          <w:tcPr>
            <w:tcW w:w="718" w:type="dxa"/>
          </w:tcPr>
          <w:p w14:paraId="0D891D7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0.70</w:t>
            </w:r>
          </w:p>
        </w:tc>
      </w:tr>
      <w:tr w:rsidR="00D93BA3" w:rsidRPr="00DA5D44" w14:paraId="12567E2A" w14:textId="77777777" w:rsidTr="00807F26">
        <w:tc>
          <w:tcPr>
            <w:tcW w:w="828" w:type="dxa"/>
            <w:vMerge/>
          </w:tcPr>
          <w:p w14:paraId="1103A6A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541C9B7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GO:0032501</w:t>
            </w:r>
          </w:p>
        </w:tc>
        <w:tc>
          <w:tcPr>
            <w:tcW w:w="2056" w:type="dxa"/>
          </w:tcPr>
          <w:p w14:paraId="688640A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Multicellular organismal</w:t>
            </w:r>
          </w:p>
        </w:tc>
        <w:tc>
          <w:tcPr>
            <w:tcW w:w="733" w:type="dxa"/>
          </w:tcPr>
          <w:p w14:paraId="016A7D7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20389</w:t>
            </w:r>
          </w:p>
        </w:tc>
        <w:tc>
          <w:tcPr>
            <w:tcW w:w="706" w:type="dxa"/>
          </w:tcPr>
          <w:p w14:paraId="6D5C064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720" w:type="dxa"/>
          </w:tcPr>
          <w:p w14:paraId="7E6AFAD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94.0</w:t>
            </w:r>
          </w:p>
        </w:tc>
        <w:tc>
          <w:tcPr>
            <w:tcW w:w="720" w:type="dxa"/>
          </w:tcPr>
          <w:p w14:paraId="6926C08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718" w:type="dxa"/>
          </w:tcPr>
          <w:p w14:paraId="0EB50FE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83.2</w:t>
            </w:r>
          </w:p>
        </w:tc>
        <w:tc>
          <w:tcPr>
            <w:tcW w:w="718" w:type="dxa"/>
          </w:tcPr>
          <w:p w14:paraId="5330CDD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0.51</w:t>
            </w:r>
          </w:p>
        </w:tc>
      </w:tr>
      <w:tr w:rsidR="00D93BA3" w:rsidRPr="00DA5D44" w14:paraId="1F5F9008" w14:textId="77777777" w:rsidTr="00807F26">
        <w:tc>
          <w:tcPr>
            <w:tcW w:w="828" w:type="dxa"/>
            <w:vMerge/>
          </w:tcPr>
          <w:p w14:paraId="1B32D3C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07F3F7F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GO:0048518</w:t>
            </w:r>
          </w:p>
        </w:tc>
        <w:tc>
          <w:tcPr>
            <w:tcW w:w="2056" w:type="dxa"/>
          </w:tcPr>
          <w:p w14:paraId="357CF48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positive regulation of biological process</w:t>
            </w:r>
          </w:p>
        </w:tc>
        <w:tc>
          <w:tcPr>
            <w:tcW w:w="733" w:type="dxa"/>
          </w:tcPr>
          <w:p w14:paraId="15BCEC0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63420</w:t>
            </w:r>
          </w:p>
        </w:tc>
        <w:tc>
          <w:tcPr>
            <w:tcW w:w="706" w:type="dxa"/>
          </w:tcPr>
          <w:p w14:paraId="0BB7A95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45.7</w:t>
            </w:r>
          </w:p>
        </w:tc>
        <w:tc>
          <w:tcPr>
            <w:tcW w:w="720" w:type="dxa"/>
          </w:tcPr>
          <w:p w14:paraId="1FE8AF4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95.6</w:t>
            </w:r>
          </w:p>
        </w:tc>
        <w:tc>
          <w:tcPr>
            <w:tcW w:w="720" w:type="dxa"/>
          </w:tcPr>
          <w:p w14:paraId="3C97DDA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718" w:type="dxa"/>
          </w:tcPr>
          <w:p w14:paraId="291F1A6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83.2</w:t>
            </w:r>
          </w:p>
        </w:tc>
        <w:tc>
          <w:tcPr>
            <w:tcW w:w="718" w:type="dxa"/>
          </w:tcPr>
          <w:p w14:paraId="29438C0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</w:tr>
      <w:tr w:rsidR="00D93BA3" w:rsidRPr="00DA5D44" w14:paraId="31D3670E" w14:textId="77777777" w:rsidTr="00807F26">
        <w:tc>
          <w:tcPr>
            <w:tcW w:w="828" w:type="dxa"/>
            <w:vMerge/>
          </w:tcPr>
          <w:p w14:paraId="3025522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22CE8F4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GO:0040011</w:t>
            </w:r>
          </w:p>
        </w:tc>
        <w:tc>
          <w:tcPr>
            <w:tcW w:w="2056" w:type="dxa"/>
          </w:tcPr>
          <w:p w14:paraId="695C0F4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locomotion</w:t>
            </w:r>
          </w:p>
        </w:tc>
        <w:tc>
          <w:tcPr>
            <w:tcW w:w="733" w:type="dxa"/>
          </w:tcPr>
          <w:p w14:paraId="0BC216B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11235</w:t>
            </w:r>
          </w:p>
        </w:tc>
        <w:tc>
          <w:tcPr>
            <w:tcW w:w="706" w:type="dxa"/>
          </w:tcPr>
          <w:p w14:paraId="2FEF409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720" w:type="dxa"/>
          </w:tcPr>
          <w:p w14:paraId="088E3C0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92.9</w:t>
            </w:r>
          </w:p>
        </w:tc>
        <w:tc>
          <w:tcPr>
            <w:tcW w:w="720" w:type="dxa"/>
          </w:tcPr>
          <w:p w14:paraId="53A1711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76.5</w:t>
            </w:r>
          </w:p>
        </w:tc>
        <w:tc>
          <w:tcPr>
            <w:tcW w:w="718" w:type="dxa"/>
          </w:tcPr>
          <w:p w14:paraId="737D7BEA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86.8</w:t>
            </w:r>
          </w:p>
        </w:tc>
        <w:tc>
          <w:tcPr>
            <w:tcW w:w="718" w:type="dxa"/>
          </w:tcPr>
          <w:p w14:paraId="3007AF0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</w:tr>
      <w:tr w:rsidR="00D93BA3" w:rsidRPr="00DA5D44" w14:paraId="6D99F183" w14:textId="77777777" w:rsidTr="00807F26">
        <w:tc>
          <w:tcPr>
            <w:tcW w:w="828" w:type="dxa"/>
            <w:vMerge/>
          </w:tcPr>
          <w:p w14:paraId="16255C0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3249420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GO:0001906</w:t>
            </w:r>
          </w:p>
        </w:tc>
        <w:tc>
          <w:tcPr>
            <w:tcW w:w="2056" w:type="dxa"/>
          </w:tcPr>
          <w:p w14:paraId="3F75EDB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cell killing</w:t>
            </w:r>
          </w:p>
        </w:tc>
        <w:tc>
          <w:tcPr>
            <w:tcW w:w="733" w:type="dxa"/>
          </w:tcPr>
          <w:p w14:paraId="2A2C642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938</w:t>
            </w:r>
          </w:p>
        </w:tc>
        <w:tc>
          <w:tcPr>
            <w:tcW w:w="706" w:type="dxa"/>
          </w:tcPr>
          <w:p w14:paraId="040B4FF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56.7</w:t>
            </w:r>
          </w:p>
        </w:tc>
        <w:tc>
          <w:tcPr>
            <w:tcW w:w="720" w:type="dxa"/>
          </w:tcPr>
          <w:p w14:paraId="41076CC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98.8</w:t>
            </w:r>
          </w:p>
        </w:tc>
        <w:tc>
          <w:tcPr>
            <w:tcW w:w="720" w:type="dxa"/>
          </w:tcPr>
          <w:p w14:paraId="54E4008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93.8</w:t>
            </w:r>
          </w:p>
        </w:tc>
        <w:tc>
          <w:tcPr>
            <w:tcW w:w="718" w:type="dxa"/>
          </w:tcPr>
          <w:p w14:paraId="49F521C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88.3</w:t>
            </w:r>
          </w:p>
        </w:tc>
        <w:tc>
          <w:tcPr>
            <w:tcW w:w="718" w:type="dxa"/>
          </w:tcPr>
          <w:p w14:paraId="5C1D5D8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0.67</w:t>
            </w:r>
          </w:p>
        </w:tc>
      </w:tr>
      <w:tr w:rsidR="00D93BA3" w:rsidRPr="00DA5D44" w14:paraId="4919EA24" w14:textId="77777777" w:rsidTr="00807F26">
        <w:tc>
          <w:tcPr>
            <w:tcW w:w="828" w:type="dxa"/>
            <w:vMerge/>
          </w:tcPr>
          <w:p w14:paraId="45D316E4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4E21FCA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GO:0048519</w:t>
            </w:r>
          </w:p>
        </w:tc>
        <w:tc>
          <w:tcPr>
            <w:tcW w:w="2056" w:type="dxa"/>
          </w:tcPr>
          <w:p w14:paraId="08E7362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negative regulation of biological process</w:t>
            </w:r>
          </w:p>
        </w:tc>
        <w:tc>
          <w:tcPr>
            <w:tcW w:w="733" w:type="dxa"/>
          </w:tcPr>
          <w:p w14:paraId="2914CCE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53299</w:t>
            </w:r>
          </w:p>
        </w:tc>
        <w:tc>
          <w:tcPr>
            <w:tcW w:w="706" w:type="dxa"/>
          </w:tcPr>
          <w:p w14:paraId="1E04D0B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51.4</w:t>
            </w:r>
          </w:p>
        </w:tc>
        <w:tc>
          <w:tcPr>
            <w:tcW w:w="720" w:type="dxa"/>
          </w:tcPr>
          <w:p w14:paraId="39C7FBC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92.9</w:t>
            </w:r>
          </w:p>
        </w:tc>
        <w:tc>
          <w:tcPr>
            <w:tcW w:w="720" w:type="dxa"/>
          </w:tcPr>
          <w:p w14:paraId="481318C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70.2</w:t>
            </w:r>
          </w:p>
        </w:tc>
        <w:tc>
          <w:tcPr>
            <w:tcW w:w="718" w:type="dxa"/>
          </w:tcPr>
          <w:p w14:paraId="1FAB2E9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82.8</w:t>
            </w:r>
          </w:p>
        </w:tc>
        <w:tc>
          <w:tcPr>
            <w:tcW w:w="718" w:type="dxa"/>
          </w:tcPr>
          <w:p w14:paraId="0527209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</w:tr>
      <w:tr w:rsidR="00D93BA3" w:rsidRPr="00DA5D44" w14:paraId="058EC12D" w14:textId="77777777" w:rsidTr="00807F26">
        <w:tc>
          <w:tcPr>
            <w:tcW w:w="828" w:type="dxa"/>
            <w:vMerge/>
          </w:tcPr>
          <w:p w14:paraId="0238442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439AE37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GO:0051704</w:t>
            </w:r>
          </w:p>
        </w:tc>
        <w:tc>
          <w:tcPr>
            <w:tcW w:w="2056" w:type="dxa"/>
          </w:tcPr>
          <w:p w14:paraId="2815CDB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multi-organism process</w:t>
            </w:r>
          </w:p>
        </w:tc>
        <w:tc>
          <w:tcPr>
            <w:tcW w:w="733" w:type="dxa"/>
          </w:tcPr>
          <w:p w14:paraId="6780A7E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5508</w:t>
            </w:r>
          </w:p>
        </w:tc>
        <w:tc>
          <w:tcPr>
            <w:tcW w:w="706" w:type="dxa"/>
          </w:tcPr>
          <w:p w14:paraId="4DB680B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59.1</w:t>
            </w:r>
          </w:p>
        </w:tc>
        <w:tc>
          <w:tcPr>
            <w:tcW w:w="720" w:type="dxa"/>
          </w:tcPr>
          <w:p w14:paraId="6D74DBF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97.6</w:t>
            </w:r>
          </w:p>
        </w:tc>
        <w:tc>
          <w:tcPr>
            <w:tcW w:w="720" w:type="dxa"/>
          </w:tcPr>
          <w:p w14:paraId="3727C41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88.9</w:t>
            </w:r>
          </w:p>
        </w:tc>
        <w:tc>
          <w:tcPr>
            <w:tcW w:w="718" w:type="dxa"/>
          </w:tcPr>
          <w:p w14:paraId="0B9A57BD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88.2</w:t>
            </w:r>
          </w:p>
        </w:tc>
        <w:tc>
          <w:tcPr>
            <w:tcW w:w="718" w:type="dxa"/>
          </w:tcPr>
          <w:p w14:paraId="3B2495A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0.66</w:t>
            </w:r>
          </w:p>
        </w:tc>
      </w:tr>
      <w:tr w:rsidR="00D93BA3" w:rsidRPr="00DA5D44" w14:paraId="7593ACDD" w14:textId="77777777" w:rsidTr="00807F26">
        <w:tc>
          <w:tcPr>
            <w:tcW w:w="828" w:type="dxa"/>
            <w:vMerge/>
          </w:tcPr>
          <w:p w14:paraId="50959F1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1704CA43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GO:0022414</w:t>
            </w:r>
          </w:p>
        </w:tc>
        <w:tc>
          <w:tcPr>
            <w:tcW w:w="2056" w:type="dxa"/>
          </w:tcPr>
          <w:p w14:paraId="2DD039D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reproductive process</w:t>
            </w:r>
          </w:p>
        </w:tc>
        <w:tc>
          <w:tcPr>
            <w:tcW w:w="733" w:type="dxa"/>
          </w:tcPr>
          <w:p w14:paraId="2846D9B9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14011</w:t>
            </w:r>
          </w:p>
        </w:tc>
        <w:tc>
          <w:tcPr>
            <w:tcW w:w="706" w:type="dxa"/>
          </w:tcPr>
          <w:p w14:paraId="411B5D08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720" w:type="dxa"/>
          </w:tcPr>
          <w:p w14:paraId="51CCD90B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97.5</w:t>
            </w:r>
          </w:p>
        </w:tc>
        <w:tc>
          <w:tcPr>
            <w:tcW w:w="720" w:type="dxa"/>
          </w:tcPr>
          <w:p w14:paraId="3AAF4C5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85.0</w:t>
            </w:r>
          </w:p>
        </w:tc>
        <w:tc>
          <w:tcPr>
            <w:tcW w:w="718" w:type="dxa"/>
          </w:tcPr>
          <w:p w14:paraId="7211960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84.0</w:t>
            </w:r>
          </w:p>
        </w:tc>
        <w:tc>
          <w:tcPr>
            <w:tcW w:w="718" w:type="dxa"/>
          </w:tcPr>
          <w:p w14:paraId="27B56941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</w:p>
        </w:tc>
      </w:tr>
      <w:tr w:rsidR="00D93BA3" w:rsidRPr="00DA5D44" w14:paraId="61BE4701" w14:textId="77777777" w:rsidTr="00807F26">
        <w:tc>
          <w:tcPr>
            <w:tcW w:w="828" w:type="dxa"/>
            <w:vMerge/>
          </w:tcPr>
          <w:p w14:paraId="3D5B9AB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7E4B1ED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GO:0040007</w:t>
            </w:r>
          </w:p>
        </w:tc>
        <w:tc>
          <w:tcPr>
            <w:tcW w:w="2056" w:type="dxa"/>
          </w:tcPr>
          <w:p w14:paraId="22EB1F6F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growth</w:t>
            </w:r>
          </w:p>
        </w:tc>
        <w:tc>
          <w:tcPr>
            <w:tcW w:w="733" w:type="dxa"/>
          </w:tcPr>
          <w:p w14:paraId="3121AC9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4586</w:t>
            </w:r>
          </w:p>
        </w:tc>
        <w:tc>
          <w:tcPr>
            <w:tcW w:w="706" w:type="dxa"/>
          </w:tcPr>
          <w:p w14:paraId="73E6A00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60.6</w:t>
            </w:r>
          </w:p>
        </w:tc>
        <w:tc>
          <w:tcPr>
            <w:tcW w:w="720" w:type="dxa"/>
          </w:tcPr>
          <w:p w14:paraId="719511F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99.0</w:t>
            </w:r>
          </w:p>
        </w:tc>
        <w:tc>
          <w:tcPr>
            <w:tcW w:w="720" w:type="dxa"/>
          </w:tcPr>
          <w:p w14:paraId="7EDF153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95.3</w:t>
            </w:r>
          </w:p>
        </w:tc>
        <w:tc>
          <w:tcPr>
            <w:tcW w:w="718" w:type="dxa"/>
          </w:tcPr>
          <w:p w14:paraId="4F3D826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89.6</w:t>
            </w:r>
          </w:p>
        </w:tc>
        <w:tc>
          <w:tcPr>
            <w:tcW w:w="718" w:type="dxa"/>
          </w:tcPr>
          <w:p w14:paraId="05C13FE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</w:tr>
      <w:tr w:rsidR="00D93BA3" w:rsidRPr="00DA5D44" w14:paraId="110EE6C6" w14:textId="77777777" w:rsidTr="00807F26">
        <w:tc>
          <w:tcPr>
            <w:tcW w:w="828" w:type="dxa"/>
            <w:vMerge/>
          </w:tcPr>
          <w:p w14:paraId="5BB6DE6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117E3A75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GO:0002376</w:t>
            </w:r>
          </w:p>
        </w:tc>
        <w:tc>
          <w:tcPr>
            <w:tcW w:w="2056" w:type="dxa"/>
          </w:tcPr>
          <w:p w14:paraId="329560B6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immune system process</w:t>
            </w:r>
          </w:p>
        </w:tc>
        <w:tc>
          <w:tcPr>
            <w:tcW w:w="733" w:type="dxa"/>
          </w:tcPr>
          <w:p w14:paraId="27AC0787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17317</w:t>
            </w:r>
          </w:p>
        </w:tc>
        <w:tc>
          <w:tcPr>
            <w:tcW w:w="706" w:type="dxa"/>
          </w:tcPr>
          <w:p w14:paraId="0DA97E9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53.2</w:t>
            </w:r>
          </w:p>
        </w:tc>
        <w:tc>
          <w:tcPr>
            <w:tcW w:w="720" w:type="dxa"/>
          </w:tcPr>
          <w:p w14:paraId="3A6B2C32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97.2</w:t>
            </w:r>
          </w:p>
        </w:tc>
        <w:tc>
          <w:tcPr>
            <w:tcW w:w="720" w:type="dxa"/>
          </w:tcPr>
          <w:p w14:paraId="3C8B47DE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86.2</w:t>
            </w:r>
          </w:p>
        </w:tc>
        <w:tc>
          <w:tcPr>
            <w:tcW w:w="718" w:type="dxa"/>
          </w:tcPr>
          <w:p w14:paraId="4650D0FC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86.4</w:t>
            </w:r>
          </w:p>
        </w:tc>
        <w:tc>
          <w:tcPr>
            <w:tcW w:w="718" w:type="dxa"/>
          </w:tcPr>
          <w:p w14:paraId="256E3C60" w14:textId="77777777" w:rsidR="00D93BA3" w:rsidRPr="00DA5D44" w:rsidRDefault="00D93BA3" w:rsidP="00807F26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D44">
              <w:rPr>
                <w:rFonts w:ascii="Times New Roman" w:hAnsi="Times New Roman" w:cs="Times New Roman"/>
                <w:sz w:val="16"/>
                <w:szCs w:val="16"/>
              </w:rPr>
              <w:t>0.60</w:t>
            </w:r>
          </w:p>
        </w:tc>
      </w:tr>
    </w:tbl>
    <w:p w14:paraId="7A38AA40" w14:textId="0C8A32AD" w:rsidR="00606B52" w:rsidRPr="00E8645A" w:rsidRDefault="00742B21" w:rsidP="00F40941">
      <w:pPr>
        <w:adjustRightInd w:val="0"/>
        <w:snapToGrid w:val="0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8302B">
        <w:rPr>
          <w:rFonts w:ascii="Times New Roman" w:hAnsi="Times New Roman" w:cs="Times New Roman"/>
          <w:sz w:val="24"/>
          <w:szCs w:val="24"/>
        </w:rPr>
        <w:t xml:space="preserve">For the </w:t>
      </w:r>
      <w:r w:rsidR="006B35F5" w:rsidRPr="00D8302B">
        <w:rPr>
          <w:rFonts w:ascii="Times New Roman" w:hAnsi="Times New Roman" w:cs="Times New Roman"/>
          <w:sz w:val="24"/>
          <w:szCs w:val="24"/>
        </w:rPr>
        <w:t>CC</w:t>
      </w:r>
      <w:r w:rsidR="00EB7F02">
        <w:rPr>
          <w:rFonts w:ascii="Times New Roman" w:hAnsi="Times New Roman" w:cs="Times New Roman"/>
          <w:sz w:val="24"/>
          <w:szCs w:val="24"/>
        </w:rPr>
        <w:t xml:space="preserve"> </w:t>
      </w:r>
      <w:r w:rsidRPr="00D8302B">
        <w:rPr>
          <w:rFonts w:ascii="Times New Roman" w:hAnsi="Times New Roman" w:cs="Times New Roman"/>
          <w:sz w:val="24"/>
          <w:szCs w:val="24"/>
        </w:rPr>
        <w:t xml:space="preserve">domain, seven GO </w:t>
      </w:r>
      <w:r w:rsidR="006B35F5">
        <w:rPr>
          <w:rFonts w:ascii="Times New Roman" w:hAnsi="Times New Roman" w:cs="Times New Roman"/>
          <w:sz w:val="24"/>
          <w:szCs w:val="24"/>
        </w:rPr>
        <w:t>families</w:t>
      </w:r>
      <w:r w:rsidRPr="00D8302B">
        <w:rPr>
          <w:rFonts w:ascii="Times New Roman" w:hAnsi="Times New Roman" w:cs="Times New Roman"/>
          <w:sz w:val="24"/>
          <w:szCs w:val="24"/>
        </w:rPr>
        <w:t xml:space="preserve"> </w:t>
      </w:r>
      <w:r w:rsidR="00540809">
        <w:rPr>
          <w:rFonts w:ascii="Times New Roman" w:hAnsi="Times New Roman" w:cs="Times New Roman"/>
          <w:sz w:val="24"/>
          <w:szCs w:val="24"/>
        </w:rPr>
        <w:t xml:space="preserve">were considered </w:t>
      </w:r>
      <w:r w:rsidR="00BB6294" w:rsidRPr="00D8302B">
        <w:rPr>
          <w:rFonts w:ascii="Times New Roman" w:hAnsi="Times New Roman" w:cs="Times New Roman"/>
          <w:sz w:val="24"/>
          <w:szCs w:val="24"/>
        </w:rPr>
        <w:t xml:space="preserve">as </w:t>
      </w:r>
      <w:r w:rsidRPr="00D8302B">
        <w:rPr>
          <w:rFonts w:ascii="Times New Roman" w:hAnsi="Times New Roman" w:cs="Times New Roman"/>
          <w:sz w:val="24"/>
          <w:szCs w:val="24"/>
        </w:rPr>
        <w:t>listed in Table 1.</w:t>
      </w:r>
      <w:r w:rsidR="00BB6294" w:rsidRPr="00D8302B">
        <w:rPr>
          <w:rFonts w:ascii="Times New Roman" w:hAnsi="Times New Roman" w:cs="Times New Roman"/>
          <w:sz w:val="24"/>
          <w:szCs w:val="24"/>
        </w:rPr>
        <w:t xml:space="preserve"> </w:t>
      </w:r>
      <w:r w:rsidR="005C783D">
        <w:rPr>
          <w:rFonts w:ascii="Times New Roman" w:hAnsi="Times New Roman" w:cs="Times New Roman" w:hint="eastAsia"/>
          <w:sz w:val="24"/>
          <w:szCs w:val="24"/>
        </w:rPr>
        <w:t>Since</w:t>
      </w:r>
      <w:r w:rsidR="005C783D">
        <w:rPr>
          <w:rFonts w:ascii="Times New Roman" w:hAnsi="Times New Roman" w:cs="Times New Roman"/>
          <w:sz w:val="24"/>
          <w:szCs w:val="24"/>
        </w:rPr>
        <w:t xml:space="preserve"> </w:t>
      </w:r>
      <w:r w:rsidR="00EE28B5" w:rsidRPr="00D8302B">
        <w:rPr>
          <w:rFonts w:ascii="Times New Roman" w:hAnsi="Times New Roman" w:cs="Times New Roman"/>
          <w:sz w:val="24"/>
          <w:szCs w:val="24"/>
        </w:rPr>
        <w:t xml:space="preserve">our aim is to </w:t>
      </w:r>
      <w:r w:rsidR="002D4AE7">
        <w:rPr>
          <w:rFonts w:ascii="Times New Roman" w:hAnsi="Times New Roman" w:cs="Times New Roman"/>
          <w:sz w:val="24"/>
          <w:szCs w:val="24"/>
        </w:rPr>
        <w:t>establish</w:t>
      </w:r>
      <w:r w:rsidR="00540809">
        <w:rPr>
          <w:rFonts w:ascii="Times New Roman" w:hAnsi="Times New Roman" w:cs="Times New Roman"/>
          <w:sz w:val="24"/>
          <w:szCs w:val="24"/>
        </w:rPr>
        <w:t xml:space="preserve"> a prediction model to </w:t>
      </w:r>
      <w:r w:rsidR="001D6231">
        <w:rPr>
          <w:rFonts w:ascii="Times New Roman" w:hAnsi="Times New Roman" w:cs="Times New Roman"/>
          <w:sz w:val="24"/>
          <w:szCs w:val="24"/>
        </w:rPr>
        <w:t xml:space="preserve">annotate </w:t>
      </w:r>
      <w:r w:rsidR="00EE28B5" w:rsidRPr="00D8302B">
        <w:rPr>
          <w:rFonts w:ascii="Times New Roman" w:hAnsi="Times New Roman" w:cs="Times New Roman"/>
          <w:sz w:val="24"/>
          <w:szCs w:val="24"/>
        </w:rPr>
        <w:t>protein sequence</w:t>
      </w:r>
      <w:r w:rsidR="001D6231">
        <w:rPr>
          <w:rFonts w:ascii="Times New Roman" w:hAnsi="Times New Roman" w:cs="Times New Roman"/>
          <w:sz w:val="24"/>
          <w:szCs w:val="24"/>
        </w:rPr>
        <w:t xml:space="preserve"> with certain function</w:t>
      </w:r>
      <w:r w:rsidR="00EE28B5" w:rsidRPr="00D8302B">
        <w:rPr>
          <w:rFonts w:ascii="Times New Roman" w:hAnsi="Times New Roman" w:cs="Times New Roman"/>
          <w:sz w:val="24"/>
          <w:szCs w:val="24"/>
        </w:rPr>
        <w:t xml:space="preserve"> from </w:t>
      </w:r>
      <w:r w:rsidR="00160FB1">
        <w:rPr>
          <w:rFonts w:ascii="Times New Roman" w:hAnsi="Times New Roman" w:cs="Times New Roman"/>
          <w:sz w:val="24"/>
          <w:szCs w:val="24"/>
        </w:rPr>
        <w:t>non-</w:t>
      </w:r>
      <w:r w:rsidR="00160FB1" w:rsidRPr="00307488">
        <w:rPr>
          <w:rFonts w:ascii="Times New Roman" w:hAnsi="Times New Roman" w:cs="Times New Roman"/>
          <w:sz w:val="24"/>
          <w:szCs w:val="24"/>
        </w:rPr>
        <w:t>annotated</w:t>
      </w:r>
      <w:r w:rsidR="00EE28B5" w:rsidRPr="00D8302B">
        <w:rPr>
          <w:rFonts w:ascii="Times New Roman" w:hAnsi="Times New Roman" w:cs="Times New Roman"/>
          <w:sz w:val="24"/>
          <w:szCs w:val="24"/>
        </w:rPr>
        <w:t xml:space="preserve"> data set</w:t>
      </w:r>
      <w:r w:rsidR="005C783D">
        <w:rPr>
          <w:rFonts w:ascii="Times New Roman" w:hAnsi="Times New Roman" w:cs="Times New Roman"/>
          <w:sz w:val="24"/>
          <w:szCs w:val="24"/>
        </w:rPr>
        <w:t xml:space="preserve"> correctly</w:t>
      </w:r>
      <w:r w:rsidR="00EE28B5" w:rsidRPr="00D8302B">
        <w:rPr>
          <w:rFonts w:ascii="Times New Roman" w:hAnsi="Times New Roman" w:cs="Times New Roman"/>
          <w:sz w:val="24"/>
          <w:szCs w:val="24"/>
        </w:rPr>
        <w:t xml:space="preserve"> for further study</w:t>
      </w:r>
      <w:r w:rsidR="001D6231">
        <w:rPr>
          <w:rFonts w:ascii="Times New Roman" w:hAnsi="Times New Roman" w:cs="Times New Roman"/>
          <w:sz w:val="24"/>
          <w:szCs w:val="24"/>
        </w:rPr>
        <w:t xml:space="preserve">, </w:t>
      </w:r>
      <w:r w:rsidR="00F42DBD">
        <w:rPr>
          <w:rFonts w:ascii="Times New Roman" w:hAnsi="Times New Roman" w:cs="Times New Roman" w:hint="eastAsia"/>
          <w:sz w:val="24"/>
          <w:szCs w:val="24"/>
        </w:rPr>
        <w:t>t</w:t>
      </w:r>
      <w:r w:rsidR="00EE28B5" w:rsidRPr="00D8302B">
        <w:rPr>
          <w:rFonts w:ascii="Times New Roman" w:hAnsi="Times New Roman" w:cs="Times New Roman"/>
          <w:sz w:val="24"/>
          <w:szCs w:val="24"/>
        </w:rPr>
        <w:t xml:space="preserve">he most important measurement is </w:t>
      </w:r>
      <w:r w:rsidR="00540809">
        <w:rPr>
          <w:rFonts w:ascii="Times New Roman" w:hAnsi="Times New Roman" w:cs="Times New Roman"/>
          <w:sz w:val="24"/>
          <w:szCs w:val="24"/>
        </w:rPr>
        <w:t xml:space="preserve">the </w:t>
      </w:r>
      <w:r w:rsidR="00EE28B5" w:rsidRPr="00D8302B">
        <w:rPr>
          <w:rFonts w:ascii="Times New Roman" w:hAnsi="Times New Roman" w:cs="Times New Roman"/>
          <w:sz w:val="24"/>
          <w:szCs w:val="24"/>
        </w:rPr>
        <w:t>SP, which evaluate</w:t>
      </w:r>
      <w:r w:rsidR="00724561" w:rsidRPr="00D8302B">
        <w:rPr>
          <w:rFonts w:ascii="Times New Roman" w:hAnsi="Times New Roman" w:cs="Times New Roman"/>
          <w:sz w:val="24"/>
          <w:szCs w:val="24"/>
        </w:rPr>
        <w:t>s</w:t>
      </w:r>
      <w:r w:rsidR="00EE28B5" w:rsidRPr="00D8302B">
        <w:rPr>
          <w:rFonts w:ascii="Times New Roman" w:hAnsi="Times New Roman" w:cs="Times New Roman"/>
          <w:sz w:val="24"/>
          <w:szCs w:val="24"/>
        </w:rPr>
        <w:t xml:space="preserve"> the </w:t>
      </w:r>
      <w:r w:rsidR="00724561" w:rsidRPr="00D8302B">
        <w:rPr>
          <w:rFonts w:ascii="Times New Roman" w:hAnsi="Times New Roman" w:cs="Times New Roman"/>
          <w:sz w:val="24"/>
          <w:szCs w:val="24"/>
        </w:rPr>
        <w:t xml:space="preserve">method’s </w:t>
      </w:r>
      <w:r w:rsidR="00540809" w:rsidRPr="00D8302B">
        <w:rPr>
          <w:rFonts w:ascii="Times New Roman" w:hAnsi="Times New Roman" w:cs="Times New Roman"/>
          <w:sz w:val="24"/>
          <w:szCs w:val="24"/>
        </w:rPr>
        <w:t>false positive control rate</w:t>
      </w:r>
      <w:r w:rsidR="00724561" w:rsidRPr="00D8302B">
        <w:rPr>
          <w:rFonts w:ascii="Times New Roman" w:hAnsi="Times New Roman" w:cs="Times New Roman"/>
          <w:sz w:val="24"/>
          <w:szCs w:val="24"/>
        </w:rPr>
        <w:t xml:space="preserve">. For the GO </w:t>
      </w:r>
      <w:r w:rsidR="00F42DBD">
        <w:rPr>
          <w:rFonts w:ascii="Times New Roman" w:hAnsi="Times New Roman" w:cs="Times New Roman"/>
          <w:sz w:val="24"/>
          <w:szCs w:val="24"/>
        </w:rPr>
        <w:t>families</w:t>
      </w:r>
      <w:r w:rsidR="00724561" w:rsidRPr="00D8302B">
        <w:rPr>
          <w:rFonts w:ascii="Times New Roman" w:hAnsi="Times New Roman" w:cs="Times New Roman"/>
          <w:sz w:val="24"/>
          <w:szCs w:val="24"/>
        </w:rPr>
        <w:t xml:space="preserve"> considered here in CC domain, </w:t>
      </w:r>
      <w:r w:rsidR="00F42DBD">
        <w:rPr>
          <w:rFonts w:ascii="Times New Roman" w:hAnsi="Times New Roman" w:cs="Times New Roman"/>
          <w:sz w:val="24"/>
          <w:szCs w:val="24"/>
        </w:rPr>
        <w:t xml:space="preserve">SP </w:t>
      </w:r>
      <w:r w:rsidR="00724561" w:rsidRPr="00D8302B">
        <w:rPr>
          <w:rFonts w:ascii="Times New Roman" w:hAnsi="Times New Roman" w:cs="Times New Roman"/>
          <w:sz w:val="24"/>
          <w:szCs w:val="24"/>
        </w:rPr>
        <w:t xml:space="preserve">values </w:t>
      </w:r>
      <w:r w:rsidR="00F42DBD">
        <w:rPr>
          <w:rFonts w:ascii="Times New Roman" w:hAnsi="Times New Roman" w:cs="Times New Roman"/>
          <w:sz w:val="24"/>
          <w:szCs w:val="24"/>
        </w:rPr>
        <w:t>are</w:t>
      </w:r>
      <w:r w:rsidR="00750A8D">
        <w:rPr>
          <w:rFonts w:ascii="Times New Roman" w:hAnsi="Times New Roman" w:cs="Times New Roman"/>
          <w:sz w:val="24"/>
          <w:szCs w:val="24"/>
        </w:rPr>
        <w:t xml:space="preserve"> almost</w:t>
      </w:r>
      <w:r w:rsidR="00724561" w:rsidRPr="00D8302B">
        <w:rPr>
          <w:rFonts w:ascii="Times New Roman" w:hAnsi="Times New Roman" w:cs="Times New Roman"/>
          <w:sz w:val="24"/>
          <w:szCs w:val="24"/>
        </w:rPr>
        <w:t xml:space="preserve"> larger than 95%</w:t>
      </w:r>
      <w:r w:rsidR="008B517E" w:rsidRPr="00D8302B">
        <w:rPr>
          <w:rFonts w:ascii="Times New Roman" w:hAnsi="Times New Roman" w:cs="Times New Roman"/>
          <w:sz w:val="24"/>
          <w:szCs w:val="24"/>
        </w:rPr>
        <w:t xml:space="preserve">. </w:t>
      </w:r>
      <w:r w:rsidR="008B517E" w:rsidRPr="00D8302B">
        <w:rPr>
          <w:rFonts w:ascii="Times New Roman" w:hAnsi="Times New Roman" w:cs="Times New Roman"/>
          <w:sz w:val="24"/>
          <w:szCs w:val="24"/>
        </w:rPr>
        <w:lastRenderedPageBreak/>
        <w:t>Some of them are even larger than 99%</w:t>
      </w:r>
      <w:r w:rsidR="00750A8D">
        <w:rPr>
          <w:rFonts w:ascii="Times New Roman" w:hAnsi="Times New Roman" w:cs="Times New Roman" w:hint="eastAsia"/>
          <w:sz w:val="24"/>
          <w:szCs w:val="24"/>
        </w:rPr>
        <w:t>,</w:t>
      </w:r>
      <w:r w:rsidR="00750A8D">
        <w:rPr>
          <w:rFonts w:ascii="Times New Roman" w:hAnsi="Times New Roman" w:cs="Times New Roman"/>
          <w:sz w:val="24"/>
          <w:szCs w:val="24"/>
        </w:rPr>
        <w:t xml:space="preserve"> such as</w:t>
      </w:r>
      <w:r w:rsidR="00750A8D" w:rsidRPr="00750A8D">
        <w:t xml:space="preserve"> </w:t>
      </w:r>
      <w:r w:rsidR="00591C8D" w:rsidRPr="00750A8D">
        <w:rPr>
          <w:rFonts w:ascii="Times New Roman" w:hAnsi="Times New Roman" w:cs="Times New Roman"/>
          <w:sz w:val="24"/>
          <w:szCs w:val="24"/>
        </w:rPr>
        <w:t>GO</w:t>
      </w:r>
      <w:r w:rsidR="0005672B">
        <w:rPr>
          <w:rFonts w:ascii="Times New Roman" w:hAnsi="Times New Roman" w:cs="Times New Roman"/>
          <w:sz w:val="24"/>
          <w:szCs w:val="24"/>
        </w:rPr>
        <w:t>:</w:t>
      </w:r>
      <w:r w:rsidR="00750A8D" w:rsidRPr="00750A8D">
        <w:rPr>
          <w:rFonts w:ascii="Times New Roman" w:hAnsi="Times New Roman" w:cs="Times New Roman"/>
          <w:sz w:val="24"/>
          <w:szCs w:val="24"/>
        </w:rPr>
        <w:t>0055044</w:t>
      </w:r>
      <w:r w:rsidR="00750A8D">
        <w:rPr>
          <w:rFonts w:ascii="Times New Roman" w:hAnsi="Times New Roman" w:cs="Times New Roman"/>
          <w:sz w:val="24"/>
          <w:szCs w:val="24"/>
        </w:rPr>
        <w:t xml:space="preserve"> and </w:t>
      </w:r>
      <w:r w:rsidR="0005672B">
        <w:rPr>
          <w:rFonts w:ascii="Times New Roman" w:hAnsi="Times New Roman" w:cs="Times New Roman"/>
          <w:sz w:val="24"/>
          <w:szCs w:val="24"/>
        </w:rPr>
        <w:t>GO:</w:t>
      </w:r>
      <w:r w:rsidR="00750A8D" w:rsidRPr="00750A8D">
        <w:rPr>
          <w:rFonts w:ascii="Times New Roman" w:hAnsi="Times New Roman" w:cs="Times New Roman"/>
          <w:sz w:val="24"/>
          <w:szCs w:val="24"/>
        </w:rPr>
        <w:t>0009295</w:t>
      </w:r>
      <w:r w:rsidR="00361567">
        <w:rPr>
          <w:rFonts w:ascii="Times New Roman" w:hAnsi="Times New Roman" w:cs="Times New Roman"/>
          <w:sz w:val="24"/>
          <w:szCs w:val="24"/>
        </w:rPr>
        <w:t>.</w:t>
      </w:r>
      <w:r w:rsidR="00591C8D">
        <w:rPr>
          <w:rFonts w:ascii="Times New Roman" w:hAnsi="Times New Roman" w:cs="Times New Roman"/>
          <w:sz w:val="24"/>
          <w:szCs w:val="24"/>
        </w:rPr>
        <w:t xml:space="preserve"> </w:t>
      </w:r>
      <w:r w:rsidR="008B517E" w:rsidRPr="00D8302B">
        <w:rPr>
          <w:rFonts w:ascii="Times New Roman" w:hAnsi="Times New Roman" w:cs="Times New Roman"/>
          <w:sz w:val="24"/>
          <w:szCs w:val="24"/>
        </w:rPr>
        <w:t xml:space="preserve">It means the </w:t>
      </w:r>
      <w:r w:rsidR="002D4AE7">
        <w:rPr>
          <w:rFonts w:ascii="Times New Roman" w:hAnsi="Times New Roman" w:cs="Times New Roman"/>
          <w:sz w:val="24"/>
          <w:szCs w:val="24"/>
        </w:rPr>
        <w:t>established</w:t>
      </w:r>
      <w:r w:rsidR="008B517E" w:rsidRPr="00D8302B">
        <w:rPr>
          <w:rFonts w:ascii="Times New Roman" w:hAnsi="Times New Roman" w:cs="Times New Roman"/>
          <w:sz w:val="24"/>
          <w:szCs w:val="24"/>
        </w:rPr>
        <w:t xml:space="preserve"> model can correctly </w:t>
      </w:r>
      <w:r w:rsidR="00FA102B" w:rsidRPr="00D8302B">
        <w:rPr>
          <w:rFonts w:ascii="Times New Roman" w:hAnsi="Times New Roman" w:cs="Times New Roman"/>
          <w:sz w:val="24"/>
          <w:szCs w:val="24"/>
        </w:rPr>
        <w:t xml:space="preserve">recognize the </w:t>
      </w:r>
      <w:r w:rsidR="008B517E" w:rsidRPr="00D8302B">
        <w:rPr>
          <w:rFonts w:ascii="Times New Roman" w:hAnsi="Times New Roman" w:cs="Times New Roman"/>
          <w:sz w:val="24"/>
          <w:szCs w:val="24"/>
        </w:rPr>
        <w:t xml:space="preserve">protein sequences </w:t>
      </w:r>
      <w:r w:rsidR="00FA102B" w:rsidRPr="00D8302B">
        <w:rPr>
          <w:rFonts w:ascii="Times New Roman" w:hAnsi="Times New Roman" w:cs="Times New Roman"/>
          <w:sz w:val="24"/>
          <w:szCs w:val="24"/>
        </w:rPr>
        <w:t xml:space="preserve">in negative data set to ensure the correctness of final suggested sequences. </w:t>
      </w:r>
      <w:r w:rsidR="00782759" w:rsidRPr="00D8302B">
        <w:rPr>
          <w:rFonts w:ascii="Times New Roman" w:hAnsi="Times New Roman" w:cs="Times New Roman"/>
          <w:sz w:val="24"/>
          <w:szCs w:val="24"/>
        </w:rPr>
        <w:t>The SE accesses the rat</w:t>
      </w:r>
      <w:r w:rsidR="001D6231">
        <w:rPr>
          <w:rFonts w:ascii="Times New Roman" w:hAnsi="Times New Roman" w:cs="Times New Roman"/>
          <w:sz w:val="24"/>
          <w:szCs w:val="24"/>
        </w:rPr>
        <w:t>e</w:t>
      </w:r>
      <w:r w:rsidR="00782759" w:rsidRPr="00D8302B">
        <w:rPr>
          <w:rFonts w:ascii="Times New Roman" w:hAnsi="Times New Roman" w:cs="Times New Roman"/>
          <w:sz w:val="24"/>
          <w:szCs w:val="24"/>
        </w:rPr>
        <w:t xml:space="preserve"> of recognized sequences from all sequence</w:t>
      </w:r>
      <w:r w:rsidR="002D4AE7">
        <w:rPr>
          <w:rFonts w:ascii="Times New Roman" w:hAnsi="Times New Roman" w:cs="Times New Roman"/>
          <w:sz w:val="24"/>
          <w:szCs w:val="24"/>
        </w:rPr>
        <w:t>s</w:t>
      </w:r>
      <w:r w:rsidR="00782759" w:rsidRPr="00D8302B">
        <w:rPr>
          <w:rFonts w:ascii="Times New Roman" w:hAnsi="Times New Roman" w:cs="Times New Roman"/>
          <w:sz w:val="24"/>
          <w:szCs w:val="24"/>
        </w:rPr>
        <w:t xml:space="preserve"> in a GO number. The values </w:t>
      </w:r>
      <w:r w:rsidR="00676459" w:rsidRPr="00D8302B">
        <w:rPr>
          <w:rFonts w:ascii="Times New Roman" w:hAnsi="Times New Roman" w:cs="Times New Roman"/>
          <w:sz w:val="24"/>
          <w:szCs w:val="24"/>
        </w:rPr>
        <w:t>are</w:t>
      </w:r>
      <w:r w:rsidR="00782759" w:rsidRPr="00D8302B">
        <w:rPr>
          <w:rFonts w:ascii="Times New Roman" w:hAnsi="Times New Roman" w:cs="Times New Roman"/>
          <w:sz w:val="24"/>
          <w:szCs w:val="24"/>
        </w:rPr>
        <w:t xml:space="preserve"> in a range from 68 to 94%</w:t>
      </w:r>
      <w:r w:rsidR="00F63C17">
        <w:rPr>
          <w:rFonts w:ascii="Times New Roman" w:hAnsi="Times New Roman" w:cs="Times New Roman"/>
          <w:sz w:val="24"/>
          <w:szCs w:val="24"/>
        </w:rPr>
        <w:t>, which</w:t>
      </w:r>
      <w:r w:rsidR="00782759" w:rsidRPr="00D8302B">
        <w:rPr>
          <w:rFonts w:ascii="Times New Roman" w:hAnsi="Times New Roman" w:cs="Times New Roman"/>
          <w:sz w:val="24"/>
          <w:szCs w:val="24"/>
        </w:rPr>
        <w:t xml:space="preserve"> is obviously lower than SP.</w:t>
      </w:r>
      <w:r w:rsidR="00F37E7C" w:rsidRPr="00D8302B">
        <w:rPr>
          <w:rFonts w:ascii="Times New Roman" w:hAnsi="Times New Roman" w:cs="Times New Roman"/>
          <w:sz w:val="24"/>
          <w:szCs w:val="24"/>
        </w:rPr>
        <w:t xml:space="preserve"> It means </w:t>
      </w:r>
      <w:r w:rsidR="006B750C">
        <w:rPr>
          <w:rFonts w:ascii="Times New Roman" w:hAnsi="Times New Roman" w:cs="Times New Roman" w:hint="eastAsia"/>
          <w:sz w:val="24"/>
          <w:szCs w:val="24"/>
        </w:rPr>
        <w:t>that</w:t>
      </w:r>
      <w:r w:rsidR="006B750C">
        <w:rPr>
          <w:rFonts w:ascii="Times New Roman" w:hAnsi="Times New Roman" w:cs="Times New Roman"/>
          <w:sz w:val="24"/>
          <w:szCs w:val="24"/>
        </w:rPr>
        <w:t xml:space="preserve"> </w:t>
      </w:r>
      <w:r w:rsidR="00F37E7C" w:rsidRPr="00D8302B">
        <w:rPr>
          <w:rFonts w:ascii="Times New Roman" w:hAnsi="Times New Roman" w:cs="Times New Roman"/>
          <w:sz w:val="24"/>
          <w:szCs w:val="24"/>
        </w:rPr>
        <w:t>some sequences will be missed by the train</w:t>
      </w:r>
      <w:r w:rsidR="006B750C">
        <w:rPr>
          <w:rFonts w:ascii="Times New Roman" w:hAnsi="Times New Roman" w:cs="Times New Roman"/>
          <w:sz w:val="24"/>
          <w:szCs w:val="24"/>
        </w:rPr>
        <w:t>ed</w:t>
      </w:r>
      <w:r w:rsidR="00F37E7C" w:rsidRPr="00D8302B">
        <w:rPr>
          <w:rFonts w:ascii="Times New Roman" w:hAnsi="Times New Roman" w:cs="Times New Roman"/>
          <w:sz w:val="24"/>
          <w:szCs w:val="24"/>
        </w:rPr>
        <w:t xml:space="preserve"> model</w:t>
      </w:r>
      <w:r w:rsidR="00462C1E" w:rsidRPr="00D8302B">
        <w:rPr>
          <w:rFonts w:ascii="Times New Roman" w:hAnsi="Times New Roman" w:cs="Times New Roman"/>
          <w:sz w:val="24"/>
          <w:szCs w:val="24"/>
        </w:rPr>
        <w:t xml:space="preserve">, which is the sacrifice for high SP. </w:t>
      </w:r>
      <w:r w:rsidR="00F126B7" w:rsidRPr="00D8302B">
        <w:rPr>
          <w:rFonts w:ascii="Times New Roman" w:hAnsi="Times New Roman" w:cs="Times New Roman"/>
          <w:sz w:val="24"/>
          <w:szCs w:val="24"/>
        </w:rPr>
        <w:t xml:space="preserve">The results also suggest high precision </w:t>
      </w:r>
      <w:r w:rsidR="006B750C">
        <w:rPr>
          <w:rFonts w:ascii="Times New Roman" w:hAnsi="Times New Roman" w:cs="Times New Roman"/>
          <w:sz w:val="24"/>
          <w:szCs w:val="24"/>
        </w:rPr>
        <w:t xml:space="preserve">(PR) </w:t>
      </w:r>
      <w:r w:rsidR="00F126B7" w:rsidRPr="00D8302B">
        <w:rPr>
          <w:rFonts w:ascii="Times New Roman" w:hAnsi="Times New Roman" w:cs="Times New Roman"/>
          <w:sz w:val="24"/>
          <w:szCs w:val="24"/>
        </w:rPr>
        <w:t>and accuracy</w:t>
      </w:r>
      <w:r w:rsidR="006B750C">
        <w:rPr>
          <w:rFonts w:ascii="Times New Roman" w:hAnsi="Times New Roman" w:cs="Times New Roman"/>
          <w:sz w:val="24"/>
          <w:szCs w:val="24"/>
        </w:rPr>
        <w:t xml:space="preserve"> (AC)</w:t>
      </w:r>
      <w:r w:rsidR="00F126B7" w:rsidRPr="00D8302B">
        <w:rPr>
          <w:rFonts w:ascii="Times New Roman" w:hAnsi="Times New Roman" w:cs="Times New Roman"/>
          <w:sz w:val="24"/>
          <w:szCs w:val="24"/>
        </w:rPr>
        <w:t>. The MCC</w:t>
      </w:r>
      <w:r w:rsidR="00F42DBD">
        <w:rPr>
          <w:rFonts w:ascii="Times New Roman" w:hAnsi="Times New Roman" w:cs="Times New Roman"/>
          <w:sz w:val="24"/>
          <w:szCs w:val="24"/>
        </w:rPr>
        <w:t xml:space="preserve"> vales</w:t>
      </w:r>
      <w:r w:rsidR="00F126B7" w:rsidRPr="00D8302B">
        <w:rPr>
          <w:rFonts w:ascii="Times New Roman" w:hAnsi="Times New Roman" w:cs="Times New Roman"/>
          <w:sz w:val="24"/>
          <w:szCs w:val="24"/>
        </w:rPr>
        <w:t xml:space="preserve"> are also large for all GO </w:t>
      </w:r>
      <w:r w:rsidR="00D13EDA">
        <w:rPr>
          <w:rFonts w:ascii="Times New Roman" w:hAnsi="Times New Roman" w:cs="Times New Roman" w:hint="eastAsia"/>
          <w:sz w:val="24"/>
          <w:szCs w:val="24"/>
        </w:rPr>
        <w:t>fam</w:t>
      </w:r>
      <w:r w:rsidR="00D13EDA">
        <w:rPr>
          <w:rFonts w:ascii="Times New Roman" w:hAnsi="Times New Roman" w:cs="Times New Roman"/>
          <w:sz w:val="24"/>
          <w:szCs w:val="24"/>
        </w:rPr>
        <w:t>ilies considered</w:t>
      </w:r>
      <w:r w:rsidR="00F126B7" w:rsidRPr="00D8302B">
        <w:rPr>
          <w:rFonts w:ascii="Times New Roman" w:hAnsi="Times New Roman" w:cs="Times New Roman"/>
          <w:sz w:val="24"/>
          <w:szCs w:val="24"/>
        </w:rPr>
        <w:t>, which reflects high correlation between a predictive value and the actual value.</w:t>
      </w:r>
      <w:r w:rsidR="00261511" w:rsidRPr="00261511">
        <w:t xml:space="preserve"> </w:t>
      </w:r>
      <w:r w:rsidR="00261511" w:rsidRPr="00261511">
        <w:rPr>
          <w:rFonts w:ascii="Times New Roman" w:hAnsi="Times New Roman" w:cs="Times New Roman"/>
          <w:sz w:val="24"/>
          <w:szCs w:val="24"/>
        </w:rPr>
        <w:t>The results for the GO families in the MF</w:t>
      </w:r>
      <w:r w:rsidR="00591C8D">
        <w:rPr>
          <w:rFonts w:ascii="Times New Roman" w:hAnsi="Times New Roman" w:cs="Times New Roman"/>
          <w:sz w:val="24"/>
          <w:szCs w:val="24"/>
        </w:rPr>
        <w:t xml:space="preserve"> </w:t>
      </w:r>
      <w:r w:rsidR="00261511" w:rsidRPr="00261511">
        <w:rPr>
          <w:rFonts w:ascii="Times New Roman" w:hAnsi="Times New Roman" w:cs="Times New Roman"/>
          <w:sz w:val="24"/>
          <w:szCs w:val="24"/>
        </w:rPr>
        <w:t xml:space="preserve">domain </w:t>
      </w:r>
      <w:r w:rsidR="00707832" w:rsidRPr="00261511">
        <w:rPr>
          <w:rFonts w:ascii="Times New Roman" w:hAnsi="Times New Roman" w:cs="Times New Roman"/>
          <w:sz w:val="24"/>
          <w:szCs w:val="24"/>
        </w:rPr>
        <w:t>are</w:t>
      </w:r>
      <w:r w:rsidR="00261511" w:rsidRPr="00261511">
        <w:rPr>
          <w:rFonts w:ascii="Times New Roman" w:hAnsi="Times New Roman" w:cs="Times New Roman"/>
          <w:sz w:val="24"/>
          <w:szCs w:val="24"/>
        </w:rPr>
        <w:t xml:space="preserve"> also present in Table 1. The SP values are still considerable large. Most of them are larger than 95%, especial</w:t>
      </w:r>
      <w:r w:rsidR="00261511">
        <w:rPr>
          <w:rFonts w:ascii="Times New Roman" w:hAnsi="Times New Roman" w:cs="Times New Roman"/>
          <w:sz w:val="24"/>
          <w:szCs w:val="24"/>
        </w:rPr>
        <w:t>ly up to 100% of DO</w:t>
      </w:r>
      <w:r w:rsidR="0005672B">
        <w:rPr>
          <w:rFonts w:ascii="Times New Roman" w:hAnsi="Times New Roman" w:cs="Times New Roman"/>
          <w:sz w:val="24"/>
          <w:szCs w:val="24"/>
        </w:rPr>
        <w:t>:</w:t>
      </w:r>
      <w:r w:rsidR="00261511">
        <w:rPr>
          <w:rFonts w:ascii="Times New Roman" w:hAnsi="Times New Roman" w:cs="Times New Roman"/>
          <w:sz w:val="24"/>
          <w:szCs w:val="24"/>
        </w:rPr>
        <w:t xml:space="preserve">0016530. </w:t>
      </w:r>
      <w:r w:rsidR="00261511" w:rsidRPr="00261511">
        <w:rPr>
          <w:rFonts w:ascii="Times New Roman" w:hAnsi="Times New Roman" w:cs="Times New Roman"/>
          <w:sz w:val="24"/>
          <w:szCs w:val="24"/>
        </w:rPr>
        <w:t xml:space="preserve">The SE values </w:t>
      </w:r>
      <w:r w:rsidR="00261511" w:rsidRPr="00E8645A">
        <w:rPr>
          <w:rFonts w:ascii="Times New Roman" w:hAnsi="Times New Roman" w:cs="Times New Roman"/>
          <w:sz w:val="24"/>
          <w:szCs w:val="24"/>
        </w:rPr>
        <w:t>are relatively small as same as in the CC domain. The values of PR and AC are also very large</w:t>
      </w:r>
      <w:r w:rsidR="0005672B">
        <w:rPr>
          <w:rFonts w:ascii="Times New Roman" w:hAnsi="Times New Roman" w:cs="Times New Roman"/>
          <w:sz w:val="24"/>
          <w:szCs w:val="24"/>
        </w:rPr>
        <w:t xml:space="preserve">, </w:t>
      </w:r>
      <w:r w:rsidR="00261511" w:rsidRPr="00E8645A">
        <w:rPr>
          <w:rFonts w:ascii="Times New Roman" w:hAnsi="Times New Roman" w:cs="Times New Roman"/>
          <w:sz w:val="24"/>
          <w:szCs w:val="24"/>
        </w:rPr>
        <w:t xml:space="preserve">most of </w:t>
      </w:r>
      <w:r w:rsidR="0005672B">
        <w:rPr>
          <w:rFonts w:ascii="Times New Roman" w:hAnsi="Times New Roman" w:cs="Times New Roman"/>
          <w:sz w:val="24"/>
          <w:szCs w:val="24"/>
        </w:rPr>
        <w:t>which</w:t>
      </w:r>
      <w:r w:rsidR="00261511" w:rsidRPr="00E8645A">
        <w:rPr>
          <w:rFonts w:ascii="Times New Roman" w:hAnsi="Times New Roman" w:cs="Times New Roman"/>
          <w:sz w:val="24"/>
          <w:szCs w:val="24"/>
        </w:rPr>
        <w:t xml:space="preserve"> are larger than 90%. The MCC values are also larger than 0.7</w:t>
      </w:r>
      <w:r w:rsidR="00707832" w:rsidRPr="00E8645A">
        <w:rPr>
          <w:rFonts w:ascii="Times New Roman" w:hAnsi="Times New Roman" w:cs="Times New Roman"/>
          <w:sz w:val="24"/>
          <w:szCs w:val="24"/>
        </w:rPr>
        <w:t xml:space="preserve">. </w:t>
      </w:r>
      <w:r w:rsidR="00261511" w:rsidRPr="00E8645A">
        <w:rPr>
          <w:rFonts w:ascii="Times New Roman" w:hAnsi="Times New Roman" w:cs="Times New Roman"/>
          <w:sz w:val="24"/>
          <w:szCs w:val="24"/>
        </w:rPr>
        <w:t>For the BP domain, the MCCs are obviously smaller than above two domains, but still about 0.5 or larger. Most values of SP are larger than 95%, such as 99% of GO</w:t>
      </w:r>
      <w:r w:rsidR="0005672B">
        <w:rPr>
          <w:rFonts w:ascii="Times New Roman" w:hAnsi="Times New Roman" w:cs="Times New Roman"/>
          <w:sz w:val="24"/>
          <w:szCs w:val="24"/>
        </w:rPr>
        <w:t>:</w:t>
      </w:r>
      <w:r w:rsidR="00261511" w:rsidRPr="00E8645A">
        <w:rPr>
          <w:rFonts w:ascii="Times New Roman" w:hAnsi="Times New Roman" w:cs="Times New Roman"/>
          <w:sz w:val="24"/>
          <w:szCs w:val="24"/>
        </w:rPr>
        <w:t>0040007, which indicate</w:t>
      </w:r>
      <w:r w:rsidR="00EF571C">
        <w:rPr>
          <w:rFonts w:ascii="Times New Roman" w:hAnsi="Times New Roman" w:cs="Times New Roman"/>
          <w:sz w:val="24"/>
          <w:szCs w:val="24"/>
        </w:rPr>
        <w:t>s</w:t>
      </w:r>
      <w:r w:rsidR="00261511" w:rsidRPr="00E8645A">
        <w:rPr>
          <w:rFonts w:ascii="Times New Roman" w:hAnsi="Times New Roman" w:cs="Times New Roman"/>
          <w:sz w:val="24"/>
          <w:szCs w:val="24"/>
        </w:rPr>
        <w:t xml:space="preserve"> </w:t>
      </w:r>
      <w:r w:rsidR="00EF571C">
        <w:rPr>
          <w:rFonts w:ascii="Times New Roman" w:hAnsi="Times New Roman" w:cs="Times New Roman"/>
          <w:sz w:val="24"/>
          <w:szCs w:val="24"/>
        </w:rPr>
        <w:t xml:space="preserve">high </w:t>
      </w:r>
      <w:r w:rsidR="00EF571C" w:rsidRPr="00D8302B">
        <w:rPr>
          <w:rFonts w:ascii="Times New Roman" w:hAnsi="Times New Roman" w:cs="Times New Roman"/>
          <w:sz w:val="24"/>
          <w:szCs w:val="24"/>
        </w:rPr>
        <w:t>false positive control rate</w:t>
      </w:r>
      <w:r w:rsidR="00261511" w:rsidRPr="00E8645A">
        <w:rPr>
          <w:rFonts w:ascii="Times New Roman" w:hAnsi="Times New Roman" w:cs="Times New Roman"/>
          <w:sz w:val="24"/>
          <w:szCs w:val="24"/>
        </w:rPr>
        <w:t xml:space="preserve">. The SE values are smaller, about 50%, which </w:t>
      </w:r>
      <w:r w:rsidR="00707832" w:rsidRPr="00E8645A">
        <w:rPr>
          <w:rFonts w:ascii="Times New Roman" w:hAnsi="Times New Roman" w:cs="Times New Roman"/>
          <w:sz w:val="24"/>
          <w:szCs w:val="24"/>
        </w:rPr>
        <w:t>suggests more</w:t>
      </w:r>
      <w:r w:rsidR="00261511" w:rsidRPr="00E8645A">
        <w:rPr>
          <w:rFonts w:ascii="Times New Roman" w:hAnsi="Times New Roman" w:cs="Times New Roman"/>
          <w:sz w:val="24"/>
          <w:szCs w:val="24"/>
        </w:rPr>
        <w:t xml:space="preserve"> sequences </w:t>
      </w:r>
      <w:r w:rsidR="00707832" w:rsidRPr="00E8645A">
        <w:rPr>
          <w:rFonts w:ascii="Times New Roman" w:hAnsi="Times New Roman" w:cs="Times New Roman"/>
          <w:sz w:val="24"/>
          <w:szCs w:val="24"/>
        </w:rPr>
        <w:t>missing</w:t>
      </w:r>
      <w:r w:rsidR="00261511" w:rsidRPr="00E8645A">
        <w:rPr>
          <w:rFonts w:ascii="Times New Roman" w:hAnsi="Times New Roman" w:cs="Times New Roman"/>
          <w:sz w:val="24"/>
          <w:szCs w:val="24"/>
        </w:rPr>
        <w:t xml:space="preserve"> compared with above two domains.</w:t>
      </w:r>
    </w:p>
    <w:sectPr w:rsidR="00606B52" w:rsidRPr="00E8645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08A0D" w14:textId="77777777" w:rsidR="0086424D" w:rsidRDefault="0086424D" w:rsidP="001E1CCC">
      <w:r>
        <w:separator/>
      </w:r>
    </w:p>
  </w:endnote>
  <w:endnote w:type="continuationSeparator" w:id="0">
    <w:p w14:paraId="61816CF1" w14:textId="77777777" w:rsidR="0086424D" w:rsidRDefault="0086424D" w:rsidP="001E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5"/>
      </w:rPr>
      <w:id w:val="-836297218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14:paraId="6EC3F6AD" w14:textId="6B0983DA" w:rsidR="008B3A70" w:rsidRDefault="008B3A70" w:rsidP="00E57597">
        <w:pPr>
          <w:pStyle w:val="af0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3ED79034" w14:textId="77777777" w:rsidR="008B3A70" w:rsidRDefault="008B3A70" w:rsidP="00E5023C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5"/>
      </w:rPr>
      <w:id w:val="436184196"/>
      <w:docPartObj>
        <w:docPartGallery w:val="Page Numbers (Bottom of Page)"/>
        <w:docPartUnique/>
      </w:docPartObj>
    </w:sdtPr>
    <w:sdtEndPr>
      <w:rPr>
        <w:rStyle w:val="af5"/>
      </w:rPr>
    </w:sdtEndPr>
    <w:sdtContent>
      <w:p w14:paraId="628DAD64" w14:textId="2AF5DD5C" w:rsidR="008B3A70" w:rsidRDefault="008B3A70" w:rsidP="00E57597">
        <w:pPr>
          <w:pStyle w:val="af0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  <w:noProof/>
          </w:rPr>
          <w:t>8</w:t>
        </w:r>
        <w:r>
          <w:rPr>
            <w:rStyle w:val="af5"/>
          </w:rPr>
          <w:fldChar w:fldCharType="end"/>
        </w:r>
      </w:p>
    </w:sdtContent>
  </w:sdt>
  <w:p w14:paraId="4EA31C9E" w14:textId="77777777" w:rsidR="008B3A70" w:rsidRDefault="008B3A70" w:rsidP="00E5023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D7ACB" w14:textId="77777777" w:rsidR="0086424D" w:rsidRDefault="0086424D" w:rsidP="001E1CCC">
      <w:r>
        <w:separator/>
      </w:r>
    </w:p>
  </w:footnote>
  <w:footnote w:type="continuationSeparator" w:id="0">
    <w:p w14:paraId="1E08E1BC" w14:textId="77777777" w:rsidR="0086424D" w:rsidRDefault="0086424D" w:rsidP="001E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C4493"/>
    <w:multiLevelType w:val="hybridMultilevel"/>
    <w:tmpl w:val="48A8C2F8"/>
    <w:lvl w:ilvl="0" w:tplc="4EA43D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47090"/>
    <w:multiLevelType w:val="hybridMultilevel"/>
    <w:tmpl w:val="491E7F9A"/>
    <w:lvl w:ilvl="0" w:tplc="8814D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7B"/>
    <w:rsid w:val="00006430"/>
    <w:rsid w:val="000118EB"/>
    <w:rsid w:val="0001192A"/>
    <w:rsid w:val="00017640"/>
    <w:rsid w:val="00021E6A"/>
    <w:rsid w:val="00022850"/>
    <w:rsid w:val="000246CE"/>
    <w:rsid w:val="000246E9"/>
    <w:rsid w:val="00025D8E"/>
    <w:rsid w:val="000312E3"/>
    <w:rsid w:val="0003173A"/>
    <w:rsid w:val="000344E6"/>
    <w:rsid w:val="00041036"/>
    <w:rsid w:val="00041862"/>
    <w:rsid w:val="00041ED9"/>
    <w:rsid w:val="00043DFA"/>
    <w:rsid w:val="000444BD"/>
    <w:rsid w:val="000446AF"/>
    <w:rsid w:val="0005672B"/>
    <w:rsid w:val="000611B9"/>
    <w:rsid w:val="00061912"/>
    <w:rsid w:val="00061B02"/>
    <w:rsid w:val="00067C06"/>
    <w:rsid w:val="000724E4"/>
    <w:rsid w:val="00073D9F"/>
    <w:rsid w:val="00083D60"/>
    <w:rsid w:val="000855DC"/>
    <w:rsid w:val="000858B8"/>
    <w:rsid w:val="0008616F"/>
    <w:rsid w:val="00091048"/>
    <w:rsid w:val="00094199"/>
    <w:rsid w:val="00094CE5"/>
    <w:rsid w:val="00095B71"/>
    <w:rsid w:val="00095D05"/>
    <w:rsid w:val="000A0870"/>
    <w:rsid w:val="000A17BA"/>
    <w:rsid w:val="000A355B"/>
    <w:rsid w:val="000A6E0D"/>
    <w:rsid w:val="000A75F7"/>
    <w:rsid w:val="000A764C"/>
    <w:rsid w:val="000B3EA3"/>
    <w:rsid w:val="000B5CE4"/>
    <w:rsid w:val="000C0FE6"/>
    <w:rsid w:val="000C1541"/>
    <w:rsid w:val="000C24FF"/>
    <w:rsid w:val="000C2F35"/>
    <w:rsid w:val="000C3368"/>
    <w:rsid w:val="000C371E"/>
    <w:rsid w:val="000C4543"/>
    <w:rsid w:val="000D2B9C"/>
    <w:rsid w:val="000D3BDD"/>
    <w:rsid w:val="000E1BB9"/>
    <w:rsid w:val="000E36B6"/>
    <w:rsid w:val="000E6F6D"/>
    <w:rsid w:val="000E7812"/>
    <w:rsid w:val="000F2520"/>
    <w:rsid w:val="000F273B"/>
    <w:rsid w:val="000F488A"/>
    <w:rsid w:val="000F5664"/>
    <w:rsid w:val="000F5DCF"/>
    <w:rsid w:val="000F618A"/>
    <w:rsid w:val="001109D5"/>
    <w:rsid w:val="00111B1A"/>
    <w:rsid w:val="00113599"/>
    <w:rsid w:val="00113D27"/>
    <w:rsid w:val="00114247"/>
    <w:rsid w:val="00114F7B"/>
    <w:rsid w:val="00116E15"/>
    <w:rsid w:val="0011748D"/>
    <w:rsid w:val="0012451E"/>
    <w:rsid w:val="00125E55"/>
    <w:rsid w:val="00125EFB"/>
    <w:rsid w:val="001306B1"/>
    <w:rsid w:val="00131A6E"/>
    <w:rsid w:val="00134CFB"/>
    <w:rsid w:val="00135B87"/>
    <w:rsid w:val="00142BCE"/>
    <w:rsid w:val="0014665D"/>
    <w:rsid w:val="001519EC"/>
    <w:rsid w:val="0016060A"/>
    <w:rsid w:val="00160CEF"/>
    <w:rsid w:val="00160FB1"/>
    <w:rsid w:val="00165EEA"/>
    <w:rsid w:val="00166637"/>
    <w:rsid w:val="00172528"/>
    <w:rsid w:val="00175885"/>
    <w:rsid w:val="00186E48"/>
    <w:rsid w:val="001968BE"/>
    <w:rsid w:val="001A473A"/>
    <w:rsid w:val="001B1326"/>
    <w:rsid w:val="001B1D11"/>
    <w:rsid w:val="001B2927"/>
    <w:rsid w:val="001B3A8E"/>
    <w:rsid w:val="001B3F8B"/>
    <w:rsid w:val="001C050A"/>
    <w:rsid w:val="001C084A"/>
    <w:rsid w:val="001D322A"/>
    <w:rsid w:val="001D371C"/>
    <w:rsid w:val="001D3B37"/>
    <w:rsid w:val="001D554C"/>
    <w:rsid w:val="001D6231"/>
    <w:rsid w:val="001E1CCC"/>
    <w:rsid w:val="001F0C3D"/>
    <w:rsid w:val="00205790"/>
    <w:rsid w:val="00206C8F"/>
    <w:rsid w:val="00206E3B"/>
    <w:rsid w:val="00206EF1"/>
    <w:rsid w:val="00216EE5"/>
    <w:rsid w:val="002178B1"/>
    <w:rsid w:val="00226BE3"/>
    <w:rsid w:val="00234D7B"/>
    <w:rsid w:val="002352EB"/>
    <w:rsid w:val="002402D2"/>
    <w:rsid w:val="00243038"/>
    <w:rsid w:val="00252228"/>
    <w:rsid w:val="00261511"/>
    <w:rsid w:val="00263379"/>
    <w:rsid w:val="00264DDB"/>
    <w:rsid w:val="002660AA"/>
    <w:rsid w:val="00274ABC"/>
    <w:rsid w:val="00276577"/>
    <w:rsid w:val="002B0A2B"/>
    <w:rsid w:val="002B3604"/>
    <w:rsid w:val="002B3862"/>
    <w:rsid w:val="002B7DB8"/>
    <w:rsid w:val="002C3A36"/>
    <w:rsid w:val="002C7EBF"/>
    <w:rsid w:val="002D48E1"/>
    <w:rsid w:val="002D4AE7"/>
    <w:rsid w:val="002D4CEA"/>
    <w:rsid w:val="002E0367"/>
    <w:rsid w:val="002E3867"/>
    <w:rsid w:val="002E54E3"/>
    <w:rsid w:val="002F2A44"/>
    <w:rsid w:val="002F3ACB"/>
    <w:rsid w:val="002F5B56"/>
    <w:rsid w:val="00304E63"/>
    <w:rsid w:val="00307488"/>
    <w:rsid w:val="00307BDB"/>
    <w:rsid w:val="003147BA"/>
    <w:rsid w:val="0031764F"/>
    <w:rsid w:val="0033523E"/>
    <w:rsid w:val="00335481"/>
    <w:rsid w:val="00336E82"/>
    <w:rsid w:val="00345354"/>
    <w:rsid w:val="003504F5"/>
    <w:rsid w:val="00355E81"/>
    <w:rsid w:val="003565DB"/>
    <w:rsid w:val="00361567"/>
    <w:rsid w:val="003630A1"/>
    <w:rsid w:val="00363A41"/>
    <w:rsid w:val="00365199"/>
    <w:rsid w:val="00367ED2"/>
    <w:rsid w:val="003747AF"/>
    <w:rsid w:val="00397D75"/>
    <w:rsid w:val="003A1750"/>
    <w:rsid w:val="003A6B36"/>
    <w:rsid w:val="003B0162"/>
    <w:rsid w:val="003B067E"/>
    <w:rsid w:val="003B0D3F"/>
    <w:rsid w:val="003B2813"/>
    <w:rsid w:val="003C1640"/>
    <w:rsid w:val="003C16C3"/>
    <w:rsid w:val="003C324D"/>
    <w:rsid w:val="003C6AEB"/>
    <w:rsid w:val="003C79B3"/>
    <w:rsid w:val="003D1937"/>
    <w:rsid w:val="003D38A8"/>
    <w:rsid w:val="003D419E"/>
    <w:rsid w:val="003D6502"/>
    <w:rsid w:val="003D6A12"/>
    <w:rsid w:val="003D6D22"/>
    <w:rsid w:val="003E54A6"/>
    <w:rsid w:val="00403747"/>
    <w:rsid w:val="00406A94"/>
    <w:rsid w:val="00410090"/>
    <w:rsid w:val="004109C1"/>
    <w:rsid w:val="004132E2"/>
    <w:rsid w:val="0042117C"/>
    <w:rsid w:val="004264B4"/>
    <w:rsid w:val="00427DD9"/>
    <w:rsid w:val="00430435"/>
    <w:rsid w:val="00435741"/>
    <w:rsid w:val="00440106"/>
    <w:rsid w:val="00446394"/>
    <w:rsid w:val="00457876"/>
    <w:rsid w:val="00460172"/>
    <w:rsid w:val="00462C1E"/>
    <w:rsid w:val="00463631"/>
    <w:rsid w:val="00463D8F"/>
    <w:rsid w:val="00467814"/>
    <w:rsid w:val="00472BE8"/>
    <w:rsid w:val="004865EC"/>
    <w:rsid w:val="00494954"/>
    <w:rsid w:val="0049594E"/>
    <w:rsid w:val="004A4ED9"/>
    <w:rsid w:val="004A56E1"/>
    <w:rsid w:val="004B13A7"/>
    <w:rsid w:val="004B283B"/>
    <w:rsid w:val="004B3B06"/>
    <w:rsid w:val="004B48CC"/>
    <w:rsid w:val="004C16AF"/>
    <w:rsid w:val="004C2769"/>
    <w:rsid w:val="004E241B"/>
    <w:rsid w:val="004E3BD3"/>
    <w:rsid w:val="00507808"/>
    <w:rsid w:val="0051053B"/>
    <w:rsid w:val="0051053E"/>
    <w:rsid w:val="00511F86"/>
    <w:rsid w:val="005142E1"/>
    <w:rsid w:val="00521F35"/>
    <w:rsid w:val="005242D1"/>
    <w:rsid w:val="00532567"/>
    <w:rsid w:val="00535313"/>
    <w:rsid w:val="00536403"/>
    <w:rsid w:val="005375CD"/>
    <w:rsid w:val="00540809"/>
    <w:rsid w:val="00541025"/>
    <w:rsid w:val="0055117E"/>
    <w:rsid w:val="00555BA3"/>
    <w:rsid w:val="00563110"/>
    <w:rsid w:val="005648B6"/>
    <w:rsid w:val="005665A3"/>
    <w:rsid w:val="00573FE8"/>
    <w:rsid w:val="005771C4"/>
    <w:rsid w:val="005810D3"/>
    <w:rsid w:val="00591C8D"/>
    <w:rsid w:val="0059229F"/>
    <w:rsid w:val="00594D1E"/>
    <w:rsid w:val="00597295"/>
    <w:rsid w:val="00597846"/>
    <w:rsid w:val="005A0AF3"/>
    <w:rsid w:val="005A54D3"/>
    <w:rsid w:val="005A7D2C"/>
    <w:rsid w:val="005B06B3"/>
    <w:rsid w:val="005B2ADB"/>
    <w:rsid w:val="005B427B"/>
    <w:rsid w:val="005B44AC"/>
    <w:rsid w:val="005C08B1"/>
    <w:rsid w:val="005C783D"/>
    <w:rsid w:val="005D056D"/>
    <w:rsid w:val="005E0AE4"/>
    <w:rsid w:val="005E2A3A"/>
    <w:rsid w:val="005E409C"/>
    <w:rsid w:val="005E5ADF"/>
    <w:rsid w:val="005E6540"/>
    <w:rsid w:val="005E694D"/>
    <w:rsid w:val="005F0B63"/>
    <w:rsid w:val="0060022A"/>
    <w:rsid w:val="00603F3E"/>
    <w:rsid w:val="00606B52"/>
    <w:rsid w:val="00610393"/>
    <w:rsid w:val="0062438E"/>
    <w:rsid w:val="00624624"/>
    <w:rsid w:val="00631F13"/>
    <w:rsid w:val="00632CB5"/>
    <w:rsid w:val="00641282"/>
    <w:rsid w:val="0064384F"/>
    <w:rsid w:val="006467D3"/>
    <w:rsid w:val="00653458"/>
    <w:rsid w:val="00656A05"/>
    <w:rsid w:val="0067057C"/>
    <w:rsid w:val="006714CE"/>
    <w:rsid w:val="006715FE"/>
    <w:rsid w:val="00675158"/>
    <w:rsid w:val="00676459"/>
    <w:rsid w:val="00680700"/>
    <w:rsid w:val="00682E4A"/>
    <w:rsid w:val="006840B8"/>
    <w:rsid w:val="006A0042"/>
    <w:rsid w:val="006A04BC"/>
    <w:rsid w:val="006A57D7"/>
    <w:rsid w:val="006A79F8"/>
    <w:rsid w:val="006B35F5"/>
    <w:rsid w:val="006B750C"/>
    <w:rsid w:val="006C122A"/>
    <w:rsid w:val="006C2080"/>
    <w:rsid w:val="006C3016"/>
    <w:rsid w:val="006C518A"/>
    <w:rsid w:val="006D37CC"/>
    <w:rsid w:val="006D7653"/>
    <w:rsid w:val="006D769B"/>
    <w:rsid w:val="006E176A"/>
    <w:rsid w:val="006E33A1"/>
    <w:rsid w:val="006E3F33"/>
    <w:rsid w:val="006F5264"/>
    <w:rsid w:val="00702F8B"/>
    <w:rsid w:val="00703771"/>
    <w:rsid w:val="00704EB2"/>
    <w:rsid w:val="00707832"/>
    <w:rsid w:val="00707BF4"/>
    <w:rsid w:val="00714B63"/>
    <w:rsid w:val="00715BFA"/>
    <w:rsid w:val="00716477"/>
    <w:rsid w:val="00724561"/>
    <w:rsid w:val="0073172B"/>
    <w:rsid w:val="0074041F"/>
    <w:rsid w:val="0074272C"/>
    <w:rsid w:val="00742B21"/>
    <w:rsid w:val="00746CF1"/>
    <w:rsid w:val="007475F0"/>
    <w:rsid w:val="00750A8D"/>
    <w:rsid w:val="007525E5"/>
    <w:rsid w:val="00753197"/>
    <w:rsid w:val="00754806"/>
    <w:rsid w:val="0075599C"/>
    <w:rsid w:val="00760410"/>
    <w:rsid w:val="00761B40"/>
    <w:rsid w:val="00767096"/>
    <w:rsid w:val="00767C0D"/>
    <w:rsid w:val="0077197F"/>
    <w:rsid w:val="00772F2D"/>
    <w:rsid w:val="007749DE"/>
    <w:rsid w:val="00777B9C"/>
    <w:rsid w:val="007801F2"/>
    <w:rsid w:val="00781850"/>
    <w:rsid w:val="00782759"/>
    <w:rsid w:val="00782793"/>
    <w:rsid w:val="007836B5"/>
    <w:rsid w:val="007A714C"/>
    <w:rsid w:val="007A7FD4"/>
    <w:rsid w:val="007B054D"/>
    <w:rsid w:val="007B11E0"/>
    <w:rsid w:val="007C4ADA"/>
    <w:rsid w:val="007C58B1"/>
    <w:rsid w:val="007C7809"/>
    <w:rsid w:val="007D008B"/>
    <w:rsid w:val="007D03C3"/>
    <w:rsid w:val="007D5320"/>
    <w:rsid w:val="007D5608"/>
    <w:rsid w:val="007D6926"/>
    <w:rsid w:val="007E7495"/>
    <w:rsid w:val="007F779D"/>
    <w:rsid w:val="00804F90"/>
    <w:rsid w:val="00807F26"/>
    <w:rsid w:val="00811C72"/>
    <w:rsid w:val="0081578D"/>
    <w:rsid w:val="00815BEC"/>
    <w:rsid w:val="00817BD5"/>
    <w:rsid w:val="00817C98"/>
    <w:rsid w:val="00820DC9"/>
    <w:rsid w:val="008251F7"/>
    <w:rsid w:val="008253C6"/>
    <w:rsid w:val="00827B32"/>
    <w:rsid w:val="00830BBB"/>
    <w:rsid w:val="00833D31"/>
    <w:rsid w:val="0084531C"/>
    <w:rsid w:val="008474F8"/>
    <w:rsid w:val="0086424D"/>
    <w:rsid w:val="00870316"/>
    <w:rsid w:val="0087169A"/>
    <w:rsid w:val="008822E1"/>
    <w:rsid w:val="00885E49"/>
    <w:rsid w:val="008973C0"/>
    <w:rsid w:val="008A43C8"/>
    <w:rsid w:val="008A5445"/>
    <w:rsid w:val="008A5BB0"/>
    <w:rsid w:val="008A6154"/>
    <w:rsid w:val="008B00FE"/>
    <w:rsid w:val="008B0C73"/>
    <w:rsid w:val="008B3A70"/>
    <w:rsid w:val="008B517E"/>
    <w:rsid w:val="008C0194"/>
    <w:rsid w:val="008C7701"/>
    <w:rsid w:val="008D5485"/>
    <w:rsid w:val="008D5FAE"/>
    <w:rsid w:val="008E0E4E"/>
    <w:rsid w:val="008E6024"/>
    <w:rsid w:val="008F3A6B"/>
    <w:rsid w:val="008F4703"/>
    <w:rsid w:val="00914866"/>
    <w:rsid w:val="009152F2"/>
    <w:rsid w:val="00916072"/>
    <w:rsid w:val="009171BD"/>
    <w:rsid w:val="00922BCD"/>
    <w:rsid w:val="009266FB"/>
    <w:rsid w:val="00935C07"/>
    <w:rsid w:val="00942650"/>
    <w:rsid w:val="00951DF1"/>
    <w:rsid w:val="009600B0"/>
    <w:rsid w:val="009753E4"/>
    <w:rsid w:val="00976A90"/>
    <w:rsid w:val="00980E86"/>
    <w:rsid w:val="0098442D"/>
    <w:rsid w:val="00991A76"/>
    <w:rsid w:val="00994B99"/>
    <w:rsid w:val="00997AA7"/>
    <w:rsid w:val="009A5562"/>
    <w:rsid w:val="009B1828"/>
    <w:rsid w:val="009B2505"/>
    <w:rsid w:val="009B3E97"/>
    <w:rsid w:val="009B6151"/>
    <w:rsid w:val="009B63DA"/>
    <w:rsid w:val="009C21A4"/>
    <w:rsid w:val="009C2766"/>
    <w:rsid w:val="009C3D22"/>
    <w:rsid w:val="009C4016"/>
    <w:rsid w:val="009C5239"/>
    <w:rsid w:val="009C571A"/>
    <w:rsid w:val="009C6CB1"/>
    <w:rsid w:val="009D2633"/>
    <w:rsid w:val="009D5FD8"/>
    <w:rsid w:val="009D74C2"/>
    <w:rsid w:val="009E271B"/>
    <w:rsid w:val="009F1AF1"/>
    <w:rsid w:val="009F29A0"/>
    <w:rsid w:val="009F52FD"/>
    <w:rsid w:val="00A02AE2"/>
    <w:rsid w:val="00A12D72"/>
    <w:rsid w:val="00A15C64"/>
    <w:rsid w:val="00A17683"/>
    <w:rsid w:val="00A23674"/>
    <w:rsid w:val="00A24D2D"/>
    <w:rsid w:val="00A30253"/>
    <w:rsid w:val="00A36DC7"/>
    <w:rsid w:val="00A4318C"/>
    <w:rsid w:val="00A475EA"/>
    <w:rsid w:val="00A562E8"/>
    <w:rsid w:val="00A67AB6"/>
    <w:rsid w:val="00A711A1"/>
    <w:rsid w:val="00A735BF"/>
    <w:rsid w:val="00A73F0A"/>
    <w:rsid w:val="00A81C54"/>
    <w:rsid w:val="00A82ECD"/>
    <w:rsid w:val="00A836D6"/>
    <w:rsid w:val="00A8611B"/>
    <w:rsid w:val="00A96CC3"/>
    <w:rsid w:val="00A97117"/>
    <w:rsid w:val="00AA0BF9"/>
    <w:rsid w:val="00AA53CC"/>
    <w:rsid w:val="00AB2009"/>
    <w:rsid w:val="00AB2E93"/>
    <w:rsid w:val="00AB589D"/>
    <w:rsid w:val="00AC3923"/>
    <w:rsid w:val="00AC48D9"/>
    <w:rsid w:val="00AC76F6"/>
    <w:rsid w:val="00AE08A9"/>
    <w:rsid w:val="00AE0E54"/>
    <w:rsid w:val="00AE72AE"/>
    <w:rsid w:val="00AF1F1B"/>
    <w:rsid w:val="00B04622"/>
    <w:rsid w:val="00B0742F"/>
    <w:rsid w:val="00B07ADA"/>
    <w:rsid w:val="00B11734"/>
    <w:rsid w:val="00B1223D"/>
    <w:rsid w:val="00B123F8"/>
    <w:rsid w:val="00B15016"/>
    <w:rsid w:val="00B20298"/>
    <w:rsid w:val="00B23371"/>
    <w:rsid w:val="00B30AEF"/>
    <w:rsid w:val="00B30C83"/>
    <w:rsid w:val="00B3269A"/>
    <w:rsid w:val="00B32817"/>
    <w:rsid w:val="00B3468E"/>
    <w:rsid w:val="00B37AE4"/>
    <w:rsid w:val="00B43DB0"/>
    <w:rsid w:val="00B6398E"/>
    <w:rsid w:val="00B63E0F"/>
    <w:rsid w:val="00B6541A"/>
    <w:rsid w:val="00B65F07"/>
    <w:rsid w:val="00B677B8"/>
    <w:rsid w:val="00B74EBE"/>
    <w:rsid w:val="00B81F40"/>
    <w:rsid w:val="00B838E9"/>
    <w:rsid w:val="00B85176"/>
    <w:rsid w:val="00B869CC"/>
    <w:rsid w:val="00B879B3"/>
    <w:rsid w:val="00B91AD3"/>
    <w:rsid w:val="00BA0673"/>
    <w:rsid w:val="00BA3834"/>
    <w:rsid w:val="00BA4926"/>
    <w:rsid w:val="00BA7C46"/>
    <w:rsid w:val="00BB1323"/>
    <w:rsid w:val="00BB6294"/>
    <w:rsid w:val="00BC52DC"/>
    <w:rsid w:val="00BD2B04"/>
    <w:rsid w:val="00BD6FB3"/>
    <w:rsid w:val="00BD7385"/>
    <w:rsid w:val="00BE0690"/>
    <w:rsid w:val="00BF3819"/>
    <w:rsid w:val="00BF570B"/>
    <w:rsid w:val="00C036D0"/>
    <w:rsid w:val="00C071C8"/>
    <w:rsid w:val="00C1500C"/>
    <w:rsid w:val="00C20021"/>
    <w:rsid w:val="00C2234D"/>
    <w:rsid w:val="00C2453A"/>
    <w:rsid w:val="00C2473A"/>
    <w:rsid w:val="00C2725A"/>
    <w:rsid w:val="00C30E3F"/>
    <w:rsid w:val="00C3173B"/>
    <w:rsid w:val="00C36314"/>
    <w:rsid w:val="00C36E5F"/>
    <w:rsid w:val="00C40120"/>
    <w:rsid w:val="00C510B0"/>
    <w:rsid w:val="00C51703"/>
    <w:rsid w:val="00C555B4"/>
    <w:rsid w:val="00C5602D"/>
    <w:rsid w:val="00C613B9"/>
    <w:rsid w:val="00C6163B"/>
    <w:rsid w:val="00C64A3E"/>
    <w:rsid w:val="00C67074"/>
    <w:rsid w:val="00C67BD6"/>
    <w:rsid w:val="00C70920"/>
    <w:rsid w:val="00C723DC"/>
    <w:rsid w:val="00C72D39"/>
    <w:rsid w:val="00C827E7"/>
    <w:rsid w:val="00C82A69"/>
    <w:rsid w:val="00C82EFA"/>
    <w:rsid w:val="00CB2FC2"/>
    <w:rsid w:val="00CB36C6"/>
    <w:rsid w:val="00CB4E4C"/>
    <w:rsid w:val="00CC0537"/>
    <w:rsid w:val="00CC24D3"/>
    <w:rsid w:val="00CC38C5"/>
    <w:rsid w:val="00CC40B9"/>
    <w:rsid w:val="00CC41BA"/>
    <w:rsid w:val="00CC7B87"/>
    <w:rsid w:val="00CD441E"/>
    <w:rsid w:val="00CE217E"/>
    <w:rsid w:val="00CE4EA1"/>
    <w:rsid w:val="00CE571C"/>
    <w:rsid w:val="00CF6E4B"/>
    <w:rsid w:val="00CF7AC1"/>
    <w:rsid w:val="00D0092B"/>
    <w:rsid w:val="00D00E79"/>
    <w:rsid w:val="00D13EDA"/>
    <w:rsid w:val="00D14FD8"/>
    <w:rsid w:val="00D150B9"/>
    <w:rsid w:val="00D24D1A"/>
    <w:rsid w:val="00D25A28"/>
    <w:rsid w:val="00D3001B"/>
    <w:rsid w:val="00D300D5"/>
    <w:rsid w:val="00D32159"/>
    <w:rsid w:val="00D3267F"/>
    <w:rsid w:val="00D376BB"/>
    <w:rsid w:val="00D425F6"/>
    <w:rsid w:val="00D43E89"/>
    <w:rsid w:val="00D513A9"/>
    <w:rsid w:val="00D52D7D"/>
    <w:rsid w:val="00D53154"/>
    <w:rsid w:val="00D537A5"/>
    <w:rsid w:val="00D6031E"/>
    <w:rsid w:val="00D61612"/>
    <w:rsid w:val="00D6447B"/>
    <w:rsid w:val="00D7112F"/>
    <w:rsid w:val="00D75D0B"/>
    <w:rsid w:val="00D80020"/>
    <w:rsid w:val="00D81D0F"/>
    <w:rsid w:val="00D8302B"/>
    <w:rsid w:val="00D859AF"/>
    <w:rsid w:val="00D93BA3"/>
    <w:rsid w:val="00D96213"/>
    <w:rsid w:val="00DA3FF8"/>
    <w:rsid w:val="00DA4ABF"/>
    <w:rsid w:val="00DA5D44"/>
    <w:rsid w:val="00DB4F32"/>
    <w:rsid w:val="00DB622F"/>
    <w:rsid w:val="00DB6CCE"/>
    <w:rsid w:val="00DB7A58"/>
    <w:rsid w:val="00DC17BC"/>
    <w:rsid w:val="00DD0C07"/>
    <w:rsid w:val="00DD1BB1"/>
    <w:rsid w:val="00DD3396"/>
    <w:rsid w:val="00DD6A75"/>
    <w:rsid w:val="00DE431A"/>
    <w:rsid w:val="00DF7F00"/>
    <w:rsid w:val="00E0016E"/>
    <w:rsid w:val="00E016DF"/>
    <w:rsid w:val="00E07B39"/>
    <w:rsid w:val="00E10D3E"/>
    <w:rsid w:val="00E136C5"/>
    <w:rsid w:val="00E20F52"/>
    <w:rsid w:val="00E2312B"/>
    <w:rsid w:val="00E23C14"/>
    <w:rsid w:val="00E263B6"/>
    <w:rsid w:val="00E36363"/>
    <w:rsid w:val="00E41974"/>
    <w:rsid w:val="00E42240"/>
    <w:rsid w:val="00E456B8"/>
    <w:rsid w:val="00E5023C"/>
    <w:rsid w:val="00E523E6"/>
    <w:rsid w:val="00E527D8"/>
    <w:rsid w:val="00E54076"/>
    <w:rsid w:val="00E54FA5"/>
    <w:rsid w:val="00E57597"/>
    <w:rsid w:val="00E576BB"/>
    <w:rsid w:val="00E60A7B"/>
    <w:rsid w:val="00E655F1"/>
    <w:rsid w:val="00E7215C"/>
    <w:rsid w:val="00E72675"/>
    <w:rsid w:val="00E73F8E"/>
    <w:rsid w:val="00E75853"/>
    <w:rsid w:val="00E76285"/>
    <w:rsid w:val="00E76758"/>
    <w:rsid w:val="00E7696C"/>
    <w:rsid w:val="00E84582"/>
    <w:rsid w:val="00E85EDE"/>
    <w:rsid w:val="00E8645A"/>
    <w:rsid w:val="00E87550"/>
    <w:rsid w:val="00E9274C"/>
    <w:rsid w:val="00E975CB"/>
    <w:rsid w:val="00EB7F02"/>
    <w:rsid w:val="00EC20FD"/>
    <w:rsid w:val="00EC672E"/>
    <w:rsid w:val="00ED08F3"/>
    <w:rsid w:val="00EE28B5"/>
    <w:rsid w:val="00EE32BC"/>
    <w:rsid w:val="00EF2F1A"/>
    <w:rsid w:val="00EF4071"/>
    <w:rsid w:val="00EF40D0"/>
    <w:rsid w:val="00EF571C"/>
    <w:rsid w:val="00EF6D70"/>
    <w:rsid w:val="00EF727D"/>
    <w:rsid w:val="00F0340D"/>
    <w:rsid w:val="00F051B3"/>
    <w:rsid w:val="00F06A3E"/>
    <w:rsid w:val="00F10FD3"/>
    <w:rsid w:val="00F1216C"/>
    <w:rsid w:val="00F126B7"/>
    <w:rsid w:val="00F20465"/>
    <w:rsid w:val="00F21A16"/>
    <w:rsid w:val="00F21C50"/>
    <w:rsid w:val="00F221F9"/>
    <w:rsid w:val="00F2723F"/>
    <w:rsid w:val="00F316BA"/>
    <w:rsid w:val="00F3328A"/>
    <w:rsid w:val="00F370A0"/>
    <w:rsid w:val="00F37E7C"/>
    <w:rsid w:val="00F40941"/>
    <w:rsid w:val="00F42DBD"/>
    <w:rsid w:val="00F438AF"/>
    <w:rsid w:val="00F55673"/>
    <w:rsid w:val="00F5664C"/>
    <w:rsid w:val="00F56D1E"/>
    <w:rsid w:val="00F63C17"/>
    <w:rsid w:val="00F63EA5"/>
    <w:rsid w:val="00F64334"/>
    <w:rsid w:val="00F64E19"/>
    <w:rsid w:val="00F661E0"/>
    <w:rsid w:val="00F66867"/>
    <w:rsid w:val="00F66B80"/>
    <w:rsid w:val="00F75423"/>
    <w:rsid w:val="00F94C78"/>
    <w:rsid w:val="00F95AB1"/>
    <w:rsid w:val="00F95E0A"/>
    <w:rsid w:val="00F962F0"/>
    <w:rsid w:val="00FA102B"/>
    <w:rsid w:val="00FA234C"/>
    <w:rsid w:val="00FA2539"/>
    <w:rsid w:val="00FA5332"/>
    <w:rsid w:val="00FB0DD6"/>
    <w:rsid w:val="00FB1F31"/>
    <w:rsid w:val="00FB69D5"/>
    <w:rsid w:val="00FB6E9C"/>
    <w:rsid w:val="00FC1CCF"/>
    <w:rsid w:val="00FC29E8"/>
    <w:rsid w:val="00FC3CE1"/>
    <w:rsid w:val="00FC56AC"/>
    <w:rsid w:val="00FC65EE"/>
    <w:rsid w:val="00FC6BE1"/>
    <w:rsid w:val="00FD08DF"/>
    <w:rsid w:val="00FD1579"/>
    <w:rsid w:val="00FD4399"/>
    <w:rsid w:val="00FD653F"/>
    <w:rsid w:val="00FD6E4F"/>
    <w:rsid w:val="00FD7BCB"/>
    <w:rsid w:val="00FE03BC"/>
    <w:rsid w:val="00FE055B"/>
    <w:rsid w:val="00FE3071"/>
    <w:rsid w:val="00FE4C86"/>
    <w:rsid w:val="00FE6198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A48ED"/>
  <w15:chartTrackingRefBased/>
  <w15:docId w15:val="{C6F6124D-664B-4EC1-B7A1-8614E27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3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43C8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A43C8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A43C8"/>
  </w:style>
  <w:style w:type="paragraph" w:styleId="a6">
    <w:name w:val="annotation subject"/>
    <w:basedOn w:val="a4"/>
    <w:next w:val="a4"/>
    <w:link w:val="a7"/>
    <w:uiPriority w:val="99"/>
    <w:semiHidden/>
    <w:unhideWhenUsed/>
    <w:rsid w:val="008A43C8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A4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43C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A43C8"/>
    <w:rPr>
      <w:sz w:val="18"/>
      <w:szCs w:val="18"/>
    </w:rPr>
  </w:style>
  <w:style w:type="table" w:styleId="aa">
    <w:name w:val="Table Grid"/>
    <w:basedOn w:val="a1"/>
    <w:uiPriority w:val="39"/>
    <w:rsid w:val="0057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76577"/>
    <w:rPr>
      <w:color w:val="808080"/>
    </w:rPr>
  </w:style>
  <w:style w:type="paragraph" w:styleId="ac">
    <w:name w:val="Revision"/>
    <w:hidden/>
    <w:uiPriority w:val="99"/>
    <w:semiHidden/>
    <w:rsid w:val="00336E82"/>
  </w:style>
  <w:style w:type="paragraph" w:styleId="ad">
    <w:name w:val="List Paragraph"/>
    <w:basedOn w:val="a"/>
    <w:uiPriority w:val="34"/>
    <w:qFormat/>
    <w:rsid w:val="000A17BA"/>
    <w:pPr>
      <w:ind w:firstLineChars="200" w:firstLine="420"/>
    </w:pPr>
  </w:style>
  <w:style w:type="paragraph" w:styleId="ae">
    <w:name w:val="header"/>
    <w:basedOn w:val="a"/>
    <w:link w:val="af"/>
    <w:uiPriority w:val="99"/>
    <w:unhideWhenUsed/>
    <w:rsid w:val="001E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1C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1CC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73C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8973C0"/>
    <w:rPr>
      <w:b/>
      <w:bCs/>
      <w:sz w:val="32"/>
      <w:szCs w:val="32"/>
    </w:rPr>
  </w:style>
  <w:style w:type="table" w:customStyle="1" w:styleId="11">
    <w:name w:val="网格型1"/>
    <w:basedOn w:val="a1"/>
    <w:next w:val="aa"/>
    <w:uiPriority w:val="39"/>
    <w:rsid w:val="00DA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E5023C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E5023C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E5023C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E5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2CAC-551E-BF4D-B946-A9A547CE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711</Words>
  <Characters>4014</Characters>
  <Application>Microsoft Office Word</Application>
  <DocSecurity>0</DocSecurity>
  <Lines>125</Lines>
  <Paragraphs>84</Paragraphs>
  <ScaleCrop>false</ScaleCrop>
  <Company>IT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Microsoft Office User</cp:lastModifiedBy>
  <cp:revision>10</cp:revision>
  <cp:lastPrinted>2021-01-22T04:58:00Z</cp:lastPrinted>
  <dcterms:created xsi:type="dcterms:W3CDTF">2021-01-23T12:23:00Z</dcterms:created>
  <dcterms:modified xsi:type="dcterms:W3CDTF">2021-02-17T07:18:00Z</dcterms:modified>
</cp:coreProperties>
</file>