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szCs w:val="21"/>
        </w:rPr>
        <w:t>.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Average of optimal design variables and parameters of the natural nacre</w:t>
      </w:r>
    </w:p>
    <w:tbl>
      <w:tblPr>
        <w:tblStyle w:val="3"/>
        <w:tblpPr w:leftFromText="180" w:rightFromText="180" w:vertAnchor="page" w:horzAnchor="page" w:tblpX="1382" w:tblpY="2274"/>
        <w:tblOverlap w:val="never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570"/>
        <w:gridCol w:w="712"/>
        <w:gridCol w:w="621"/>
        <w:gridCol w:w="621"/>
        <w:gridCol w:w="429"/>
        <w:gridCol w:w="774"/>
        <w:gridCol w:w="587"/>
        <w:gridCol w:w="1076"/>
        <w:gridCol w:w="838"/>
        <w:gridCol w:w="1031"/>
        <w:gridCol w:w="1496"/>
        <w:gridCol w:w="1447"/>
        <w:gridCol w:w="872"/>
        <w:gridCol w:w="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55" w:type="pct"/>
            <w:gridSpan w:val="2"/>
            <w:vMerge w:val="restart"/>
            <w:tcBorders>
              <w:top w:val="single" w:color="auto" w:sz="1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Optimization methods</w:t>
            </w:r>
          </w:p>
        </w:tc>
        <w:tc>
          <w:tcPr>
            <w:tcW w:w="1997" w:type="pct"/>
            <w:gridSpan w:val="8"/>
            <w:tcBorders>
              <w:top w:val="single" w:color="auto" w:sz="1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u w:val="thick"/>
              </w:rPr>
              <w:t>Design variables</w:t>
            </w:r>
          </w:p>
        </w:tc>
        <w:tc>
          <w:tcPr>
            <w:tcW w:w="363" w:type="pct"/>
            <w:tcBorders>
              <w:top w:val="single" w:color="auto" w:sz="1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82" w:type="pct"/>
            <w:gridSpan w:val="4"/>
            <w:tcBorders>
              <w:top w:val="single" w:color="auto" w:sz="1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u w:val="thick"/>
              </w:rPr>
              <w:t>Optimization objectives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5" w:type="pct"/>
            <w:gridSpan w:val="2"/>
            <w:vMerge w:val="continue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auto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ρ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auto"/>
                        <w:sz w:val="18"/>
                        <w:szCs w:val="18"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/>
                        <w:color w:val="auto"/>
                        <w:sz w:val="18"/>
                        <w:szCs w:val="18"/>
                      </w:rPr>
                      <m:t>ave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auto"/>
                        <w:sz w:val="18"/>
                        <w:szCs w:val="18"/>
                      </w:rPr>
                    </m:ctrlPr>
                  </m:sub>
                </m:sSub>
              </m:oMath>
            </m:oMathPara>
          </w:p>
        </w:tc>
        <w:tc>
          <w:tcPr>
            <w:tcW w:w="631" w:type="pct"/>
            <w:gridSpan w:val="3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auto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auto"/>
                        <w:sz w:val="18"/>
                        <w:szCs w:val="18"/>
                      </w:rPr>
                      <m:t>φ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auto"/>
                        <w:sz w:val="18"/>
                        <w:szCs w:val="18"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/>
                        <w:color w:val="auto"/>
                        <w:sz w:val="18"/>
                        <w:szCs w:val="18"/>
                      </w:rPr>
                      <m:t>ave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auto"/>
                        <w:sz w:val="18"/>
                        <w:szCs w:val="18"/>
                      </w:rPr>
                    </m:ctrlPr>
                  </m:sub>
                </m:sSub>
              </m:oMath>
            </m:oMathPara>
          </w:p>
        </w:tc>
        <w:tc>
          <w:tcPr>
            <w:tcW w:w="379" w:type="pct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auto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18"/>
                        <w:szCs w:val="18"/>
                      </w:rPr>
                      <m:t>κ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auto"/>
                        <w:sz w:val="18"/>
                        <w:szCs w:val="18"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/>
                        <w:color w:val="auto"/>
                        <w:sz w:val="18"/>
                        <w:szCs w:val="18"/>
                      </w:rPr>
                      <m:t>ave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auto"/>
                        <w:sz w:val="18"/>
                        <w:szCs w:val="18"/>
                      </w:rPr>
                    </m:ctrlPr>
                  </m:sub>
                </m:sSub>
              </m:oMath>
            </m:oMathPara>
          </w:p>
        </w:tc>
        <w:tc>
          <w:tcPr>
            <w:tcW w:w="295" w:type="pct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auto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18"/>
                        <w:szCs w:val="18"/>
                      </w:rPr>
                      <m:t>θ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auto"/>
                        <w:sz w:val="18"/>
                        <w:szCs w:val="18"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/>
                        <w:color w:val="auto"/>
                        <w:sz w:val="18"/>
                        <w:szCs w:val="18"/>
                      </w:rPr>
                      <m:t>ave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auto"/>
                        <w:sz w:val="18"/>
                        <w:szCs w:val="18"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auto"/>
                    <w:szCs w:val="21"/>
                  </w:rPr>
                  <m:t>(</m:t>
                </m:r>
                <m:r>
                  <m:rPr>
                    <m:sty m:val="bi"/>
                  </m:rPr>
                  <w:rPr>
                    <w:rFonts w:hint="eastAsia" w:ascii="Cambria Math" w:hAnsi="Cambria Math" w:cs="Times New Roman"/>
                    <w:color w:val="auto"/>
                    <w:szCs w:val="21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auto"/>
                    <w:szCs w:val="21"/>
                  </w:rPr>
                  <m:t>)</m:t>
                </m:r>
              </m:oMath>
            </m:oMathPara>
          </w:p>
        </w:tc>
        <w:tc>
          <w:tcPr>
            <w:tcW w:w="363" w:type="pct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Cambria Math" w:hAnsi="Cambria Math" w:cs="Times New Roman"/>
                <w:color w:val="auto"/>
                <w:sz w:val="18"/>
                <w:szCs w:val="18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auto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auto"/>
                        <w:sz w:val="18"/>
                        <w:szCs w:val="18"/>
                      </w:rPr>
                      <m:t>ω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auto"/>
                        <w:sz w:val="18"/>
                        <w:szCs w:val="18"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/>
                        <w:color w:val="auto"/>
                        <w:sz w:val="18"/>
                        <w:szCs w:val="18"/>
                      </w:rPr>
                      <m:t>ave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auto"/>
                        <w:sz w:val="18"/>
                        <w:szCs w:val="18"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auto"/>
                    <w:szCs w:val="21"/>
                  </w:rPr>
                  <m:t>(Hz)</m:t>
                </m:r>
              </m:oMath>
            </m:oMathPara>
          </w:p>
        </w:tc>
        <w:tc>
          <w:tcPr>
            <w:tcW w:w="528" w:type="pct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color w:val="auto"/>
                        <w:sz w:val="18"/>
                        <w:szCs w:val="1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color w:val="auto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auto"/>
                            <w:sz w:val="18"/>
                            <w:szCs w:val="18"/>
                          </w:rPr>
                          <m:t>E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color w:val="auto"/>
                            <w:sz w:val="18"/>
                            <w:szCs w:val="18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auto"/>
                            <w:sz w:val="18"/>
                            <w:szCs w:val="18"/>
                          </w:rPr>
                          <m:t>c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color w:val="auto"/>
                            <w:sz w:val="18"/>
                            <w:szCs w:val="18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color w:val="auto"/>
                        <w:sz w:val="18"/>
                        <w:szCs w:val="18"/>
                      </w:rPr>
                    </m:ctrlPr>
                  </m:e>
                </m:acc>
              </m:oMath>
            </m:oMathPara>
          </w:p>
        </w:tc>
        <w:tc>
          <w:tcPr>
            <w:tcW w:w="510" w:type="pct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color w:val="auto"/>
                        <w:sz w:val="18"/>
                        <w:szCs w:val="1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color w:val="auto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auto"/>
                            <w:sz w:val="18"/>
                            <w:szCs w:val="18"/>
                          </w:rPr>
                          <m:t>σ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color w:val="auto"/>
                            <w:sz w:val="18"/>
                            <w:szCs w:val="18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auto"/>
                            <w:sz w:val="18"/>
                            <w:szCs w:val="18"/>
                          </w:rPr>
                          <m:t>c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color w:val="auto"/>
                            <w:sz w:val="18"/>
                            <w:szCs w:val="18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color w:val="auto"/>
                        <w:sz w:val="18"/>
                        <w:szCs w:val="18"/>
                      </w:rPr>
                    </m:ctrlPr>
                  </m:e>
                </m:acc>
              </m:oMath>
            </m:oMathPara>
          </w:p>
        </w:tc>
        <w:tc>
          <w:tcPr>
            <w:tcW w:w="307" w:type="pct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color w:val="auto"/>
                        <w:sz w:val="18"/>
                        <w:szCs w:val="1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color w:val="auto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auto"/>
                            <w:sz w:val="18"/>
                            <w:szCs w:val="18"/>
                          </w:rPr>
                          <m:t>J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color w:val="auto"/>
                            <w:sz w:val="18"/>
                            <w:szCs w:val="18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auto"/>
                            <w:sz w:val="18"/>
                            <w:szCs w:val="18"/>
                          </w:rPr>
                          <m:t>c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color w:val="auto"/>
                            <w:sz w:val="18"/>
                            <w:szCs w:val="18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color w:val="auto"/>
                        <w:sz w:val="18"/>
                        <w:szCs w:val="18"/>
                      </w:rPr>
                    </m:ctrlPr>
                  </m:e>
                </m:acc>
              </m:oMath>
            </m:oMathPara>
          </w:p>
        </w:tc>
        <w:tc>
          <w:tcPr>
            <w:tcW w:w="336" w:type="pct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auto"/>
                    <w:sz w:val="18"/>
                    <w:szCs w:val="18"/>
                  </w:rPr>
                  <m:t>tanδ</m:t>
                </m:r>
              </m:oMath>
            </m:oMathPara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4" w:type="pct"/>
            <w:vMerge w:val="restart"/>
            <w:tcBorders>
              <w:top w:val="single" w:color="auto" w:sz="1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Quadru-objective optimization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(</w:t>
            </w:r>
            <m:oMath>
              <m:acc>
                <m:accPr>
                  <m:chr m:val="̃"/>
                  <m:ctrlPr>
                    <w:rPr>
                      <w:rFonts w:ascii="Cambria Math" w:hAnsi="Cambria Math" w:cs="Times New Roman"/>
                      <w:i/>
                      <w:color w:val="auto"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E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auto"/>
                      <w:sz w:val="18"/>
                      <w:szCs w:val="18"/>
                    </w:rPr>
                  </m:ctrlPr>
                </m:e>
              </m:acc>
            </m:oMath>
            <w:r>
              <w:rPr>
                <w:rFonts w:hint="eastAsia" w:hAnsi="Cambria Math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  <w:t xml:space="preserve"> </w:t>
            </w:r>
            <m:oMath>
              <m:acc>
                <m:accPr>
                  <m:chr m:val="̃"/>
                  <m:ctrlPr>
                    <w:rPr>
                      <w:rFonts w:ascii="Cambria Math" w:hAnsi="Cambria Math" w:cs="Times New Roman"/>
                      <w:i/>
                      <w:color w:val="auto"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 xml:space="preserve"> σ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auto"/>
                      <w:sz w:val="18"/>
                      <w:szCs w:val="18"/>
                    </w:rPr>
                  </m:ctrlPr>
                </m:e>
              </m:acc>
            </m:oMath>
            <w:r>
              <w:rPr>
                <w:rFonts w:hint="eastAsia" w:hAnsi="Cambria Math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 xml:space="preserve">, </w:t>
            </w:r>
            <m:oMath>
              <m:acc>
                <m:accPr>
                  <m:chr m:val="̃"/>
                  <m:ctrlPr>
                    <w:rPr>
                      <w:rFonts w:ascii="Cambria Math" w:hAnsi="Cambria Math" w:cs="Times New Roman"/>
                      <w:i/>
                      <w:color w:val="auto"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J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auto"/>
                      <w:sz w:val="18"/>
                      <w:szCs w:val="18"/>
                    </w:rPr>
                  </m:ctrlPr>
                </m:e>
              </m:acc>
            </m:oMath>
            <w:r>
              <w:rPr>
                <w:rFonts w:hint="eastAsia" w:hAnsi="Cambria Math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 xml:space="preserve">and </w:t>
            </w:r>
            <m:oMath>
              <m:r>
                <m:rPr/>
                <w:rPr>
                  <w:rFonts w:ascii="Cambria Math" w:hAnsi="Cambria Math" w:cs="Times New Roman"/>
                  <w:color w:val="auto"/>
                  <w:sz w:val="18"/>
                  <w:szCs w:val="18"/>
                </w:rPr>
                <m:t>tanδ</m:t>
              </m:r>
            </m:oMath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201" w:type="pct"/>
            <w:tcBorders>
              <w:top w:val="single" w:color="auto" w:sz="1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SF</w:t>
            </w:r>
          </w:p>
        </w:tc>
        <w:tc>
          <w:tcPr>
            <w:tcW w:w="689" w:type="pct"/>
            <w:gridSpan w:val="3"/>
            <w:tcBorders>
              <w:top w:val="single" w:color="auto" w:sz="1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18.635</w:t>
            </w:r>
          </w:p>
        </w:tc>
        <w:tc>
          <w:tcPr>
            <w:tcW w:w="631" w:type="pct"/>
            <w:gridSpan w:val="3"/>
            <w:tcBorders>
              <w:top w:val="single" w:color="auto" w:sz="1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0.849</w:t>
            </w:r>
          </w:p>
        </w:tc>
        <w:tc>
          <w:tcPr>
            <w:tcW w:w="379" w:type="pct"/>
            <w:tcBorders>
              <w:top w:val="single" w:color="auto" w:sz="1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0.454</w:t>
            </w:r>
          </w:p>
        </w:tc>
        <w:tc>
          <w:tcPr>
            <w:tcW w:w="295" w:type="pct"/>
            <w:tcBorders>
              <w:top w:val="single" w:color="auto" w:sz="1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63" w:type="pct"/>
            <w:tcBorders>
              <w:top w:val="single" w:color="auto" w:sz="1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115.894</w:t>
            </w:r>
          </w:p>
        </w:tc>
        <w:tc>
          <w:tcPr>
            <w:tcW w:w="528" w:type="pct"/>
            <w:tcBorders>
              <w:top w:val="single" w:color="auto" w:sz="1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0.580</w:t>
            </w:r>
          </w:p>
        </w:tc>
        <w:tc>
          <w:tcPr>
            <w:tcW w:w="510" w:type="pct"/>
            <w:tcBorders>
              <w:top w:val="single" w:color="auto" w:sz="1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0.201</w:t>
            </w:r>
          </w:p>
        </w:tc>
        <w:tc>
          <w:tcPr>
            <w:tcW w:w="307" w:type="pct"/>
            <w:tcBorders>
              <w:top w:val="single" w:color="auto" w:sz="1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7.844</w:t>
            </w:r>
          </w:p>
        </w:tc>
        <w:tc>
          <w:tcPr>
            <w:tcW w:w="336" w:type="pct"/>
            <w:tcBorders>
              <w:top w:val="single" w:color="auto" w:sz="1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SI</w:t>
            </w: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13.872</w:t>
            </w:r>
          </w:p>
        </w:tc>
        <w:tc>
          <w:tcPr>
            <w:tcW w:w="63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0.814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0.464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2.922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132.823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0.546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0.147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9.701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0.198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HSF</w:t>
            </w:r>
          </w:p>
        </w:tc>
        <w:tc>
          <w:tcPr>
            <w:tcW w:w="25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18.763</w:t>
            </w:r>
          </w:p>
        </w:tc>
        <w:tc>
          <w:tcPr>
            <w:tcW w:w="21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5.300</w:t>
            </w:r>
          </w:p>
        </w:tc>
        <w:tc>
          <w:tcPr>
            <w:tcW w:w="21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1.584</w:t>
            </w:r>
          </w:p>
        </w:tc>
        <w:tc>
          <w:tcPr>
            <w:tcW w:w="15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0.806</w:t>
            </w: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0.898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0.460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116.300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0.541</w:t>
            </w:r>
          </w:p>
        </w:tc>
        <w:tc>
          <w:tcPr>
            <w:tcW w:w="51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0.044</w:t>
            </w:r>
          </w:p>
        </w:tc>
        <w:tc>
          <w:tcPr>
            <w:tcW w:w="30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7.868</w:t>
            </w:r>
          </w:p>
        </w:tc>
        <w:tc>
          <w:tcPr>
            <w:tcW w:w="336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0.139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75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Triple-objective optimization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(</w:t>
            </w:r>
            <m:oMath>
              <m:acc>
                <m:accPr>
                  <m:chr m:val="̃"/>
                  <m:ctrlPr>
                    <w:rPr>
                      <w:rFonts w:ascii="Cambria Math" w:hAnsi="Cambria Math" w:cs="Times New Roman"/>
                      <w:i/>
                      <w:color w:val="auto"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E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auto"/>
                      <w:sz w:val="18"/>
                      <w:szCs w:val="18"/>
                    </w:rPr>
                  </m:ctrlPr>
                </m:e>
              </m:acc>
            </m:oMath>
            <w:r>
              <w:rPr>
                <w:rFonts w:hint="eastAsia" w:hAnsi="Cambria Math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  <w:t xml:space="preserve"> </w:t>
            </w:r>
            <m:oMath>
              <m:acc>
                <m:accPr>
                  <m:chr m:val="̃"/>
                  <m:ctrlPr>
                    <w:rPr>
                      <w:rFonts w:ascii="Cambria Math" w:hAnsi="Cambria Math" w:cs="Times New Roman"/>
                      <w:i/>
                      <w:color w:val="auto"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 xml:space="preserve"> σ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auto"/>
                      <w:sz w:val="18"/>
                      <w:szCs w:val="18"/>
                    </w:rPr>
                  </m:ctrlPr>
                </m:e>
              </m:acc>
            </m:oMath>
            <w:r>
              <w:rPr>
                <w:rFonts w:hint="eastAsia" w:hAnsi="Cambria Math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 xml:space="preserve">, </w:t>
            </w:r>
            <m:oMath>
              <m:acc>
                <m:accPr>
                  <m:chr m:val="̃"/>
                  <m:ctrlPr>
                    <w:rPr>
                      <w:rFonts w:ascii="Cambria Math" w:hAnsi="Cambria Math" w:cs="Times New Roman"/>
                      <w:i/>
                      <w:color w:val="auto"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J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color w:val="auto"/>
                          <w:sz w:val="18"/>
                          <w:szCs w:val="18"/>
                        </w:rPr>
                        <m:t>c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auto"/>
                          <w:sz w:val="18"/>
                          <w:szCs w:val="18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auto"/>
                      <w:sz w:val="18"/>
                      <w:szCs w:val="18"/>
                    </w:rPr>
                  </m:ctrlPr>
                </m:e>
              </m:acc>
            </m:oMath>
            <w:r>
              <w:rPr>
                <w:rFonts w:hint="eastAsia" w:hAnsi="Cambria Math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20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SF</w:t>
            </w:r>
          </w:p>
        </w:tc>
        <w:tc>
          <w:tcPr>
            <w:tcW w:w="689" w:type="pct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21.283</w:t>
            </w:r>
          </w:p>
        </w:tc>
        <w:tc>
          <w:tcPr>
            <w:tcW w:w="631" w:type="pct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0.959</w:t>
            </w:r>
          </w:p>
        </w:tc>
        <w:tc>
          <w:tcPr>
            <w:tcW w:w="37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0.481</w:t>
            </w:r>
          </w:p>
        </w:tc>
        <w:tc>
          <w:tcPr>
            <w:tcW w:w="29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6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52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0.804</w:t>
            </w:r>
          </w:p>
        </w:tc>
        <w:tc>
          <w:tcPr>
            <w:tcW w:w="510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0.295</w:t>
            </w:r>
          </w:p>
        </w:tc>
        <w:tc>
          <w:tcPr>
            <w:tcW w:w="30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4.709</w:t>
            </w:r>
          </w:p>
        </w:tc>
        <w:tc>
          <w:tcPr>
            <w:tcW w:w="33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SI</w:t>
            </w: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20.495</w:t>
            </w:r>
          </w:p>
        </w:tc>
        <w:tc>
          <w:tcPr>
            <w:tcW w:w="63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0.977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0.446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1.001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0.530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0.147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6.435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HSF</w:t>
            </w:r>
          </w:p>
        </w:tc>
        <w:tc>
          <w:tcPr>
            <w:tcW w:w="25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18.149</w:t>
            </w:r>
          </w:p>
        </w:tc>
        <w:tc>
          <w:tcPr>
            <w:tcW w:w="21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4.001</w:t>
            </w:r>
          </w:p>
        </w:tc>
        <w:tc>
          <w:tcPr>
            <w:tcW w:w="21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1.570</w:t>
            </w:r>
          </w:p>
        </w:tc>
        <w:tc>
          <w:tcPr>
            <w:tcW w:w="15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0.887</w:t>
            </w:r>
          </w:p>
        </w:tc>
        <w:tc>
          <w:tcPr>
            <w:tcW w:w="20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0.942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0.498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0.653</w:t>
            </w:r>
          </w:p>
        </w:tc>
        <w:tc>
          <w:tcPr>
            <w:tcW w:w="51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0.046</w:t>
            </w:r>
          </w:p>
        </w:tc>
        <w:tc>
          <w:tcPr>
            <w:tcW w:w="30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6.048</w:t>
            </w:r>
          </w:p>
        </w:tc>
        <w:tc>
          <w:tcPr>
            <w:tcW w:w="336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5" w:type="pct"/>
            <w:gridSpan w:val="2"/>
            <w:tcBorders>
              <w:top w:val="single" w:color="auto" w:sz="4" w:space="0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Nacre</w:t>
            </w:r>
          </w:p>
        </w:tc>
        <w:tc>
          <w:tcPr>
            <w:tcW w:w="689" w:type="pct"/>
            <w:gridSpan w:val="3"/>
            <w:tcBorders>
              <w:top w:val="single" w:color="auto" w:sz="4" w:space="0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  <w:t>12-30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  <w:t>[3-4]</w:t>
            </w:r>
          </w:p>
        </w:tc>
        <w:tc>
          <w:tcPr>
            <w:tcW w:w="631" w:type="pct"/>
            <w:gridSpan w:val="3"/>
            <w:tcBorders>
              <w:top w:val="single" w:color="auto" w:sz="4" w:space="0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  <w:t>0.90-0.95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  <w:t>[3-4]</w:t>
            </w:r>
          </w:p>
        </w:tc>
        <w:tc>
          <w:tcPr>
            <w:tcW w:w="379" w:type="pct"/>
            <w:tcBorders>
              <w:top w:val="single" w:color="auto" w:sz="4" w:space="0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  <w:t>0.25-0.50 [51]</w:t>
            </w:r>
          </w:p>
        </w:tc>
        <w:tc>
          <w:tcPr>
            <w:tcW w:w="295" w:type="pct"/>
            <w:tcBorders>
              <w:top w:val="single" w:color="auto" w:sz="4" w:space="0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  <w:t>1-5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  <w:t>[36, 45]</w:t>
            </w:r>
          </w:p>
        </w:tc>
        <w:tc>
          <w:tcPr>
            <w:tcW w:w="363" w:type="pct"/>
            <w:tcBorders>
              <w:top w:val="single" w:color="auto" w:sz="4" w:space="0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  <w:t>100-150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  <w:t>[7, 30]</w:t>
            </w:r>
          </w:p>
        </w:tc>
        <w:tc>
          <w:tcPr>
            <w:tcW w:w="528" w:type="pct"/>
            <w:tcBorders>
              <w:top w:val="single" w:color="auto" w:sz="4" w:space="0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  <w:t>0.40-0.80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  <w:t>[4, 38]</w:t>
            </w:r>
          </w:p>
        </w:tc>
        <w:tc>
          <w:tcPr>
            <w:tcW w:w="510" w:type="pct"/>
            <w:tcBorders>
              <w:top w:val="single" w:color="auto" w:sz="4" w:space="0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  <w:t>0.10-0.30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  <w:t>[4, 38]</w:t>
            </w:r>
          </w:p>
        </w:tc>
        <w:tc>
          <w:tcPr>
            <w:tcW w:w="307" w:type="pct"/>
            <w:tcBorders>
              <w:top w:val="single" w:color="auto" w:sz="4" w:space="0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  <w:t>6-8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  <w:t>[4, 38]</w:t>
            </w:r>
          </w:p>
        </w:tc>
        <w:tc>
          <w:tcPr>
            <w:tcW w:w="336" w:type="pct"/>
            <w:tcBorders>
              <w:top w:val="single" w:color="auto" w:sz="4" w:space="0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  <w:t>0.10-0.30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Cs/>
                <w:color w:val="auto"/>
                <w:sz w:val="16"/>
                <w:szCs w:val="16"/>
              </w:rPr>
              <w:t>[30]</w:t>
            </w:r>
          </w:p>
        </w:tc>
      </w:tr>
    </w:tbl>
    <w:p>
      <w:pPr>
        <w:jc w:val="center"/>
        <w:rPr>
          <w:rFonts w:ascii="Times New Roman" w:hAnsi="Times New Roman" w:cs="Times New Roman"/>
          <w:szCs w:val="21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zYjc4ZjVmZjBlYzdlZjdmMmJjNmIwNjg2NDhhZDkifQ=="/>
  </w:docVars>
  <w:rsids>
    <w:rsidRoot w:val="415F75B6"/>
    <w:rsid w:val="0C6831D4"/>
    <w:rsid w:val="0D447717"/>
    <w:rsid w:val="192D065B"/>
    <w:rsid w:val="21A00F9B"/>
    <w:rsid w:val="32462C87"/>
    <w:rsid w:val="3E734A16"/>
    <w:rsid w:val="415F75B6"/>
    <w:rsid w:val="630A3FFD"/>
    <w:rsid w:val="65496BE1"/>
    <w:rsid w:val="77416E84"/>
    <w:rsid w:val="7BDB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Asci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697</Characters>
  <Lines>0</Lines>
  <Paragraphs>0</Paragraphs>
  <TotalTime>0</TotalTime>
  <ScaleCrop>false</ScaleCrop>
  <LinksUpToDate>false</LinksUpToDate>
  <CharactersWithSpaces>733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2023-03-11T08:12:00Z</dcterms:created>
  <dc:creator>董博</dc:creator>
  <cp:lastModifiedBy>董博</cp:lastModifiedBy>
  <dcterms:modified xsi:type="dcterms:W3CDTF">2023-03-14T03:53:29Z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17E87CC0056C45ACB5DC92B46CDF1E6E</vt:lpwstr>
  </property>
</Properties>
</file>