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AF371" w14:textId="77777777" w:rsidR="009C4E03" w:rsidRPr="001549D3" w:rsidRDefault="009C4E03" w:rsidP="009C4E03">
      <w:pPr>
        <w:pStyle w:val="SupplementaryMaterial"/>
        <w:rPr>
          <w:b w:val="0"/>
        </w:rPr>
      </w:pPr>
      <w:r w:rsidRPr="001549D3">
        <w:t>Supplementary Material</w:t>
      </w:r>
    </w:p>
    <w:p w14:paraId="64AA1FD9" w14:textId="77777777" w:rsidR="009C4E03" w:rsidRPr="001549D3" w:rsidRDefault="009C4E03" w:rsidP="009C4E03">
      <w:pPr>
        <w:keepNext/>
        <w:rPr>
          <w:rFonts w:cs="Times New Roman"/>
          <w:szCs w:val="24"/>
        </w:rPr>
      </w:pPr>
    </w:p>
    <w:p w14:paraId="6D94B3F3" w14:textId="38B04213" w:rsidR="009C4E03" w:rsidRPr="001549D3" w:rsidRDefault="009865E2" w:rsidP="009C4E03">
      <w:pPr>
        <w:keepNext/>
        <w:jc w:val="center"/>
        <w:rPr>
          <w:rFonts w:cs="Times New Roman"/>
          <w:szCs w:val="24"/>
        </w:rPr>
      </w:pPr>
      <w:r>
        <w:rPr>
          <w:rFonts w:cs="Times New Roman"/>
          <w:noProof/>
          <w:szCs w:val="24"/>
        </w:rPr>
        <w:drawing>
          <wp:inline distT="0" distB="0" distL="0" distR="0" wp14:anchorId="58E5A777" wp14:editId="26083536">
            <wp:extent cx="2898305" cy="180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8305" cy="1800000"/>
                    </a:xfrm>
                    <a:prstGeom prst="rect">
                      <a:avLst/>
                    </a:prstGeom>
                    <a:noFill/>
                  </pic:spPr>
                </pic:pic>
              </a:graphicData>
            </a:graphic>
          </wp:inline>
        </w:drawing>
      </w:r>
    </w:p>
    <w:p w14:paraId="7CC87599" w14:textId="25D5AE24" w:rsidR="009C4E03" w:rsidRDefault="009C4E03" w:rsidP="00C3711A">
      <w:pPr>
        <w:keepNext/>
        <w:spacing w:line="480" w:lineRule="auto"/>
        <w:jc w:val="both"/>
        <w:rPr>
          <w:rFonts w:cs="Times New Roman"/>
          <w:szCs w:val="24"/>
        </w:rPr>
      </w:pPr>
      <w:r w:rsidRPr="0001436A">
        <w:rPr>
          <w:rFonts w:cs="Times New Roman"/>
          <w:b/>
          <w:szCs w:val="24"/>
        </w:rPr>
        <w:t xml:space="preserve">Supplementary Figure </w:t>
      </w:r>
      <w:r w:rsidRPr="0001436A">
        <w:rPr>
          <w:rFonts w:cs="Times New Roman"/>
          <w:b/>
          <w:szCs w:val="24"/>
        </w:rPr>
        <w:fldChar w:fldCharType="begin"/>
      </w:r>
      <w:r w:rsidRPr="0001436A">
        <w:rPr>
          <w:rFonts w:cs="Times New Roman"/>
          <w:b/>
          <w:szCs w:val="24"/>
        </w:rPr>
        <w:instrText xml:space="preserve"> SEQ Figure \* ARABIC </w:instrText>
      </w:r>
      <w:r w:rsidRPr="0001436A">
        <w:rPr>
          <w:rFonts w:cs="Times New Roman"/>
          <w:b/>
          <w:szCs w:val="24"/>
        </w:rPr>
        <w:fldChar w:fldCharType="separate"/>
      </w:r>
      <w:r>
        <w:rPr>
          <w:rFonts w:cs="Times New Roman"/>
          <w:b/>
          <w:noProof/>
          <w:szCs w:val="24"/>
        </w:rPr>
        <w:t>1</w:t>
      </w:r>
      <w:r w:rsidRPr="0001436A">
        <w:rPr>
          <w:rFonts w:cs="Times New Roman"/>
          <w:b/>
          <w:szCs w:val="24"/>
        </w:rPr>
        <w:fldChar w:fldCharType="end"/>
      </w:r>
      <w:r w:rsidRPr="0001436A">
        <w:rPr>
          <w:rFonts w:cs="Times New Roman"/>
          <w:b/>
          <w:szCs w:val="24"/>
        </w:rPr>
        <w:t>.</w:t>
      </w:r>
      <w:r w:rsidRPr="001549D3">
        <w:rPr>
          <w:rFonts w:cs="Times New Roman"/>
          <w:szCs w:val="24"/>
        </w:rPr>
        <w:t xml:space="preserve"> </w:t>
      </w:r>
      <w:r w:rsidRPr="004F09AA">
        <w:rPr>
          <w:rFonts w:cs="Times New Roman"/>
          <w:szCs w:val="24"/>
        </w:rPr>
        <w:t>Diclofenac inhibits cell viability in COLO357 cancer cells. Toxicity assay COLO357 cancers cells treated with diclofenac (0.0, 0.1, 0.2 and 0.4 mM) for 24 and 48 h. Two way ANOVA was used to evaluate significant differences (**p ≤ 0.01, ***p ≤ 0.001).</w:t>
      </w:r>
    </w:p>
    <w:p w14:paraId="31546665" w14:textId="77777777" w:rsidR="009C4E03" w:rsidRDefault="009C4E03" w:rsidP="009C4E03">
      <w:pPr>
        <w:keepNext/>
        <w:rPr>
          <w:rFonts w:cs="Times New Roman"/>
          <w:szCs w:val="24"/>
        </w:rPr>
      </w:pPr>
    </w:p>
    <w:p w14:paraId="0DE8F541" w14:textId="3F8F0721" w:rsidR="009C4E03" w:rsidRDefault="009865E2" w:rsidP="009C4E03">
      <w:pPr>
        <w:keepNext/>
        <w:jc w:val="center"/>
      </w:pPr>
      <w:r>
        <w:rPr>
          <w:noProof/>
        </w:rPr>
        <w:drawing>
          <wp:inline distT="0" distB="0" distL="0" distR="0" wp14:anchorId="77B51A69" wp14:editId="41AA0C7B">
            <wp:extent cx="5760000" cy="204238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000" cy="2042380"/>
                    </a:xfrm>
                    <a:prstGeom prst="rect">
                      <a:avLst/>
                    </a:prstGeom>
                    <a:noFill/>
                  </pic:spPr>
                </pic:pic>
              </a:graphicData>
            </a:graphic>
          </wp:inline>
        </w:drawing>
      </w:r>
    </w:p>
    <w:p w14:paraId="3D1579CF" w14:textId="6AF03331" w:rsidR="009C4E03" w:rsidRDefault="009C4E03" w:rsidP="00C3711A">
      <w:pPr>
        <w:keepNext/>
        <w:spacing w:line="480" w:lineRule="auto"/>
        <w:jc w:val="both"/>
        <w:rPr>
          <w:rFonts w:cs="Times New Roman"/>
          <w:szCs w:val="24"/>
        </w:rPr>
      </w:pPr>
      <w:r w:rsidRPr="0001436A">
        <w:rPr>
          <w:rFonts w:cs="Times New Roman"/>
          <w:b/>
          <w:szCs w:val="24"/>
        </w:rPr>
        <w:t xml:space="preserve">Supplementary Figure </w:t>
      </w:r>
      <w:r>
        <w:rPr>
          <w:rFonts w:cs="Times New Roman"/>
          <w:b/>
          <w:szCs w:val="24"/>
        </w:rPr>
        <w:t>2</w:t>
      </w:r>
      <w:r w:rsidRPr="0001436A">
        <w:rPr>
          <w:rFonts w:cs="Times New Roman"/>
          <w:b/>
          <w:szCs w:val="24"/>
        </w:rPr>
        <w:t>.</w:t>
      </w:r>
      <w:r w:rsidRPr="001549D3">
        <w:rPr>
          <w:rFonts w:cs="Times New Roman"/>
          <w:szCs w:val="24"/>
        </w:rPr>
        <w:t xml:space="preserve"> </w:t>
      </w:r>
      <w:r w:rsidRPr="004F09AA">
        <w:rPr>
          <w:rFonts w:cs="Times New Roman"/>
          <w:szCs w:val="24"/>
        </w:rPr>
        <w:t>LDH activity and expression levels in COLO357 cancer cells after diclofenac treatment. (</w:t>
      </w:r>
      <w:r>
        <w:rPr>
          <w:rFonts w:cs="Times New Roman"/>
          <w:szCs w:val="24"/>
        </w:rPr>
        <w:t>A</w:t>
      </w:r>
      <w:r w:rsidRPr="004F09AA">
        <w:rPr>
          <w:rFonts w:cs="Times New Roman"/>
          <w:szCs w:val="24"/>
        </w:rPr>
        <w:t>) LDH activity assay of COLO357 cancer cells treated with diclofenac (0 and 0.1 mM) for 48 h. (</w:t>
      </w:r>
      <w:r>
        <w:rPr>
          <w:rFonts w:cs="Times New Roman"/>
          <w:szCs w:val="24"/>
        </w:rPr>
        <w:t>B</w:t>
      </w:r>
      <w:r w:rsidRPr="004F09AA">
        <w:rPr>
          <w:rFonts w:cs="Times New Roman"/>
          <w:szCs w:val="24"/>
        </w:rPr>
        <w:t>) Representative immunoblot showing the expression of LDHA and LDHB 48 h after diclofenac (0 and 0.1 mM) treatment. Quantification of the LDHA and LDHB signals of at least 3 independent experiments are shown in the bar charts above.</w:t>
      </w:r>
    </w:p>
    <w:p w14:paraId="1163B6AD" w14:textId="21E358E3" w:rsidR="009C4E03" w:rsidRDefault="009C4E03" w:rsidP="009C4E03">
      <w:pPr>
        <w:spacing w:before="0" w:after="200" w:line="276" w:lineRule="auto"/>
      </w:pPr>
    </w:p>
    <w:p w14:paraId="3963B2EF" w14:textId="4773A9A1" w:rsidR="009C4E03" w:rsidRDefault="009C4E03" w:rsidP="009C4E03">
      <w:pPr>
        <w:keepNext/>
        <w:jc w:val="center"/>
      </w:pPr>
    </w:p>
    <w:p w14:paraId="4DE5B086" w14:textId="2049BB52" w:rsidR="009865E2" w:rsidRDefault="009865E2" w:rsidP="009C4E03">
      <w:pPr>
        <w:keepNext/>
        <w:jc w:val="center"/>
      </w:pPr>
      <w:r>
        <w:rPr>
          <w:noProof/>
        </w:rPr>
        <w:drawing>
          <wp:inline distT="0" distB="0" distL="0" distR="0" wp14:anchorId="662280F1" wp14:editId="08412D4D">
            <wp:extent cx="5760000" cy="1865212"/>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1865212"/>
                    </a:xfrm>
                    <a:prstGeom prst="rect">
                      <a:avLst/>
                    </a:prstGeom>
                    <a:noFill/>
                  </pic:spPr>
                </pic:pic>
              </a:graphicData>
            </a:graphic>
          </wp:inline>
        </w:drawing>
      </w:r>
    </w:p>
    <w:p w14:paraId="40D45B7B" w14:textId="3B3F6A58" w:rsidR="009C4E03" w:rsidRDefault="009C4E03" w:rsidP="00C3711A">
      <w:pPr>
        <w:keepNext/>
        <w:spacing w:line="480" w:lineRule="auto"/>
        <w:jc w:val="both"/>
        <w:rPr>
          <w:rFonts w:cs="Times New Roman"/>
          <w:szCs w:val="24"/>
        </w:rPr>
      </w:pPr>
      <w:r w:rsidRPr="0001436A">
        <w:rPr>
          <w:rFonts w:cs="Times New Roman"/>
          <w:b/>
          <w:szCs w:val="24"/>
        </w:rPr>
        <w:t xml:space="preserve">Supplementary Figure </w:t>
      </w:r>
      <w:r>
        <w:rPr>
          <w:rFonts w:cs="Times New Roman"/>
          <w:b/>
          <w:szCs w:val="24"/>
        </w:rPr>
        <w:t>3</w:t>
      </w:r>
      <w:r w:rsidRPr="0001436A">
        <w:rPr>
          <w:rFonts w:cs="Times New Roman"/>
          <w:b/>
          <w:szCs w:val="24"/>
        </w:rPr>
        <w:t>.</w:t>
      </w:r>
      <w:r w:rsidRPr="001549D3">
        <w:rPr>
          <w:rFonts w:cs="Times New Roman"/>
          <w:szCs w:val="24"/>
        </w:rPr>
        <w:t xml:space="preserve"> </w:t>
      </w:r>
      <w:r w:rsidRPr="004F09AA">
        <w:rPr>
          <w:rFonts w:cs="Times New Roman"/>
          <w:szCs w:val="24"/>
        </w:rPr>
        <w:t>Effects of diclofenac on cytosolic stress protein expression. Representative immunoblot showing the expression of Hsp70 and Hsp27 48 h after diclofenac treatment in COLO357 cancer cells. Quantification of the respective proteins signals of at least 3 independent experiments are shown in the bar charts above.</w:t>
      </w:r>
    </w:p>
    <w:p w14:paraId="2DC663AA" w14:textId="77777777" w:rsidR="009C4E03" w:rsidRDefault="009C4E03" w:rsidP="009C4E03">
      <w:pPr>
        <w:keepNext/>
        <w:jc w:val="both"/>
        <w:rPr>
          <w:rFonts w:cs="Times New Roman"/>
          <w:szCs w:val="24"/>
        </w:rPr>
      </w:pPr>
    </w:p>
    <w:p w14:paraId="3A1237C1" w14:textId="42749B54" w:rsidR="009865E2" w:rsidRDefault="009865E2" w:rsidP="009C4E03">
      <w:pPr>
        <w:keepNext/>
        <w:jc w:val="center"/>
      </w:pPr>
      <w:r>
        <w:rPr>
          <w:noProof/>
        </w:rPr>
        <w:drawing>
          <wp:inline distT="0" distB="0" distL="0" distR="0" wp14:anchorId="700A6E03" wp14:editId="1FD3D9B5">
            <wp:extent cx="1888333" cy="180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8333" cy="1800000"/>
                    </a:xfrm>
                    <a:prstGeom prst="rect">
                      <a:avLst/>
                    </a:prstGeom>
                    <a:noFill/>
                  </pic:spPr>
                </pic:pic>
              </a:graphicData>
            </a:graphic>
          </wp:inline>
        </w:drawing>
      </w:r>
    </w:p>
    <w:p w14:paraId="68B6355F" w14:textId="2E750514" w:rsidR="009C4E03" w:rsidRDefault="009C4E03" w:rsidP="00C3711A">
      <w:pPr>
        <w:keepNext/>
        <w:spacing w:line="480" w:lineRule="auto"/>
        <w:jc w:val="both"/>
        <w:rPr>
          <w:rFonts w:cs="Times New Roman"/>
          <w:szCs w:val="24"/>
        </w:rPr>
      </w:pPr>
      <w:r w:rsidRPr="0001436A">
        <w:rPr>
          <w:rFonts w:cs="Times New Roman"/>
          <w:b/>
          <w:szCs w:val="24"/>
        </w:rPr>
        <w:t xml:space="preserve">Supplementary Figure </w:t>
      </w:r>
      <w:r>
        <w:rPr>
          <w:rFonts w:cs="Times New Roman"/>
          <w:b/>
          <w:szCs w:val="24"/>
        </w:rPr>
        <w:t>4</w:t>
      </w:r>
      <w:r w:rsidRPr="0001436A">
        <w:rPr>
          <w:rFonts w:cs="Times New Roman"/>
          <w:b/>
          <w:szCs w:val="24"/>
        </w:rPr>
        <w:t>.</w:t>
      </w:r>
      <w:r w:rsidRPr="001549D3">
        <w:rPr>
          <w:rFonts w:cs="Times New Roman"/>
          <w:szCs w:val="24"/>
        </w:rPr>
        <w:t xml:space="preserve"> </w:t>
      </w:r>
      <w:r w:rsidRPr="004F09AA">
        <w:rPr>
          <w:rFonts w:cs="Times New Roman"/>
          <w:szCs w:val="24"/>
        </w:rPr>
        <w:t>Effects of diclofenac on the membrane Hsp70 expression. Plasma membrane bound Hsp70 on untreated and diclofenac treated (0.1 mM for 48 h) COLO357 cancer cells. The proportion of positively stained cells is shown.</w:t>
      </w:r>
    </w:p>
    <w:p w14:paraId="312A6211" w14:textId="77777777" w:rsidR="009C4E03" w:rsidRDefault="009C4E03" w:rsidP="009C4E03">
      <w:pPr>
        <w:spacing w:before="0" w:after="200" w:line="276" w:lineRule="auto"/>
      </w:pPr>
    </w:p>
    <w:p w14:paraId="4200F6E0" w14:textId="4C35D38A" w:rsidR="009C4E03" w:rsidRDefault="009C4E03" w:rsidP="009C4E03">
      <w:pPr>
        <w:keepNext/>
        <w:jc w:val="center"/>
      </w:pPr>
    </w:p>
    <w:p w14:paraId="6397BF9C" w14:textId="6C1712B6" w:rsidR="009865E2" w:rsidRDefault="009865E2" w:rsidP="009C4E03">
      <w:pPr>
        <w:keepNext/>
        <w:jc w:val="center"/>
      </w:pPr>
      <w:r>
        <w:rPr>
          <w:noProof/>
        </w:rPr>
        <w:drawing>
          <wp:inline distT="0" distB="0" distL="0" distR="0" wp14:anchorId="139A55EE" wp14:editId="51E12CE6">
            <wp:extent cx="2056574" cy="1761490"/>
            <wp:effectExtent l="0" t="0" r="127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17"/>
                    <a:stretch/>
                  </pic:blipFill>
                  <pic:spPr bwMode="auto">
                    <a:xfrm>
                      <a:off x="0" y="0"/>
                      <a:ext cx="2057043" cy="1761891"/>
                    </a:xfrm>
                    <a:prstGeom prst="rect">
                      <a:avLst/>
                    </a:prstGeom>
                    <a:noFill/>
                    <a:ln>
                      <a:noFill/>
                    </a:ln>
                    <a:extLst>
                      <a:ext uri="{53640926-AAD7-44D8-BBD7-CCE9431645EC}">
                        <a14:shadowObscured xmlns:a14="http://schemas.microsoft.com/office/drawing/2010/main"/>
                      </a:ext>
                    </a:extLst>
                  </pic:spPr>
                </pic:pic>
              </a:graphicData>
            </a:graphic>
          </wp:inline>
        </w:drawing>
      </w:r>
    </w:p>
    <w:p w14:paraId="3A0BBAE7" w14:textId="46E92926" w:rsidR="009C4E03" w:rsidRDefault="009C4E03" w:rsidP="00C3711A">
      <w:pPr>
        <w:keepNext/>
        <w:spacing w:line="480" w:lineRule="auto"/>
        <w:jc w:val="both"/>
        <w:rPr>
          <w:rFonts w:cs="Times New Roman"/>
          <w:szCs w:val="24"/>
        </w:rPr>
      </w:pPr>
      <w:r w:rsidRPr="0001436A">
        <w:rPr>
          <w:rFonts w:cs="Times New Roman"/>
          <w:b/>
          <w:szCs w:val="24"/>
        </w:rPr>
        <w:t xml:space="preserve">Supplementary Figure </w:t>
      </w:r>
      <w:r>
        <w:rPr>
          <w:rFonts w:cs="Times New Roman"/>
          <w:b/>
          <w:szCs w:val="24"/>
        </w:rPr>
        <w:t>5</w:t>
      </w:r>
      <w:r w:rsidRPr="0001436A">
        <w:rPr>
          <w:rFonts w:cs="Times New Roman"/>
          <w:b/>
          <w:szCs w:val="24"/>
        </w:rPr>
        <w:t>.</w:t>
      </w:r>
      <w:r w:rsidRPr="001549D3">
        <w:rPr>
          <w:rFonts w:cs="Times New Roman"/>
          <w:szCs w:val="24"/>
        </w:rPr>
        <w:t xml:space="preserve"> </w:t>
      </w:r>
      <w:r w:rsidRPr="004F09AA">
        <w:rPr>
          <w:rFonts w:cs="Times New Roman"/>
          <w:szCs w:val="24"/>
        </w:rPr>
        <w:t>Colony forming assay for COLO357 cells. Cancer cells were treated with 0.1 mM diclofenac (</w:t>
      </w:r>
      <w:proofErr w:type="spellStart"/>
      <w:r w:rsidRPr="004F09AA">
        <w:rPr>
          <w:rFonts w:cs="Times New Roman"/>
          <w:szCs w:val="24"/>
        </w:rPr>
        <w:t>Dic</w:t>
      </w:r>
      <w:proofErr w:type="spellEnd"/>
      <w:r w:rsidRPr="004F09AA">
        <w:rPr>
          <w:rFonts w:cs="Times New Roman"/>
          <w:szCs w:val="24"/>
        </w:rPr>
        <w:t xml:space="preserve">) for 48 h, irradiated (0-6 </w:t>
      </w:r>
      <w:proofErr w:type="spellStart"/>
      <w:r w:rsidRPr="004F09AA">
        <w:rPr>
          <w:rFonts w:cs="Times New Roman"/>
          <w:szCs w:val="24"/>
        </w:rPr>
        <w:t>Gy</w:t>
      </w:r>
      <w:proofErr w:type="spellEnd"/>
      <w:r w:rsidRPr="004F09AA">
        <w:rPr>
          <w:rFonts w:cs="Times New Roman"/>
          <w:szCs w:val="24"/>
        </w:rPr>
        <w:t>) and then allowed to form colonies in drug-free medium.</w:t>
      </w:r>
    </w:p>
    <w:p w14:paraId="79DC7643" w14:textId="77777777" w:rsidR="00181880" w:rsidRDefault="00181880" w:rsidP="009C4E03">
      <w:pPr>
        <w:keepNext/>
        <w:jc w:val="both"/>
      </w:pPr>
    </w:p>
    <w:p w14:paraId="22676F5E" w14:textId="288C31B4" w:rsidR="00181880" w:rsidRDefault="00181880" w:rsidP="00181880">
      <w:pPr>
        <w:keepNext/>
        <w:jc w:val="both"/>
        <w:rPr>
          <w:rStyle w:val="Fett"/>
        </w:rPr>
      </w:pPr>
      <w:r>
        <w:rPr>
          <w:rFonts w:cs="Times New Roman"/>
          <w:b/>
          <w:noProof/>
          <w:szCs w:val="24"/>
        </w:rPr>
        <w:drawing>
          <wp:inline distT="0" distB="0" distL="0" distR="0" wp14:anchorId="2FB0883E" wp14:editId="3078E23E">
            <wp:extent cx="5760720" cy="1173480"/>
            <wp:effectExtent l="0" t="0" r="0" b="762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173480"/>
                    </a:xfrm>
                    <a:prstGeom prst="rect">
                      <a:avLst/>
                    </a:prstGeom>
                    <a:noFill/>
                    <a:ln>
                      <a:noFill/>
                    </a:ln>
                  </pic:spPr>
                </pic:pic>
              </a:graphicData>
            </a:graphic>
          </wp:inline>
        </w:drawing>
      </w:r>
    </w:p>
    <w:p w14:paraId="75282F81" w14:textId="77777777" w:rsidR="00181880" w:rsidRDefault="00181880" w:rsidP="00C3711A">
      <w:pPr>
        <w:keepNext/>
        <w:spacing w:line="480" w:lineRule="auto"/>
        <w:jc w:val="both"/>
        <w:rPr>
          <w:rFonts w:cs="Times New Roman"/>
          <w:szCs w:val="24"/>
        </w:rPr>
      </w:pPr>
      <w:r>
        <w:rPr>
          <w:rStyle w:val="Fett"/>
        </w:rPr>
        <w:t>Supplementary Figure 6.</w:t>
      </w:r>
      <w:r>
        <w:t> Histopathology inspection of major organs of the treated mice with diclofenac, 16 days post-induction of the xenograft LS174T tumor (</w:t>
      </w:r>
      <w:r>
        <w:rPr>
          <w:rStyle w:val="Hervorhebung"/>
        </w:rPr>
        <w:t>Hematoxylin and Eosin</w:t>
      </w:r>
      <w:r>
        <w:t> staining 40 X). The treated mice received three intraperitoneal injections of diclofenac (40 mg/kg) 7, 9, and 11 days after injection of the cells once a day.</w:t>
      </w:r>
    </w:p>
    <w:p w14:paraId="6F0E0D5A" w14:textId="546B5803" w:rsidR="00653518" w:rsidRDefault="00653518"/>
    <w:p w14:paraId="351C594F" w14:textId="1B9B0CF5" w:rsidR="00C3711A" w:rsidRDefault="00C3711A"/>
    <w:p w14:paraId="264CE401" w14:textId="6ED3BB66" w:rsidR="00C3711A" w:rsidRDefault="00C3711A"/>
    <w:p w14:paraId="4BC92B5E" w14:textId="7F91A3F7" w:rsidR="00C3711A" w:rsidRDefault="00C3711A"/>
    <w:p w14:paraId="114C2D60" w14:textId="32756C0E" w:rsidR="00C3711A" w:rsidRDefault="00C3711A"/>
    <w:p w14:paraId="5DBF270E" w14:textId="77777777" w:rsidR="00C3711A" w:rsidRDefault="00C3711A"/>
    <w:p w14:paraId="092322F2" w14:textId="77777777" w:rsidR="009C4E03" w:rsidRPr="008449CF" w:rsidRDefault="009C4E03" w:rsidP="009C4E03">
      <w:pPr>
        <w:adjustRightInd w:val="0"/>
        <w:snapToGrid w:val="0"/>
        <w:spacing w:before="240" w:after="120" w:line="228" w:lineRule="auto"/>
        <w:jc w:val="both"/>
        <w:rPr>
          <w:rFonts w:eastAsia="Times New Roman" w:cs="Times New Roman"/>
          <w:color w:val="000000"/>
          <w:szCs w:val="32"/>
          <w:lang w:eastAsia="de-DE" w:bidi="en-US"/>
        </w:rPr>
      </w:pPr>
      <w:r>
        <w:rPr>
          <w:rFonts w:eastAsia="Times New Roman" w:cs="Times New Roman"/>
          <w:b/>
          <w:color w:val="000000"/>
          <w:szCs w:val="32"/>
          <w:lang w:eastAsia="de-DE" w:bidi="en-US"/>
        </w:rPr>
        <w:lastRenderedPageBreak/>
        <w:t xml:space="preserve">Supplementary </w:t>
      </w:r>
      <w:r w:rsidRPr="008449CF">
        <w:rPr>
          <w:rFonts w:eastAsia="Times New Roman" w:cs="Times New Roman"/>
          <w:b/>
          <w:color w:val="000000"/>
          <w:szCs w:val="32"/>
          <w:lang w:eastAsia="de-DE" w:bidi="en-US"/>
        </w:rPr>
        <w:t>Table 1.</w:t>
      </w:r>
      <w:r w:rsidRPr="008449CF">
        <w:rPr>
          <w:rFonts w:eastAsia="Times New Roman" w:cs="Times New Roman"/>
          <w:color w:val="000000"/>
          <w:szCs w:val="32"/>
          <w:lang w:eastAsia="de-DE" w:bidi="en-US"/>
        </w:rPr>
        <w:t xml:space="preserve"> Summary of the radiobiological parameters shown in Figure 5 A-D.</w:t>
      </w:r>
    </w:p>
    <w:tbl>
      <w:tblPr>
        <w:tblStyle w:val="Tabellenraster1"/>
        <w:tblW w:w="7947" w:type="dxa"/>
        <w:jc w:val="center"/>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1844"/>
        <w:gridCol w:w="1318"/>
        <w:gridCol w:w="1595"/>
        <w:gridCol w:w="1595"/>
        <w:gridCol w:w="1595"/>
      </w:tblGrid>
      <w:tr w:rsidR="009C4E03" w:rsidRPr="008449CF" w14:paraId="61D6CA84" w14:textId="77777777" w:rsidTr="002E5BAE">
        <w:trPr>
          <w:trHeight w:val="270"/>
          <w:jc w:val="center"/>
        </w:trPr>
        <w:tc>
          <w:tcPr>
            <w:tcW w:w="1844" w:type="dxa"/>
            <w:tcBorders>
              <w:top w:val="single" w:sz="8" w:space="0" w:color="auto"/>
              <w:bottom w:val="single" w:sz="4" w:space="0" w:color="auto"/>
              <w:right w:val="nil"/>
            </w:tcBorders>
            <w:shd w:val="clear" w:color="auto" w:fill="auto"/>
            <w:vAlign w:val="center"/>
          </w:tcPr>
          <w:p w14:paraId="24004B19" w14:textId="77777777" w:rsidR="009C4E03" w:rsidRPr="008449CF" w:rsidRDefault="009C4E03" w:rsidP="002E5BAE">
            <w:pPr>
              <w:autoSpaceDE w:val="0"/>
              <w:autoSpaceDN w:val="0"/>
              <w:adjustRightInd w:val="0"/>
              <w:snapToGrid w:val="0"/>
              <w:spacing w:before="0" w:after="0" w:line="260" w:lineRule="atLeast"/>
              <w:jc w:val="center"/>
              <w:rPr>
                <w:b/>
                <w:noProof/>
                <w:sz w:val="22"/>
                <w:szCs w:val="24"/>
              </w:rPr>
            </w:pPr>
            <w:r w:rsidRPr="008449CF">
              <w:rPr>
                <w:b/>
                <w:noProof/>
                <w:sz w:val="22"/>
                <w:szCs w:val="24"/>
              </w:rPr>
              <w:t>Cell line</w:t>
            </w:r>
          </w:p>
        </w:tc>
        <w:tc>
          <w:tcPr>
            <w:tcW w:w="1318" w:type="dxa"/>
            <w:tcBorders>
              <w:top w:val="single" w:sz="8" w:space="0" w:color="auto"/>
              <w:left w:val="nil"/>
              <w:bottom w:val="single" w:sz="4" w:space="0" w:color="auto"/>
              <w:right w:val="nil"/>
            </w:tcBorders>
            <w:shd w:val="clear" w:color="auto" w:fill="auto"/>
            <w:vAlign w:val="center"/>
          </w:tcPr>
          <w:p w14:paraId="3A4DC5DD" w14:textId="77777777" w:rsidR="009C4E03" w:rsidRPr="008449CF" w:rsidRDefault="009C4E03" w:rsidP="002E5BAE">
            <w:pPr>
              <w:autoSpaceDE w:val="0"/>
              <w:autoSpaceDN w:val="0"/>
              <w:adjustRightInd w:val="0"/>
              <w:snapToGrid w:val="0"/>
              <w:spacing w:before="0" w:after="0" w:line="260" w:lineRule="atLeast"/>
              <w:jc w:val="center"/>
              <w:rPr>
                <w:b/>
                <w:noProof/>
                <w:sz w:val="22"/>
                <w:szCs w:val="24"/>
                <w:vertAlign w:val="superscript"/>
              </w:rPr>
            </w:pPr>
            <w:r w:rsidRPr="008449CF">
              <w:rPr>
                <w:b/>
                <w:noProof/>
                <w:sz w:val="22"/>
                <w:szCs w:val="24"/>
              </w:rPr>
              <w:t>D</w:t>
            </w:r>
            <w:r w:rsidRPr="008449CF">
              <w:rPr>
                <w:b/>
                <w:noProof/>
                <w:sz w:val="22"/>
                <w:szCs w:val="24"/>
                <w:vertAlign w:val="subscript"/>
              </w:rPr>
              <w:t>50</w:t>
            </w:r>
            <w:r w:rsidRPr="008449CF">
              <w:rPr>
                <w:b/>
                <w:noProof/>
                <w:sz w:val="22"/>
                <w:szCs w:val="24"/>
              </w:rPr>
              <w:t xml:space="preserve"> (Gy)</w:t>
            </w:r>
            <w:r w:rsidRPr="008449CF">
              <w:rPr>
                <w:b/>
                <w:noProof/>
                <w:sz w:val="22"/>
                <w:szCs w:val="24"/>
                <w:vertAlign w:val="superscript"/>
              </w:rPr>
              <w:t>a</w:t>
            </w:r>
          </w:p>
        </w:tc>
        <w:tc>
          <w:tcPr>
            <w:tcW w:w="1595" w:type="dxa"/>
            <w:tcBorders>
              <w:top w:val="single" w:sz="8" w:space="0" w:color="auto"/>
              <w:left w:val="nil"/>
              <w:bottom w:val="single" w:sz="4" w:space="0" w:color="auto"/>
              <w:right w:val="nil"/>
            </w:tcBorders>
            <w:shd w:val="clear" w:color="auto" w:fill="auto"/>
            <w:vAlign w:val="center"/>
          </w:tcPr>
          <w:p w14:paraId="54AC8993" w14:textId="77777777" w:rsidR="009C4E03" w:rsidRPr="008449CF" w:rsidRDefault="009C4E03" w:rsidP="002E5BAE">
            <w:pPr>
              <w:autoSpaceDE w:val="0"/>
              <w:autoSpaceDN w:val="0"/>
              <w:adjustRightInd w:val="0"/>
              <w:snapToGrid w:val="0"/>
              <w:spacing w:before="0" w:after="0" w:line="260" w:lineRule="atLeast"/>
              <w:jc w:val="center"/>
              <w:rPr>
                <w:b/>
                <w:noProof/>
                <w:sz w:val="22"/>
                <w:szCs w:val="24"/>
                <w:vertAlign w:val="superscript"/>
              </w:rPr>
            </w:pPr>
            <w:r w:rsidRPr="008449CF">
              <w:rPr>
                <w:b/>
                <w:noProof/>
                <w:sz w:val="22"/>
                <w:szCs w:val="24"/>
              </w:rPr>
              <w:t>SER</w:t>
            </w:r>
            <w:r w:rsidRPr="008449CF">
              <w:rPr>
                <w:b/>
                <w:noProof/>
                <w:sz w:val="22"/>
                <w:szCs w:val="24"/>
                <w:vertAlign w:val="superscript"/>
              </w:rPr>
              <w:t>b</w:t>
            </w:r>
          </w:p>
        </w:tc>
        <w:tc>
          <w:tcPr>
            <w:tcW w:w="1595" w:type="dxa"/>
            <w:tcBorders>
              <w:top w:val="single" w:sz="8" w:space="0" w:color="auto"/>
              <w:left w:val="nil"/>
              <w:bottom w:val="single" w:sz="4" w:space="0" w:color="auto"/>
              <w:right w:val="nil"/>
            </w:tcBorders>
            <w:shd w:val="clear" w:color="auto" w:fill="auto"/>
            <w:vAlign w:val="center"/>
          </w:tcPr>
          <w:p w14:paraId="7A26A185" w14:textId="77777777" w:rsidR="009C4E03" w:rsidRPr="008449CF" w:rsidRDefault="009C4E03" w:rsidP="002E5BAE">
            <w:pPr>
              <w:autoSpaceDE w:val="0"/>
              <w:autoSpaceDN w:val="0"/>
              <w:adjustRightInd w:val="0"/>
              <w:snapToGrid w:val="0"/>
              <w:spacing w:before="0" w:after="0" w:line="260" w:lineRule="atLeast"/>
              <w:jc w:val="center"/>
              <w:rPr>
                <w:b/>
                <w:noProof/>
                <w:sz w:val="22"/>
                <w:szCs w:val="24"/>
                <w:vertAlign w:val="superscript"/>
              </w:rPr>
            </w:pPr>
            <w:r w:rsidRPr="008449CF">
              <w:rPr>
                <w:b/>
                <w:noProof/>
                <w:sz w:val="22"/>
                <w:szCs w:val="24"/>
              </w:rPr>
              <w:t>α (Gy</w:t>
            </w:r>
            <w:r w:rsidRPr="008449CF">
              <w:rPr>
                <w:b/>
                <w:noProof/>
                <w:sz w:val="22"/>
                <w:szCs w:val="24"/>
                <w:vertAlign w:val="superscript"/>
              </w:rPr>
              <w:t>−1</w:t>
            </w:r>
            <w:r w:rsidRPr="008449CF">
              <w:rPr>
                <w:b/>
                <w:noProof/>
                <w:sz w:val="22"/>
                <w:szCs w:val="24"/>
              </w:rPr>
              <w:t>)</w:t>
            </w:r>
            <w:r w:rsidRPr="008449CF">
              <w:rPr>
                <w:b/>
                <w:noProof/>
                <w:sz w:val="22"/>
                <w:szCs w:val="24"/>
                <w:vertAlign w:val="superscript"/>
              </w:rPr>
              <w:t>c</w:t>
            </w:r>
          </w:p>
        </w:tc>
        <w:tc>
          <w:tcPr>
            <w:tcW w:w="1595" w:type="dxa"/>
            <w:tcBorders>
              <w:top w:val="single" w:sz="8" w:space="0" w:color="auto"/>
              <w:left w:val="nil"/>
              <w:bottom w:val="single" w:sz="4" w:space="0" w:color="auto"/>
            </w:tcBorders>
            <w:shd w:val="clear" w:color="auto" w:fill="auto"/>
            <w:vAlign w:val="center"/>
          </w:tcPr>
          <w:p w14:paraId="370F5258" w14:textId="77777777" w:rsidR="009C4E03" w:rsidRPr="008449CF" w:rsidRDefault="009C4E03" w:rsidP="002E5BAE">
            <w:pPr>
              <w:autoSpaceDE w:val="0"/>
              <w:autoSpaceDN w:val="0"/>
              <w:adjustRightInd w:val="0"/>
              <w:snapToGrid w:val="0"/>
              <w:spacing w:before="0" w:after="0" w:line="260" w:lineRule="atLeast"/>
              <w:jc w:val="center"/>
              <w:rPr>
                <w:b/>
                <w:noProof/>
                <w:sz w:val="22"/>
                <w:szCs w:val="24"/>
                <w:vertAlign w:val="superscript"/>
              </w:rPr>
            </w:pPr>
            <w:r w:rsidRPr="008449CF">
              <w:rPr>
                <w:b/>
                <w:noProof/>
                <w:sz w:val="22"/>
                <w:szCs w:val="24"/>
              </w:rPr>
              <w:t>β (Gy</w:t>
            </w:r>
            <w:r w:rsidRPr="008449CF">
              <w:rPr>
                <w:b/>
                <w:noProof/>
                <w:sz w:val="22"/>
                <w:szCs w:val="24"/>
                <w:vertAlign w:val="superscript"/>
              </w:rPr>
              <w:t>−1</w:t>
            </w:r>
            <w:r w:rsidRPr="008449CF">
              <w:rPr>
                <w:b/>
                <w:noProof/>
                <w:sz w:val="22"/>
                <w:szCs w:val="24"/>
              </w:rPr>
              <w:t>)</w:t>
            </w:r>
            <w:r w:rsidRPr="008449CF">
              <w:rPr>
                <w:b/>
                <w:noProof/>
                <w:sz w:val="22"/>
                <w:szCs w:val="24"/>
                <w:vertAlign w:val="superscript"/>
              </w:rPr>
              <w:t>c</w:t>
            </w:r>
          </w:p>
        </w:tc>
      </w:tr>
      <w:tr w:rsidR="009C4E03" w:rsidRPr="008449CF" w14:paraId="2663D44F" w14:textId="77777777" w:rsidTr="002E5BAE">
        <w:trPr>
          <w:trHeight w:val="283"/>
          <w:jc w:val="center"/>
        </w:trPr>
        <w:tc>
          <w:tcPr>
            <w:tcW w:w="1844" w:type="dxa"/>
            <w:tcBorders>
              <w:top w:val="single" w:sz="4" w:space="0" w:color="auto"/>
              <w:bottom w:val="nil"/>
              <w:right w:val="nil"/>
            </w:tcBorders>
            <w:shd w:val="clear" w:color="auto" w:fill="auto"/>
          </w:tcPr>
          <w:p w14:paraId="08240DE9"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b/>
                <w:bCs/>
                <w:noProof/>
                <w:szCs w:val="24"/>
              </w:rPr>
              <w:t>LS174T</w:t>
            </w:r>
          </w:p>
        </w:tc>
        <w:tc>
          <w:tcPr>
            <w:tcW w:w="1318" w:type="dxa"/>
            <w:tcBorders>
              <w:top w:val="single" w:sz="4" w:space="0" w:color="auto"/>
              <w:left w:val="nil"/>
              <w:bottom w:val="nil"/>
              <w:right w:val="nil"/>
            </w:tcBorders>
            <w:shd w:val="clear" w:color="auto" w:fill="auto"/>
          </w:tcPr>
          <w:p w14:paraId="6A3662F5"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single" w:sz="4" w:space="0" w:color="auto"/>
              <w:left w:val="nil"/>
              <w:bottom w:val="nil"/>
              <w:right w:val="nil"/>
            </w:tcBorders>
            <w:shd w:val="clear" w:color="auto" w:fill="auto"/>
          </w:tcPr>
          <w:p w14:paraId="437F3D80"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single" w:sz="4" w:space="0" w:color="auto"/>
              <w:left w:val="nil"/>
              <w:bottom w:val="nil"/>
              <w:right w:val="nil"/>
            </w:tcBorders>
            <w:shd w:val="clear" w:color="auto" w:fill="auto"/>
          </w:tcPr>
          <w:p w14:paraId="036731F1"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single" w:sz="4" w:space="0" w:color="auto"/>
              <w:left w:val="nil"/>
              <w:bottom w:val="nil"/>
            </w:tcBorders>
            <w:shd w:val="clear" w:color="auto" w:fill="auto"/>
          </w:tcPr>
          <w:p w14:paraId="28F3A73F"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r>
      <w:tr w:rsidR="009C4E03" w:rsidRPr="008449CF" w14:paraId="16B86286" w14:textId="77777777" w:rsidTr="002E5BAE">
        <w:trPr>
          <w:trHeight w:val="283"/>
          <w:jc w:val="center"/>
        </w:trPr>
        <w:tc>
          <w:tcPr>
            <w:tcW w:w="1844" w:type="dxa"/>
            <w:tcBorders>
              <w:top w:val="nil"/>
              <w:bottom w:val="nil"/>
              <w:right w:val="nil"/>
            </w:tcBorders>
            <w:shd w:val="clear" w:color="auto" w:fill="auto"/>
          </w:tcPr>
          <w:p w14:paraId="5ED4ABEC"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 mM Dic</w:t>
            </w:r>
          </w:p>
        </w:tc>
        <w:tc>
          <w:tcPr>
            <w:tcW w:w="1318" w:type="dxa"/>
            <w:tcBorders>
              <w:top w:val="nil"/>
              <w:left w:val="nil"/>
              <w:bottom w:val="nil"/>
              <w:right w:val="nil"/>
            </w:tcBorders>
            <w:shd w:val="clear" w:color="auto" w:fill="auto"/>
          </w:tcPr>
          <w:p w14:paraId="1FD452AE"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2.75</w:t>
            </w:r>
          </w:p>
        </w:tc>
        <w:tc>
          <w:tcPr>
            <w:tcW w:w="1595" w:type="dxa"/>
            <w:tcBorders>
              <w:top w:val="nil"/>
              <w:left w:val="nil"/>
              <w:bottom w:val="nil"/>
              <w:right w:val="nil"/>
            </w:tcBorders>
            <w:shd w:val="clear" w:color="auto" w:fill="auto"/>
          </w:tcPr>
          <w:p w14:paraId="2F749DCD"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1.00</w:t>
            </w:r>
          </w:p>
        </w:tc>
        <w:tc>
          <w:tcPr>
            <w:tcW w:w="1595" w:type="dxa"/>
            <w:tcBorders>
              <w:top w:val="nil"/>
              <w:left w:val="nil"/>
              <w:bottom w:val="nil"/>
              <w:right w:val="nil"/>
            </w:tcBorders>
            <w:shd w:val="clear" w:color="auto" w:fill="auto"/>
          </w:tcPr>
          <w:p w14:paraId="27D68AFB"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0.15</w:t>
            </w:r>
          </w:p>
        </w:tc>
        <w:tc>
          <w:tcPr>
            <w:tcW w:w="1595" w:type="dxa"/>
            <w:tcBorders>
              <w:top w:val="nil"/>
              <w:left w:val="nil"/>
              <w:bottom w:val="nil"/>
            </w:tcBorders>
            <w:shd w:val="clear" w:color="auto" w:fill="auto"/>
          </w:tcPr>
          <w:p w14:paraId="6C9E79ED"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0.04</w:t>
            </w:r>
          </w:p>
        </w:tc>
      </w:tr>
      <w:tr w:rsidR="009C4E03" w:rsidRPr="008449CF" w14:paraId="356EFA1C" w14:textId="77777777" w:rsidTr="002E5BAE">
        <w:trPr>
          <w:trHeight w:val="270"/>
          <w:jc w:val="center"/>
        </w:trPr>
        <w:tc>
          <w:tcPr>
            <w:tcW w:w="1844" w:type="dxa"/>
            <w:tcBorders>
              <w:top w:val="nil"/>
              <w:bottom w:val="nil"/>
              <w:right w:val="nil"/>
            </w:tcBorders>
            <w:shd w:val="clear" w:color="auto" w:fill="auto"/>
          </w:tcPr>
          <w:p w14:paraId="3AA87809"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0.1 mM Dic</w:t>
            </w:r>
          </w:p>
        </w:tc>
        <w:tc>
          <w:tcPr>
            <w:tcW w:w="1318" w:type="dxa"/>
            <w:tcBorders>
              <w:top w:val="nil"/>
              <w:left w:val="nil"/>
              <w:bottom w:val="nil"/>
              <w:right w:val="nil"/>
            </w:tcBorders>
            <w:shd w:val="clear" w:color="auto" w:fill="auto"/>
          </w:tcPr>
          <w:p w14:paraId="6C11C470"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1.85</w:t>
            </w:r>
          </w:p>
        </w:tc>
        <w:tc>
          <w:tcPr>
            <w:tcW w:w="1595" w:type="dxa"/>
            <w:tcBorders>
              <w:top w:val="nil"/>
              <w:left w:val="nil"/>
              <w:bottom w:val="nil"/>
              <w:right w:val="nil"/>
            </w:tcBorders>
            <w:shd w:val="clear" w:color="auto" w:fill="auto"/>
          </w:tcPr>
          <w:p w14:paraId="00A9EE5C"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b/>
                <w:bCs/>
                <w:noProof/>
                <w:szCs w:val="24"/>
              </w:rPr>
              <w:t>1.48</w:t>
            </w:r>
          </w:p>
        </w:tc>
        <w:tc>
          <w:tcPr>
            <w:tcW w:w="1595" w:type="dxa"/>
            <w:tcBorders>
              <w:top w:val="nil"/>
              <w:left w:val="nil"/>
              <w:bottom w:val="nil"/>
              <w:right w:val="nil"/>
            </w:tcBorders>
            <w:shd w:val="clear" w:color="auto" w:fill="auto"/>
          </w:tcPr>
          <w:p w14:paraId="1229E1AB"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0.21</w:t>
            </w:r>
          </w:p>
        </w:tc>
        <w:tc>
          <w:tcPr>
            <w:tcW w:w="1595" w:type="dxa"/>
            <w:tcBorders>
              <w:top w:val="nil"/>
              <w:left w:val="nil"/>
              <w:bottom w:val="nil"/>
            </w:tcBorders>
            <w:shd w:val="clear" w:color="auto" w:fill="auto"/>
          </w:tcPr>
          <w:p w14:paraId="6BC310F8"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0.09</w:t>
            </w:r>
          </w:p>
        </w:tc>
      </w:tr>
      <w:tr w:rsidR="009C4E03" w:rsidRPr="008449CF" w14:paraId="68015E0B" w14:textId="77777777" w:rsidTr="002E5BAE">
        <w:trPr>
          <w:trHeight w:val="283"/>
          <w:jc w:val="center"/>
        </w:trPr>
        <w:tc>
          <w:tcPr>
            <w:tcW w:w="1844" w:type="dxa"/>
            <w:tcBorders>
              <w:top w:val="nil"/>
              <w:bottom w:val="nil"/>
              <w:right w:val="nil"/>
            </w:tcBorders>
            <w:shd w:val="clear" w:color="auto" w:fill="auto"/>
          </w:tcPr>
          <w:p w14:paraId="7D7DD7B7"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b/>
                <w:bCs/>
                <w:noProof/>
                <w:szCs w:val="24"/>
              </w:rPr>
              <w:t>LoVo</w:t>
            </w:r>
          </w:p>
        </w:tc>
        <w:tc>
          <w:tcPr>
            <w:tcW w:w="1318" w:type="dxa"/>
            <w:tcBorders>
              <w:top w:val="nil"/>
              <w:left w:val="nil"/>
              <w:bottom w:val="nil"/>
              <w:right w:val="nil"/>
            </w:tcBorders>
            <w:shd w:val="clear" w:color="auto" w:fill="auto"/>
          </w:tcPr>
          <w:p w14:paraId="5FC975A0"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nil"/>
              <w:left w:val="nil"/>
              <w:bottom w:val="nil"/>
              <w:right w:val="nil"/>
            </w:tcBorders>
            <w:shd w:val="clear" w:color="auto" w:fill="auto"/>
          </w:tcPr>
          <w:p w14:paraId="4EB25590"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p>
        </w:tc>
        <w:tc>
          <w:tcPr>
            <w:tcW w:w="1595" w:type="dxa"/>
            <w:tcBorders>
              <w:top w:val="nil"/>
              <w:left w:val="nil"/>
              <w:bottom w:val="nil"/>
              <w:right w:val="nil"/>
            </w:tcBorders>
            <w:shd w:val="clear" w:color="auto" w:fill="auto"/>
          </w:tcPr>
          <w:p w14:paraId="2A89585F"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nil"/>
              <w:left w:val="nil"/>
              <w:bottom w:val="nil"/>
            </w:tcBorders>
            <w:shd w:val="clear" w:color="auto" w:fill="auto"/>
          </w:tcPr>
          <w:p w14:paraId="720FECEE"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r>
      <w:tr w:rsidR="009C4E03" w:rsidRPr="008449CF" w14:paraId="7B5FDD15" w14:textId="77777777" w:rsidTr="002E5BAE">
        <w:trPr>
          <w:trHeight w:val="283"/>
          <w:jc w:val="center"/>
        </w:trPr>
        <w:tc>
          <w:tcPr>
            <w:tcW w:w="1844" w:type="dxa"/>
            <w:tcBorders>
              <w:top w:val="nil"/>
              <w:bottom w:val="nil"/>
              <w:right w:val="nil"/>
            </w:tcBorders>
            <w:shd w:val="clear" w:color="auto" w:fill="auto"/>
          </w:tcPr>
          <w:p w14:paraId="1781C84E"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 mM Dic</w:t>
            </w:r>
          </w:p>
        </w:tc>
        <w:tc>
          <w:tcPr>
            <w:tcW w:w="1318" w:type="dxa"/>
            <w:tcBorders>
              <w:top w:val="nil"/>
              <w:left w:val="nil"/>
              <w:bottom w:val="nil"/>
              <w:right w:val="nil"/>
            </w:tcBorders>
            <w:shd w:val="clear" w:color="auto" w:fill="auto"/>
          </w:tcPr>
          <w:p w14:paraId="68EE18EC"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2.96</w:t>
            </w:r>
          </w:p>
        </w:tc>
        <w:tc>
          <w:tcPr>
            <w:tcW w:w="1595" w:type="dxa"/>
            <w:tcBorders>
              <w:top w:val="nil"/>
              <w:left w:val="nil"/>
              <w:bottom w:val="nil"/>
              <w:right w:val="nil"/>
            </w:tcBorders>
            <w:shd w:val="clear" w:color="auto" w:fill="auto"/>
          </w:tcPr>
          <w:p w14:paraId="113F059B"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noProof/>
                <w:szCs w:val="24"/>
              </w:rPr>
              <w:t>1.00</w:t>
            </w:r>
          </w:p>
        </w:tc>
        <w:tc>
          <w:tcPr>
            <w:tcW w:w="1595" w:type="dxa"/>
            <w:tcBorders>
              <w:top w:val="nil"/>
              <w:left w:val="nil"/>
              <w:bottom w:val="nil"/>
              <w:right w:val="nil"/>
            </w:tcBorders>
            <w:shd w:val="clear" w:color="auto" w:fill="auto"/>
          </w:tcPr>
          <w:p w14:paraId="39C6C60E"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0.09</w:t>
            </w:r>
          </w:p>
        </w:tc>
        <w:tc>
          <w:tcPr>
            <w:tcW w:w="1595" w:type="dxa"/>
            <w:tcBorders>
              <w:top w:val="nil"/>
              <w:left w:val="nil"/>
              <w:bottom w:val="nil"/>
            </w:tcBorders>
            <w:shd w:val="clear" w:color="auto" w:fill="auto"/>
          </w:tcPr>
          <w:p w14:paraId="19A8CA26"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0.05</w:t>
            </w:r>
          </w:p>
        </w:tc>
      </w:tr>
      <w:tr w:rsidR="009C4E03" w:rsidRPr="008449CF" w14:paraId="61BA2276" w14:textId="77777777" w:rsidTr="002E5BAE">
        <w:trPr>
          <w:trHeight w:val="270"/>
          <w:jc w:val="center"/>
        </w:trPr>
        <w:tc>
          <w:tcPr>
            <w:tcW w:w="1844" w:type="dxa"/>
            <w:tcBorders>
              <w:top w:val="nil"/>
              <w:bottom w:val="nil"/>
              <w:right w:val="nil"/>
            </w:tcBorders>
            <w:shd w:val="clear" w:color="auto" w:fill="auto"/>
          </w:tcPr>
          <w:p w14:paraId="27B16132"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0.1 mM Dic</w:t>
            </w:r>
          </w:p>
        </w:tc>
        <w:tc>
          <w:tcPr>
            <w:tcW w:w="1318" w:type="dxa"/>
            <w:tcBorders>
              <w:top w:val="nil"/>
              <w:left w:val="nil"/>
              <w:bottom w:val="nil"/>
              <w:right w:val="nil"/>
            </w:tcBorders>
            <w:shd w:val="clear" w:color="auto" w:fill="auto"/>
          </w:tcPr>
          <w:p w14:paraId="5AEA8AA9"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2.00</w:t>
            </w:r>
          </w:p>
        </w:tc>
        <w:tc>
          <w:tcPr>
            <w:tcW w:w="1595" w:type="dxa"/>
            <w:tcBorders>
              <w:top w:val="nil"/>
              <w:left w:val="nil"/>
              <w:bottom w:val="nil"/>
              <w:right w:val="nil"/>
            </w:tcBorders>
            <w:shd w:val="clear" w:color="auto" w:fill="auto"/>
          </w:tcPr>
          <w:p w14:paraId="72D66AE1"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b/>
                <w:bCs/>
                <w:noProof/>
                <w:szCs w:val="24"/>
              </w:rPr>
              <w:t>1.48</w:t>
            </w:r>
          </w:p>
        </w:tc>
        <w:tc>
          <w:tcPr>
            <w:tcW w:w="1595" w:type="dxa"/>
            <w:tcBorders>
              <w:top w:val="nil"/>
              <w:left w:val="nil"/>
              <w:bottom w:val="nil"/>
              <w:right w:val="nil"/>
            </w:tcBorders>
            <w:shd w:val="clear" w:color="auto" w:fill="auto"/>
          </w:tcPr>
          <w:p w14:paraId="26CF32C0"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0.14</w:t>
            </w:r>
          </w:p>
        </w:tc>
        <w:tc>
          <w:tcPr>
            <w:tcW w:w="1595" w:type="dxa"/>
            <w:tcBorders>
              <w:top w:val="nil"/>
              <w:left w:val="nil"/>
              <w:bottom w:val="nil"/>
            </w:tcBorders>
            <w:shd w:val="clear" w:color="auto" w:fill="auto"/>
          </w:tcPr>
          <w:p w14:paraId="75DAB0B6"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0.10</w:t>
            </w:r>
          </w:p>
        </w:tc>
      </w:tr>
      <w:tr w:rsidR="009C4E03" w:rsidRPr="008449CF" w14:paraId="3C109323" w14:textId="77777777" w:rsidTr="002E5BAE">
        <w:trPr>
          <w:trHeight w:val="283"/>
          <w:jc w:val="center"/>
        </w:trPr>
        <w:tc>
          <w:tcPr>
            <w:tcW w:w="1844" w:type="dxa"/>
            <w:tcBorders>
              <w:top w:val="nil"/>
              <w:bottom w:val="nil"/>
              <w:right w:val="nil"/>
            </w:tcBorders>
            <w:shd w:val="clear" w:color="auto" w:fill="auto"/>
          </w:tcPr>
          <w:p w14:paraId="3CC8FBE2"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b/>
                <w:bCs/>
                <w:noProof/>
                <w:szCs w:val="24"/>
              </w:rPr>
              <w:t>A549</w:t>
            </w:r>
          </w:p>
        </w:tc>
        <w:tc>
          <w:tcPr>
            <w:tcW w:w="1318" w:type="dxa"/>
            <w:tcBorders>
              <w:top w:val="nil"/>
              <w:left w:val="nil"/>
              <w:bottom w:val="nil"/>
              <w:right w:val="nil"/>
            </w:tcBorders>
            <w:shd w:val="clear" w:color="auto" w:fill="auto"/>
          </w:tcPr>
          <w:p w14:paraId="0573DFFA"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nil"/>
              <w:left w:val="nil"/>
              <w:bottom w:val="nil"/>
              <w:right w:val="nil"/>
            </w:tcBorders>
            <w:shd w:val="clear" w:color="auto" w:fill="auto"/>
          </w:tcPr>
          <w:p w14:paraId="49642940"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p>
        </w:tc>
        <w:tc>
          <w:tcPr>
            <w:tcW w:w="1595" w:type="dxa"/>
            <w:tcBorders>
              <w:top w:val="nil"/>
              <w:left w:val="nil"/>
              <w:bottom w:val="nil"/>
              <w:right w:val="nil"/>
            </w:tcBorders>
            <w:shd w:val="clear" w:color="auto" w:fill="auto"/>
          </w:tcPr>
          <w:p w14:paraId="228F5544"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c>
          <w:tcPr>
            <w:tcW w:w="1595" w:type="dxa"/>
            <w:tcBorders>
              <w:top w:val="nil"/>
              <w:left w:val="nil"/>
              <w:bottom w:val="nil"/>
            </w:tcBorders>
            <w:shd w:val="clear" w:color="auto" w:fill="auto"/>
          </w:tcPr>
          <w:p w14:paraId="6FC6E373"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p>
        </w:tc>
      </w:tr>
      <w:tr w:rsidR="009C4E03" w:rsidRPr="008449CF" w14:paraId="56A0F6ED" w14:textId="77777777" w:rsidTr="002E5BAE">
        <w:trPr>
          <w:trHeight w:val="270"/>
          <w:jc w:val="center"/>
        </w:trPr>
        <w:tc>
          <w:tcPr>
            <w:tcW w:w="1844" w:type="dxa"/>
            <w:tcBorders>
              <w:top w:val="nil"/>
              <w:bottom w:val="nil"/>
              <w:right w:val="nil"/>
            </w:tcBorders>
            <w:shd w:val="clear" w:color="auto" w:fill="auto"/>
          </w:tcPr>
          <w:p w14:paraId="62E96FF8" w14:textId="77777777" w:rsidR="009C4E03" w:rsidRPr="008449CF" w:rsidRDefault="009C4E03" w:rsidP="002E5BAE">
            <w:pPr>
              <w:autoSpaceDE w:val="0"/>
              <w:autoSpaceDN w:val="0"/>
              <w:adjustRightInd w:val="0"/>
              <w:snapToGrid w:val="0"/>
              <w:spacing w:before="0" w:after="0" w:line="260" w:lineRule="atLeast"/>
              <w:ind w:left="360" w:right="-95" w:hanging="258"/>
              <w:contextualSpacing/>
              <w:jc w:val="center"/>
              <w:rPr>
                <w:noProof/>
                <w:sz w:val="22"/>
                <w:szCs w:val="24"/>
              </w:rPr>
            </w:pPr>
            <w:r w:rsidRPr="008449CF">
              <w:rPr>
                <w:noProof/>
                <w:szCs w:val="24"/>
              </w:rPr>
              <w:t>0.0 mM Dic</w:t>
            </w:r>
          </w:p>
        </w:tc>
        <w:tc>
          <w:tcPr>
            <w:tcW w:w="1318" w:type="dxa"/>
            <w:tcBorders>
              <w:top w:val="nil"/>
              <w:left w:val="nil"/>
              <w:bottom w:val="nil"/>
              <w:right w:val="nil"/>
            </w:tcBorders>
            <w:shd w:val="clear" w:color="auto" w:fill="auto"/>
          </w:tcPr>
          <w:p w14:paraId="30795729"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6.83</w:t>
            </w:r>
          </w:p>
        </w:tc>
        <w:tc>
          <w:tcPr>
            <w:tcW w:w="1595" w:type="dxa"/>
            <w:tcBorders>
              <w:top w:val="nil"/>
              <w:left w:val="nil"/>
              <w:bottom w:val="nil"/>
              <w:right w:val="nil"/>
            </w:tcBorders>
            <w:shd w:val="clear" w:color="auto" w:fill="auto"/>
          </w:tcPr>
          <w:p w14:paraId="3A11801C" w14:textId="77777777" w:rsidR="009C4E03" w:rsidRPr="008449CF" w:rsidRDefault="009C4E03" w:rsidP="002E5BAE">
            <w:pPr>
              <w:autoSpaceDE w:val="0"/>
              <w:autoSpaceDN w:val="0"/>
              <w:adjustRightInd w:val="0"/>
              <w:snapToGrid w:val="0"/>
              <w:spacing w:before="0" w:after="0" w:line="260" w:lineRule="atLeast"/>
              <w:jc w:val="center"/>
              <w:rPr>
                <w:b/>
                <w:bCs/>
                <w:noProof/>
                <w:sz w:val="22"/>
                <w:szCs w:val="24"/>
              </w:rPr>
            </w:pPr>
            <w:r w:rsidRPr="008449CF">
              <w:rPr>
                <w:noProof/>
                <w:szCs w:val="24"/>
              </w:rPr>
              <w:t>1.00</w:t>
            </w:r>
          </w:p>
        </w:tc>
        <w:tc>
          <w:tcPr>
            <w:tcW w:w="1595" w:type="dxa"/>
            <w:tcBorders>
              <w:top w:val="nil"/>
              <w:left w:val="nil"/>
              <w:bottom w:val="nil"/>
              <w:right w:val="nil"/>
            </w:tcBorders>
            <w:shd w:val="clear" w:color="auto" w:fill="auto"/>
          </w:tcPr>
          <w:p w14:paraId="4C6C7F33" w14:textId="77777777" w:rsidR="009C4E03" w:rsidRPr="008449CF" w:rsidRDefault="009C4E03" w:rsidP="002E5BAE">
            <w:pPr>
              <w:autoSpaceDE w:val="0"/>
              <w:autoSpaceDN w:val="0"/>
              <w:adjustRightInd w:val="0"/>
              <w:snapToGrid w:val="0"/>
              <w:spacing w:before="0" w:after="0" w:line="260" w:lineRule="atLeast"/>
              <w:jc w:val="center"/>
              <w:rPr>
                <w:noProof/>
                <w:sz w:val="22"/>
                <w:szCs w:val="24"/>
              </w:rPr>
            </w:pPr>
            <w:r w:rsidRPr="008449CF">
              <w:rPr>
                <w:noProof/>
                <w:szCs w:val="24"/>
              </w:rPr>
              <w:t>0.06</w:t>
            </w:r>
          </w:p>
        </w:tc>
        <w:tc>
          <w:tcPr>
            <w:tcW w:w="1595" w:type="dxa"/>
            <w:tcBorders>
              <w:top w:val="nil"/>
              <w:left w:val="nil"/>
              <w:bottom w:val="nil"/>
            </w:tcBorders>
            <w:shd w:val="clear" w:color="auto" w:fill="auto"/>
          </w:tcPr>
          <w:p w14:paraId="795896E0"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0.01</w:t>
            </w:r>
          </w:p>
        </w:tc>
      </w:tr>
      <w:tr w:rsidR="009C4E03" w:rsidRPr="008449CF" w14:paraId="6FD40119" w14:textId="77777777" w:rsidTr="002E5BAE">
        <w:trPr>
          <w:trHeight w:val="270"/>
          <w:jc w:val="center"/>
        </w:trPr>
        <w:tc>
          <w:tcPr>
            <w:tcW w:w="1844" w:type="dxa"/>
            <w:tcBorders>
              <w:top w:val="nil"/>
              <w:bottom w:val="nil"/>
              <w:right w:val="nil"/>
            </w:tcBorders>
            <w:shd w:val="clear" w:color="auto" w:fill="auto"/>
          </w:tcPr>
          <w:p w14:paraId="782DBD22" w14:textId="77777777" w:rsidR="009C4E03" w:rsidRPr="008449CF" w:rsidRDefault="009C4E03" w:rsidP="002E5BAE">
            <w:pPr>
              <w:autoSpaceDE w:val="0"/>
              <w:autoSpaceDN w:val="0"/>
              <w:adjustRightInd w:val="0"/>
              <w:snapToGrid w:val="0"/>
              <w:spacing w:before="0" w:after="0" w:line="260" w:lineRule="atLeast"/>
              <w:ind w:left="360" w:right="-95" w:hanging="258"/>
              <w:contextualSpacing/>
              <w:jc w:val="center"/>
              <w:rPr>
                <w:noProof/>
                <w:szCs w:val="24"/>
              </w:rPr>
            </w:pPr>
            <w:r w:rsidRPr="008449CF">
              <w:rPr>
                <w:noProof/>
                <w:szCs w:val="24"/>
              </w:rPr>
              <w:t>0.1 mM Dic</w:t>
            </w:r>
          </w:p>
        </w:tc>
        <w:tc>
          <w:tcPr>
            <w:tcW w:w="1318" w:type="dxa"/>
            <w:tcBorders>
              <w:top w:val="nil"/>
              <w:left w:val="nil"/>
              <w:bottom w:val="nil"/>
              <w:right w:val="nil"/>
            </w:tcBorders>
            <w:shd w:val="clear" w:color="auto" w:fill="auto"/>
          </w:tcPr>
          <w:p w14:paraId="0DBDB5CB"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6.58</w:t>
            </w:r>
          </w:p>
        </w:tc>
        <w:tc>
          <w:tcPr>
            <w:tcW w:w="1595" w:type="dxa"/>
            <w:tcBorders>
              <w:top w:val="nil"/>
              <w:left w:val="nil"/>
              <w:bottom w:val="nil"/>
              <w:right w:val="nil"/>
            </w:tcBorders>
            <w:shd w:val="clear" w:color="auto" w:fill="auto"/>
          </w:tcPr>
          <w:p w14:paraId="41F3EAB6"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1.04</w:t>
            </w:r>
          </w:p>
        </w:tc>
        <w:tc>
          <w:tcPr>
            <w:tcW w:w="1595" w:type="dxa"/>
            <w:tcBorders>
              <w:top w:val="nil"/>
              <w:left w:val="nil"/>
              <w:bottom w:val="nil"/>
              <w:right w:val="nil"/>
            </w:tcBorders>
            <w:shd w:val="clear" w:color="auto" w:fill="auto"/>
          </w:tcPr>
          <w:p w14:paraId="45802A46"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0.10</w:t>
            </w:r>
          </w:p>
        </w:tc>
        <w:tc>
          <w:tcPr>
            <w:tcW w:w="1595" w:type="dxa"/>
            <w:tcBorders>
              <w:top w:val="nil"/>
              <w:left w:val="nil"/>
              <w:bottom w:val="nil"/>
            </w:tcBorders>
            <w:shd w:val="clear" w:color="auto" w:fill="auto"/>
          </w:tcPr>
          <w:p w14:paraId="60E29752"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0.001</w:t>
            </w:r>
          </w:p>
        </w:tc>
      </w:tr>
      <w:tr w:rsidR="009C4E03" w:rsidRPr="008449CF" w14:paraId="2CEC0616" w14:textId="77777777" w:rsidTr="002E5BAE">
        <w:trPr>
          <w:trHeight w:val="270"/>
          <w:jc w:val="center"/>
        </w:trPr>
        <w:tc>
          <w:tcPr>
            <w:tcW w:w="1844" w:type="dxa"/>
            <w:tcBorders>
              <w:top w:val="nil"/>
              <w:bottom w:val="nil"/>
              <w:right w:val="nil"/>
            </w:tcBorders>
            <w:shd w:val="clear" w:color="auto" w:fill="auto"/>
          </w:tcPr>
          <w:p w14:paraId="333B13E5" w14:textId="77777777" w:rsidR="009C4E03" w:rsidRPr="008449CF" w:rsidRDefault="009C4E03" w:rsidP="002E5BAE">
            <w:pPr>
              <w:autoSpaceDE w:val="0"/>
              <w:autoSpaceDN w:val="0"/>
              <w:adjustRightInd w:val="0"/>
              <w:snapToGrid w:val="0"/>
              <w:spacing w:before="0" w:after="0" w:line="260" w:lineRule="atLeast"/>
              <w:ind w:left="360" w:right="-95" w:hanging="258"/>
              <w:contextualSpacing/>
              <w:jc w:val="center"/>
              <w:rPr>
                <w:b/>
                <w:bCs/>
                <w:noProof/>
                <w:szCs w:val="24"/>
              </w:rPr>
            </w:pPr>
            <w:r w:rsidRPr="008449CF">
              <w:rPr>
                <w:b/>
                <w:bCs/>
                <w:noProof/>
                <w:szCs w:val="24"/>
              </w:rPr>
              <w:t>MDA-MB-231</w:t>
            </w:r>
          </w:p>
        </w:tc>
        <w:tc>
          <w:tcPr>
            <w:tcW w:w="1318" w:type="dxa"/>
            <w:tcBorders>
              <w:top w:val="nil"/>
              <w:left w:val="nil"/>
              <w:bottom w:val="nil"/>
              <w:right w:val="nil"/>
            </w:tcBorders>
            <w:shd w:val="clear" w:color="auto" w:fill="auto"/>
          </w:tcPr>
          <w:p w14:paraId="7C76FCBF" w14:textId="77777777" w:rsidR="009C4E03" w:rsidRPr="008449CF" w:rsidRDefault="009C4E03" w:rsidP="002E5BAE">
            <w:pPr>
              <w:autoSpaceDE w:val="0"/>
              <w:autoSpaceDN w:val="0"/>
              <w:adjustRightInd w:val="0"/>
              <w:snapToGrid w:val="0"/>
              <w:spacing w:before="0" w:after="0" w:line="260" w:lineRule="atLeast"/>
              <w:jc w:val="center"/>
              <w:rPr>
                <w:noProof/>
                <w:szCs w:val="24"/>
              </w:rPr>
            </w:pPr>
          </w:p>
        </w:tc>
        <w:tc>
          <w:tcPr>
            <w:tcW w:w="1595" w:type="dxa"/>
            <w:tcBorders>
              <w:top w:val="nil"/>
              <w:left w:val="nil"/>
              <w:bottom w:val="nil"/>
              <w:right w:val="nil"/>
            </w:tcBorders>
            <w:shd w:val="clear" w:color="auto" w:fill="auto"/>
          </w:tcPr>
          <w:p w14:paraId="7BCB334E" w14:textId="77777777" w:rsidR="009C4E03" w:rsidRPr="008449CF" w:rsidRDefault="009C4E03" w:rsidP="002E5BAE">
            <w:pPr>
              <w:autoSpaceDE w:val="0"/>
              <w:autoSpaceDN w:val="0"/>
              <w:adjustRightInd w:val="0"/>
              <w:snapToGrid w:val="0"/>
              <w:spacing w:before="0" w:after="0" w:line="260" w:lineRule="atLeast"/>
              <w:jc w:val="center"/>
              <w:rPr>
                <w:noProof/>
                <w:szCs w:val="24"/>
              </w:rPr>
            </w:pPr>
          </w:p>
        </w:tc>
        <w:tc>
          <w:tcPr>
            <w:tcW w:w="1595" w:type="dxa"/>
            <w:tcBorders>
              <w:top w:val="nil"/>
              <w:left w:val="nil"/>
              <w:bottom w:val="nil"/>
              <w:right w:val="nil"/>
            </w:tcBorders>
            <w:shd w:val="clear" w:color="auto" w:fill="auto"/>
          </w:tcPr>
          <w:p w14:paraId="3D7C245B" w14:textId="77777777" w:rsidR="009C4E03" w:rsidRPr="008449CF" w:rsidRDefault="009C4E03" w:rsidP="002E5BAE">
            <w:pPr>
              <w:autoSpaceDE w:val="0"/>
              <w:autoSpaceDN w:val="0"/>
              <w:adjustRightInd w:val="0"/>
              <w:snapToGrid w:val="0"/>
              <w:spacing w:before="0" w:after="0" w:line="260" w:lineRule="atLeast"/>
              <w:jc w:val="center"/>
              <w:rPr>
                <w:noProof/>
                <w:szCs w:val="24"/>
              </w:rPr>
            </w:pPr>
          </w:p>
        </w:tc>
        <w:tc>
          <w:tcPr>
            <w:tcW w:w="1595" w:type="dxa"/>
            <w:tcBorders>
              <w:top w:val="nil"/>
              <w:left w:val="nil"/>
              <w:bottom w:val="nil"/>
            </w:tcBorders>
            <w:shd w:val="clear" w:color="auto" w:fill="auto"/>
          </w:tcPr>
          <w:p w14:paraId="5E8B9BFC" w14:textId="77777777" w:rsidR="009C4E03" w:rsidRPr="008449CF" w:rsidRDefault="009C4E03" w:rsidP="002E5BAE">
            <w:pPr>
              <w:autoSpaceDE w:val="0"/>
              <w:autoSpaceDN w:val="0"/>
              <w:adjustRightInd w:val="0"/>
              <w:snapToGrid w:val="0"/>
              <w:spacing w:before="0" w:after="0" w:line="260" w:lineRule="atLeast"/>
              <w:jc w:val="center"/>
              <w:rPr>
                <w:noProof/>
                <w:szCs w:val="24"/>
              </w:rPr>
            </w:pPr>
          </w:p>
        </w:tc>
      </w:tr>
      <w:tr w:rsidR="009C4E03" w:rsidRPr="008449CF" w14:paraId="5B2FC2A2" w14:textId="77777777" w:rsidTr="002E5BAE">
        <w:trPr>
          <w:trHeight w:val="270"/>
          <w:jc w:val="center"/>
        </w:trPr>
        <w:tc>
          <w:tcPr>
            <w:tcW w:w="1844" w:type="dxa"/>
            <w:tcBorders>
              <w:top w:val="nil"/>
              <w:bottom w:val="nil"/>
              <w:right w:val="nil"/>
            </w:tcBorders>
            <w:shd w:val="clear" w:color="auto" w:fill="auto"/>
          </w:tcPr>
          <w:p w14:paraId="75B25746" w14:textId="77777777" w:rsidR="009C4E03" w:rsidRPr="008449CF" w:rsidRDefault="009C4E03" w:rsidP="002E5BAE">
            <w:pPr>
              <w:autoSpaceDE w:val="0"/>
              <w:autoSpaceDN w:val="0"/>
              <w:adjustRightInd w:val="0"/>
              <w:snapToGrid w:val="0"/>
              <w:spacing w:before="0" w:after="0" w:line="260" w:lineRule="atLeast"/>
              <w:ind w:left="360" w:right="-95" w:hanging="258"/>
              <w:contextualSpacing/>
              <w:jc w:val="center"/>
              <w:rPr>
                <w:noProof/>
                <w:szCs w:val="24"/>
              </w:rPr>
            </w:pPr>
            <w:r w:rsidRPr="008449CF">
              <w:rPr>
                <w:noProof/>
                <w:szCs w:val="24"/>
              </w:rPr>
              <w:t>0.0 mM Dic</w:t>
            </w:r>
          </w:p>
        </w:tc>
        <w:tc>
          <w:tcPr>
            <w:tcW w:w="1318" w:type="dxa"/>
            <w:tcBorders>
              <w:top w:val="nil"/>
              <w:left w:val="nil"/>
              <w:bottom w:val="nil"/>
              <w:right w:val="nil"/>
            </w:tcBorders>
            <w:shd w:val="clear" w:color="auto" w:fill="auto"/>
          </w:tcPr>
          <w:p w14:paraId="55CB1E1A"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3.77</w:t>
            </w:r>
          </w:p>
        </w:tc>
        <w:tc>
          <w:tcPr>
            <w:tcW w:w="1595" w:type="dxa"/>
            <w:tcBorders>
              <w:top w:val="nil"/>
              <w:left w:val="nil"/>
              <w:bottom w:val="nil"/>
              <w:right w:val="nil"/>
            </w:tcBorders>
            <w:shd w:val="clear" w:color="auto" w:fill="auto"/>
          </w:tcPr>
          <w:p w14:paraId="6C4EA715"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1.00</w:t>
            </w:r>
          </w:p>
        </w:tc>
        <w:tc>
          <w:tcPr>
            <w:tcW w:w="1595" w:type="dxa"/>
            <w:tcBorders>
              <w:top w:val="nil"/>
              <w:left w:val="nil"/>
              <w:bottom w:val="nil"/>
              <w:right w:val="nil"/>
            </w:tcBorders>
            <w:shd w:val="clear" w:color="auto" w:fill="auto"/>
          </w:tcPr>
          <w:p w14:paraId="206CB017"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0.03</w:t>
            </w:r>
          </w:p>
        </w:tc>
        <w:tc>
          <w:tcPr>
            <w:tcW w:w="1595" w:type="dxa"/>
            <w:tcBorders>
              <w:top w:val="nil"/>
              <w:left w:val="nil"/>
              <w:bottom w:val="nil"/>
            </w:tcBorders>
            <w:shd w:val="clear" w:color="auto" w:fill="auto"/>
          </w:tcPr>
          <w:p w14:paraId="04AC25B8"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0.04</w:t>
            </w:r>
          </w:p>
        </w:tc>
      </w:tr>
      <w:tr w:rsidR="009C4E03" w:rsidRPr="008449CF" w14:paraId="0745E6A8" w14:textId="77777777" w:rsidTr="002E5BAE">
        <w:trPr>
          <w:trHeight w:val="270"/>
          <w:jc w:val="center"/>
        </w:trPr>
        <w:tc>
          <w:tcPr>
            <w:tcW w:w="1844" w:type="dxa"/>
            <w:tcBorders>
              <w:top w:val="nil"/>
              <w:bottom w:val="single" w:sz="8" w:space="0" w:color="auto"/>
              <w:right w:val="nil"/>
            </w:tcBorders>
            <w:shd w:val="clear" w:color="auto" w:fill="auto"/>
          </w:tcPr>
          <w:p w14:paraId="524AA2EF" w14:textId="77777777" w:rsidR="009C4E03" w:rsidRPr="008449CF" w:rsidRDefault="009C4E03" w:rsidP="002E5BAE">
            <w:pPr>
              <w:autoSpaceDE w:val="0"/>
              <w:autoSpaceDN w:val="0"/>
              <w:adjustRightInd w:val="0"/>
              <w:snapToGrid w:val="0"/>
              <w:spacing w:before="0" w:after="0" w:line="260" w:lineRule="atLeast"/>
              <w:ind w:left="360" w:right="-95" w:hanging="258"/>
              <w:contextualSpacing/>
              <w:jc w:val="center"/>
              <w:rPr>
                <w:noProof/>
                <w:szCs w:val="24"/>
              </w:rPr>
            </w:pPr>
            <w:r w:rsidRPr="008449CF">
              <w:rPr>
                <w:noProof/>
                <w:szCs w:val="24"/>
              </w:rPr>
              <w:t>0.1 mM Dic</w:t>
            </w:r>
          </w:p>
        </w:tc>
        <w:tc>
          <w:tcPr>
            <w:tcW w:w="1318" w:type="dxa"/>
            <w:tcBorders>
              <w:top w:val="nil"/>
              <w:left w:val="nil"/>
              <w:bottom w:val="single" w:sz="8" w:space="0" w:color="auto"/>
              <w:right w:val="nil"/>
            </w:tcBorders>
            <w:shd w:val="clear" w:color="auto" w:fill="auto"/>
          </w:tcPr>
          <w:p w14:paraId="14597BC0"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3.59</w:t>
            </w:r>
          </w:p>
        </w:tc>
        <w:tc>
          <w:tcPr>
            <w:tcW w:w="1595" w:type="dxa"/>
            <w:tcBorders>
              <w:top w:val="nil"/>
              <w:left w:val="nil"/>
              <w:bottom w:val="single" w:sz="8" w:space="0" w:color="auto"/>
              <w:right w:val="nil"/>
            </w:tcBorders>
            <w:shd w:val="clear" w:color="auto" w:fill="auto"/>
          </w:tcPr>
          <w:p w14:paraId="47ED2ED2"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1.05</w:t>
            </w:r>
          </w:p>
        </w:tc>
        <w:tc>
          <w:tcPr>
            <w:tcW w:w="1595" w:type="dxa"/>
            <w:tcBorders>
              <w:top w:val="nil"/>
              <w:left w:val="nil"/>
              <w:bottom w:val="single" w:sz="8" w:space="0" w:color="auto"/>
              <w:right w:val="nil"/>
            </w:tcBorders>
            <w:shd w:val="clear" w:color="auto" w:fill="auto"/>
          </w:tcPr>
          <w:p w14:paraId="7129FF5C"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0.01</w:t>
            </w:r>
          </w:p>
        </w:tc>
        <w:tc>
          <w:tcPr>
            <w:tcW w:w="1595" w:type="dxa"/>
            <w:tcBorders>
              <w:top w:val="nil"/>
              <w:left w:val="nil"/>
              <w:bottom w:val="single" w:sz="8" w:space="0" w:color="auto"/>
            </w:tcBorders>
            <w:shd w:val="clear" w:color="auto" w:fill="auto"/>
          </w:tcPr>
          <w:p w14:paraId="73365ACA" w14:textId="77777777" w:rsidR="009C4E03" w:rsidRPr="008449CF" w:rsidRDefault="009C4E03" w:rsidP="002E5BAE">
            <w:pPr>
              <w:autoSpaceDE w:val="0"/>
              <w:autoSpaceDN w:val="0"/>
              <w:adjustRightInd w:val="0"/>
              <w:snapToGrid w:val="0"/>
              <w:spacing w:before="0" w:after="0" w:line="260" w:lineRule="atLeast"/>
              <w:jc w:val="center"/>
              <w:rPr>
                <w:noProof/>
                <w:szCs w:val="24"/>
              </w:rPr>
            </w:pPr>
            <w:r w:rsidRPr="008449CF">
              <w:rPr>
                <w:noProof/>
                <w:szCs w:val="24"/>
              </w:rPr>
              <w:t>0.05</w:t>
            </w:r>
          </w:p>
        </w:tc>
      </w:tr>
    </w:tbl>
    <w:p w14:paraId="1FAE6478" w14:textId="77777777" w:rsidR="009C4E03" w:rsidRDefault="009C4E03" w:rsidP="009C4E03">
      <w:pPr>
        <w:adjustRightInd w:val="0"/>
        <w:snapToGrid w:val="0"/>
        <w:spacing w:before="240" w:after="120" w:line="228" w:lineRule="auto"/>
        <w:jc w:val="both"/>
        <w:rPr>
          <w:rFonts w:eastAsia="Times New Roman" w:cs="Times New Roman"/>
          <w:color w:val="000000"/>
          <w:szCs w:val="32"/>
          <w:lang w:eastAsia="de-DE" w:bidi="en-US"/>
        </w:rPr>
      </w:pPr>
      <w:r w:rsidRPr="008449CF">
        <w:rPr>
          <w:rFonts w:eastAsia="Times New Roman" w:cs="Times New Roman"/>
          <w:color w:val="000000"/>
          <w:szCs w:val="32"/>
          <w:vertAlign w:val="superscript"/>
          <w:lang w:eastAsia="de-DE" w:bidi="en-US"/>
        </w:rPr>
        <w:t>a</w:t>
      </w:r>
      <w:r w:rsidRPr="008449CF">
        <w:rPr>
          <w:rFonts w:eastAsia="Times New Roman" w:cs="Times New Roman"/>
          <w:color w:val="000000"/>
          <w:szCs w:val="32"/>
          <w:lang w:eastAsia="de-DE" w:bidi="en-US"/>
        </w:rPr>
        <w:t xml:space="preserve"> D</w:t>
      </w:r>
      <w:r w:rsidRPr="008449CF">
        <w:rPr>
          <w:rFonts w:eastAsia="Times New Roman" w:cs="Times New Roman"/>
          <w:color w:val="000000"/>
          <w:szCs w:val="32"/>
          <w:vertAlign w:val="subscript"/>
          <w:lang w:eastAsia="de-DE" w:bidi="en-US"/>
        </w:rPr>
        <w:t>50</w:t>
      </w:r>
      <w:r w:rsidRPr="008449CF">
        <w:rPr>
          <w:rFonts w:eastAsia="Times New Roman" w:cs="Times New Roman"/>
          <w:color w:val="000000"/>
          <w:szCs w:val="32"/>
          <w:lang w:eastAsia="de-DE" w:bidi="en-US"/>
        </w:rPr>
        <w:t>: dose (</w:t>
      </w:r>
      <w:proofErr w:type="spellStart"/>
      <w:r w:rsidRPr="008449CF">
        <w:rPr>
          <w:rFonts w:eastAsia="Times New Roman" w:cs="Times New Roman"/>
          <w:color w:val="000000"/>
          <w:szCs w:val="32"/>
          <w:lang w:eastAsia="de-DE" w:bidi="en-US"/>
        </w:rPr>
        <w:t>Gy</w:t>
      </w:r>
      <w:proofErr w:type="spellEnd"/>
      <w:r w:rsidRPr="008449CF">
        <w:rPr>
          <w:rFonts w:eastAsia="Times New Roman" w:cs="Times New Roman"/>
          <w:color w:val="000000"/>
          <w:szCs w:val="32"/>
          <w:lang w:eastAsia="de-DE" w:bidi="en-US"/>
        </w:rPr>
        <w:t>) required for 50% inactivation of a tumor cell population</w:t>
      </w:r>
      <w:r>
        <w:rPr>
          <w:rFonts w:eastAsia="Times New Roman" w:cs="Times New Roman"/>
          <w:color w:val="000000"/>
          <w:szCs w:val="32"/>
          <w:lang w:eastAsia="de-DE" w:bidi="en-US"/>
        </w:rPr>
        <w:t>.</w:t>
      </w:r>
    </w:p>
    <w:p w14:paraId="0051143B" w14:textId="77777777" w:rsidR="009C4E03" w:rsidRDefault="009C4E03" w:rsidP="009C4E03">
      <w:pPr>
        <w:adjustRightInd w:val="0"/>
        <w:snapToGrid w:val="0"/>
        <w:spacing w:before="240" w:after="120" w:line="228" w:lineRule="auto"/>
        <w:jc w:val="both"/>
        <w:rPr>
          <w:rFonts w:eastAsia="Times New Roman" w:cs="Times New Roman"/>
          <w:color w:val="000000"/>
          <w:szCs w:val="32"/>
          <w:lang w:eastAsia="de-DE" w:bidi="en-US"/>
        </w:rPr>
      </w:pPr>
      <w:r w:rsidRPr="008449CF">
        <w:rPr>
          <w:rFonts w:eastAsia="Times New Roman" w:cs="Times New Roman"/>
          <w:color w:val="000000"/>
          <w:szCs w:val="32"/>
          <w:vertAlign w:val="superscript"/>
          <w:lang w:eastAsia="de-DE" w:bidi="en-US"/>
        </w:rPr>
        <w:t>b</w:t>
      </w:r>
      <w:r w:rsidRPr="008449CF">
        <w:rPr>
          <w:rFonts w:eastAsia="Times New Roman" w:cs="Times New Roman"/>
          <w:color w:val="000000"/>
          <w:szCs w:val="32"/>
          <w:lang w:eastAsia="de-DE" w:bidi="en-US"/>
        </w:rPr>
        <w:t xml:space="preserve"> SER: Sensitizing enhancement ratio = D</w:t>
      </w:r>
      <w:r w:rsidRPr="008449CF">
        <w:rPr>
          <w:rFonts w:eastAsia="Times New Roman" w:cs="Times New Roman"/>
          <w:color w:val="000000"/>
          <w:szCs w:val="32"/>
          <w:vertAlign w:val="subscript"/>
          <w:lang w:eastAsia="de-DE" w:bidi="en-US"/>
        </w:rPr>
        <w:t>50</w:t>
      </w:r>
      <w:r w:rsidRPr="008449CF">
        <w:rPr>
          <w:rFonts w:eastAsia="Times New Roman" w:cs="Times New Roman"/>
          <w:color w:val="000000"/>
          <w:szCs w:val="32"/>
          <w:lang w:eastAsia="de-DE" w:bidi="en-US"/>
        </w:rPr>
        <w:t xml:space="preserve"> (control)/D</w:t>
      </w:r>
      <w:r w:rsidRPr="008449CF">
        <w:rPr>
          <w:rFonts w:eastAsia="Times New Roman" w:cs="Times New Roman"/>
          <w:color w:val="000000"/>
          <w:szCs w:val="32"/>
          <w:vertAlign w:val="subscript"/>
          <w:lang w:eastAsia="de-DE" w:bidi="en-US"/>
        </w:rPr>
        <w:t>50</w:t>
      </w:r>
      <w:r w:rsidRPr="008449CF">
        <w:rPr>
          <w:rFonts w:eastAsia="Times New Roman" w:cs="Times New Roman"/>
          <w:color w:val="000000"/>
          <w:szCs w:val="32"/>
          <w:lang w:eastAsia="de-DE" w:bidi="en-US"/>
        </w:rPr>
        <w:t xml:space="preserve"> (drug treatment). A SER greater than 1.20 indicates a radio-sensitization (indicated in bold).</w:t>
      </w:r>
    </w:p>
    <w:p w14:paraId="4181DD98" w14:textId="77777777" w:rsidR="009C4E03" w:rsidRDefault="009C4E03" w:rsidP="009C4E03">
      <w:pPr>
        <w:adjustRightInd w:val="0"/>
        <w:snapToGrid w:val="0"/>
        <w:spacing w:before="240" w:after="120" w:line="228" w:lineRule="auto"/>
        <w:jc w:val="both"/>
        <w:rPr>
          <w:rFonts w:eastAsia="Times New Roman" w:cs="Times New Roman"/>
          <w:color w:val="000000"/>
          <w:szCs w:val="32"/>
          <w:lang w:eastAsia="de-DE" w:bidi="en-US"/>
        </w:rPr>
      </w:pPr>
      <w:r w:rsidRPr="008449CF">
        <w:rPr>
          <w:rFonts w:eastAsia="Times New Roman" w:cs="Times New Roman"/>
          <w:color w:val="000000"/>
          <w:szCs w:val="32"/>
          <w:vertAlign w:val="superscript"/>
          <w:lang w:eastAsia="de-DE" w:bidi="en-US"/>
        </w:rPr>
        <w:t>c</w:t>
      </w:r>
      <w:r w:rsidRPr="008449CF">
        <w:rPr>
          <w:rFonts w:eastAsia="Times New Roman" w:cs="Times New Roman"/>
          <w:color w:val="000000"/>
          <w:szCs w:val="32"/>
          <w:lang w:eastAsia="de-DE" w:bidi="en-US"/>
        </w:rPr>
        <w:t xml:space="preserve"> α and β values were derived from the linear quadratic equation f= exp(−α*x − β*x</w:t>
      </w:r>
      <w:r w:rsidRPr="008449CF">
        <w:rPr>
          <w:rFonts w:eastAsia="Times New Roman" w:cs="Times New Roman"/>
          <w:color w:val="000000"/>
          <w:szCs w:val="32"/>
          <w:vertAlign w:val="superscript"/>
          <w:lang w:eastAsia="de-DE" w:bidi="en-US"/>
        </w:rPr>
        <w:t>2</w:t>
      </w:r>
      <w:r w:rsidRPr="008449CF">
        <w:rPr>
          <w:rFonts w:eastAsia="Times New Roman" w:cs="Times New Roman"/>
          <w:color w:val="000000"/>
          <w:szCs w:val="32"/>
          <w:lang w:eastAsia="de-DE" w:bidi="en-US"/>
        </w:rPr>
        <w:t xml:space="preserve">). </w:t>
      </w:r>
    </w:p>
    <w:p w14:paraId="2E1EF8F9" w14:textId="77777777" w:rsidR="009C4E03" w:rsidRPr="008449CF" w:rsidRDefault="009C4E03" w:rsidP="009C4E03">
      <w:pPr>
        <w:adjustRightInd w:val="0"/>
        <w:snapToGrid w:val="0"/>
        <w:spacing w:before="240" w:after="120" w:line="228" w:lineRule="auto"/>
        <w:jc w:val="both"/>
        <w:rPr>
          <w:rFonts w:eastAsia="Times New Roman" w:cs="Times New Roman"/>
          <w:color w:val="000000"/>
          <w:szCs w:val="32"/>
          <w:lang w:eastAsia="de-DE" w:bidi="en-US"/>
        </w:rPr>
      </w:pPr>
      <w:proofErr w:type="spellStart"/>
      <w:r w:rsidRPr="008449CF">
        <w:rPr>
          <w:rFonts w:eastAsia="Times New Roman" w:cs="Times New Roman"/>
          <w:color w:val="000000"/>
          <w:szCs w:val="32"/>
          <w:lang w:eastAsia="de-DE" w:bidi="en-US"/>
        </w:rPr>
        <w:t>Dic</w:t>
      </w:r>
      <w:proofErr w:type="spellEnd"/>
      <w:r w:rsidRPr="008449CF">
        <w:rPr>
          <w:rFonts w:eastAsia="Times New Roman" w:cs="Times New Roman"/>
          <w:color w:val="000000"/>
          <w:szCs w:val="32"/>
          <w:lang w:eastAsia="de-DE" w:bidi="en-US"/>
        </w:rPr>
        <w:t>: Diclofenac</w:t>
      </w:r>
    </w:p>
    <w:p w14:paraId="754227C5" w14:textId="4DC6DDCF" w:rsidR="009C4E03" w:rsidRDefault="009C4E03"/>
    <w:p w14:paraId="61382CFB" w14:textId="432290C5" w:rsidR="00181880" w:rsidRDefault="00181880"/>
    <w:p w14:paraId="2018AB83" w14:textId="4B657B49" w:rsidR="00181880" w:rsidRDefault="00181880" w:rsidP="00C3711A">
      <w:pPr>
        <w:spacing w:line="480" w:lineRule="auto"/>
        <w:rPr>
          <w:b/>
          <w:bCs/>
        </w:rPr>
      </w:pPr>
      <w:r w:rsidRPr="00181880">
        <w:rPr>
          <w:b/>
          <w:bCs/>
        </w:rPr>
        <w:t>Supplementary Methods</w:t>
      </w:r>
    </w:p>
    <w:p w14:paraId="71AA0069" w14:textId="77777777" w:rsidR="00181880" w:rsidRDefault="00181880" w:rsidP="00C3711A">
      <w:pPr>
        <w:pStyle w:val="StandardWeb"/>
        <w:spacing w:before="0" w:beforeAutospacing="0" w:after="0" w:afterAutospacing="0" w:line="480" w:lineRule="auto"/>
        <w:rPr>
          <w:rStyle w:val="Fett"/>
          <w:rFonts w:eastAsiaTheme="majorEastAsia"/>
          <w:color w:val="0E101A"/>
        </w:rPr>
      </w:pPr>
      <w:r>
        <w:rPr>
          <w:rStyle w:val="Fett"/>
          <w:rFonts w:eastAsiaTheme="majorEastAsia"/>
          <w:color w:val="0E101A"/>
        </w:rPr>
        <w:t>Pathology Evaluation</w:t>
      </w:r>
    </w:p>
    <w:p w14:paraId="21DEC0B2" w14:textId="77777777" w:rsidR="00181880" w:rsidRDefault="00181880" w:rsidP="00181880">
      <w:pPr>
        <w:pStyle w:val="StandardWeb"/>
        <w:spacing w:before="0" w:beforeAutospacing="0" w:after="0" w:afterAutospacing="0"/>
        <w:rPr>
          <w:rFonts w:eastAsiaTheme="majorEastAsia"/>
        </w:rPr>
      </w:pPr>
    </w:p>
    <w:p w14:paraId="1E220149" w14:textId="37DC95FE" w:rsidR="00181880" w:rsidRDefault="00181880" w:rsidP="00F55A40">
      <w:pPr>
        <w:pStyle w:val="StandardWeb"/>
        <w:spacing w:before="0" w:beforeAutospacing="0" w:after="0" w:afterAutospacing="0" w:line="480" w:lineRule="auto"/>
        <w:jc w:val="both"/>
        <w:rPr>
          <w:rFonts w:eastAsiaTheme="minorHAnsi" w:cstheme="minorBidi"/>
          <w:szCs w:val="22"/>
        </w:rPr>
      </w:pPr>
      <w:r>
        <w:rPr>
          <w:rFonts w:eastAsiaTheme="minorHAnsi" w:cstheme="minorBidi"/>
          <w:szCs w:val="22"/>
        </w:rPr>
        <w:t>An intraperitoneal injection of sodium pentobarbital (800 mg/kg body weight) was used to euthanize the animals 16 days after the LS174T cell injection. An examination of the peritoneal membrane and cavity was performed to detect macroscopic lesions. The main organs, including the stomach, kidneys, liver, intestine, and lungs, were removed and then transferred for formalin fixation and paraffin embedding. Following the preparation of the tissue sections, the staining with hematoxylin &amp; eosin was performed. Careful examination and observation of the prepared slides of the tissue sections were conducted.</w:t>
      </w:r>
    </w:p>
    <w:p w14:paraId="0F378B0C" w14:textId="77777777" w:rsidR="00181880" w:rsidRPr="00181880" w:rsidRDefault="00181880">
      <w:pPr>
        <w:rPr>
          <w:b/>
          <w:bCs/>
        </w:rPr>
      </w:pPr>
    </w:p>
    <w:sectPr w:rsidR="00181880" w:rsidRPr="00181880" w:rsidSect="00F55A40">
      <w:headerReference w:type="even" r:id="rId12"/>
      <w:footerReference w:type="even" r:id="rId13"/>
      <w:footerReference w:type="default" r:id="rId1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FB7C7" w14:textId="77777777" w:rsidR="00701162" w:rsidRDefault="00701162" w:rsidP="009C4E03">
      <w:pPr>
        <w:spacing w:before="0" w:after="0"/>
      </w:pPr>
      <w:r>
        <w:separator/>
      </w:r>
    </w:p>
  </w:endnote>
  <w:endnote w:type="continuationSeparator" w:id="0">
    <w:p w14:paraId="4E2DA704" w14:textId="77777777" w:rsidR="00701162" w:rsidRDefault="00701162" w:rsidP="009C4E0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737B" w14:textId="77777777" w:rsidR="00995F6A" w:rsidRPr="00577C4C" w:rsidRDefault="00000000">
    <w:pPr>
      <w:rPr>
        <w:color w:val="C00000"/>
        <w:szCs w:val="24"/>
      </w:rPr>
    </w:pPr>
    <w:r>
      <w:rPr>
        <w:noProof/>
        <w:lang w:val="en-GB" w:eastAsia="en-GB"/>
      </w:rPr>
      <mc:AlternateContent>
        <mc:Choice Requires="wps">
          <w:drawing>
            <wp:anchor distT="0" distB="0" distL="114300" distR="114300" simplePos="0" relativeHeight="251660288" behindDoc="0" locked="0" layoutInCell="1" allowOverlap="1" wp14:anchorId="1DAC7011" wp14:editId="7B53F9C3">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69F18D1B" w14:textId="77777777" w:rsidR="00995F6A"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AC7011"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69F18D1B" w14:textId="77777777" w:rsidR="00995F6A"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E98F" w14:textId="77777777" w:rsidR="00995F6A" w:rsidRPr="00577C4C" w:rsidRDefault="00000000">
    <w:pPr>
      <w:rPr>
        <w:b/>
        <w:sz w:val="20"/>
        <w:szCs w:val="24"/>
      </w:rPr>
    </w:pPr>
    <w:r>
      <w:rPr>
        <w:noProof/>
        <w:lang w:val="en-GB" w:eastAsia="en-GB"/>
      </w:rPr>
      <mc:AlternateContent>
        <mc:Choice Requires="wps">
          <w:drawing>
            <wp:anchor distT="0" distB="0" distL="114300" distR="114300" simplePos="0" relativeHeight="251659264" behindDoc="0" locked="0" layoutInCell="1" allowOverlap="1" wp14:anchorId="5FA1B9E1" wp14:editId="5A64D94F">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9CB0F2F" w14:textId="77777777" w:rsidR="00995F6A"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FA1B9E1"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29CB0F2F" w14:textId="77777777" w:rsidR="00995F6A"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70821" w14:textId="77777777" w:rsidR="00701162" w:rsidRDefault="00701162" w:rsidP="009C4E03">
      <w:pPr>
        <w:spacing w:before="0" w:after="0"/>
      </w:pPr>
      <w:r>
        <w:separator/>
      </w:r>
    </w:p>
  </w:footnote>
  <w:footnote w:type="continuationSeparator" w:id="0">
    <w:p w14:paraId="26748AF4" w14:textId="77777777" w:rsidR="00701162" w:rsidRDefault="00701162" w:rsidP="009C4E0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7BD2" w14:textId="77777777" w:rsidR="00995F6A" w:rsidRPr="009151AA" w:rsidRDefault="00000000">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03"/>
    <w:rsid w:val="00181880"/>
    <w:rsid w:val="001C505E"/>
    <w:rsid w:val="00265A8F"/>
    <w:rsid w:val="00653518"/>
    <w:rsid w:val="00701162"/>
    <w:rsid w:val="009865E2"/>
    <w:rsid w:val="009C1D7B"/>
    <w:rsid w:val="009C4E03"/>
    <w:rsid w:val="009D1ED1"/>
    <w:rsid w:val="00BC2DBD"/>
    <w:rsid w:val="00C3711A"/>
    <w:rsid w:val="00D73736"/>
    <w:rsid w:val="00E82311"/>
    <w:rsid w:val="00F55A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6278"/>
  <w15:chartTrackingRefBased/>
  <w15:docId w15:val="{3A2FB21F-379D-42C1-A814-F63D3D1D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4E03"/>
    <w:pPr>
      <w:spacing w:before="120" w:after="240" w:line="240" w:lineRule="auto"/>
    </w:pPr>
    <w:rPr>
      <w:rFonts w:ascii="Times New Roman" w:hAnsi="Times New Roman"/>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pplementaryMaterial">
    <w:name w:val="Supplementary Material"/>
    <w:basedOn w:val="Titel"/>
    <w:next w:val="Titel"/>
    <w:qFormat/>
    <w:rsid w:val="009C4E03"/>
    <w:pPr>
      <w:suppressLineNumbers/>
      <w:spacing w:before="240" w:after="120"/>
      <w:contextualSpacing w:val="0"/>
      <w:jc w:val="center"/>
    </w:pPr>
    <w:rPr>
      <w:rFonts w:ascii="Times New Roman" w:eastAsiaTheme="minorHAnsi" w:hAnsi="Times New Roman" w:cs="Times New Roman"/>
      <w:b/>
      <w:i/>
      <w:spacing w:val="0"/>
      <w:kern w:val="0"/>
      <w:sz w:val="32"/>
      <w:szCs w:val="32"/>
    </w:rPr>
  </w:style>
  <w:style w:type="paragraph" w:styleId="Titel">
    <w:name w:val="Title"/>
    <w:basedOn w:val="Standard"/>
    <w:next w:val="Standard"/>
    <w:link w:val="TitelZchn"/>
    <w:uiPriority w:val="10"/>
    <w:qFormat/>
    <w:rsid w:val="009C4E03"/>
    <w:pPr>
      <w:spacing w:before="0"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C4E03"/>
    <w:rPr>
      <w:rFonts w:asciiTheme="majorHAnsi" w:eastAsiaTheme="majorEastAsia" w:hAnsiTheme="majorHAnsi" w:cstheme="majorBidi"/>
      <w:spacing w:val="-10"/>
      <w:kern w:val="28"/>
      <w:sz w:val="56"/>
      <w:szCs w:val="56"/>
      <w:lang w:val="en-US"/>
    </w:rPr>
  </w:style>
  <w:style w:type="paragraph" w:styleId="Kopfzeile">
    <w:name w:val="header"/>
    <w:basedOn w:val="Standard"/>
    <w:link w:val="KopfzeileZchn"/>
    <w:uiPriority w:val="99"/>
    <w:unhideWhenUsed/>
    <w:rsid w:val="009C4E03"/>
    <w:pPr>
      <w:tabs>
        <w:tab w:val="center" w:pos="4536"/>
        <w:tab w:val="right" w:pos="9072"/>
      </w:tabs>
      <w:spacing w:before="0" w:after="0"/>
    </w:pPr>
  </w:style>
  <w:style w:type="character" w:customStyle="1" w:styleId="KopfzeileZchn">
    <w:name w:val="Kopfzeile Zchn"/>
    <w:basedOn w:val="Absatz-Standardschriftart"/>
    <w:link w:val="Kopfzeile"/>
    <w:uiPriority w:val="99"/>
    <w:rsid w:val="009C4E03"/>
    <w:rPr>
      <w:rFonts w:ascii="Times New Roman" w:hAnsi="Times New Roman"/>
      <w:sz w:val="24"/>
      <w:lang w:val="en-US"/>
    </w:rPr>
  </w:style>
  <w:style w:type="paragraph" w:styleId="Fuzeile">
    <w:name w:val="footer"/>
    <w:basedOn w:val="Standard"/>
    <w:link w:val="FuzeileZchn"/>
    <w:uiPriority w:val="99"/>
    <w:unhideWhenUsed/>
    <w:rsid w:val="009C4E03"/>
    <w:pPr>
      <w:tabs>
        <w:tab w:val="center" w:pos="4536"/>
        <w:tab w:val="right" w:pos="9072"/>
      </w:tabs>
      <w:spacing w:before="0" w:after="0"/>
    </w:pPr>
  </w:style>
  <w:style w:type="character" w:customStyle="1" w:styleId="FuzeileZchn">
    <w:name w:val="Fußzeile Zchn"/>
    <w:basedOn w:val="Absatz-Standardschriftart"/>
    <w:link w:val="Fuzeile"/>
    <w:uiPriority w:val="99"/>
    <w:rsid w:val="009C4E03"/>
    <w:rPr>
      <w:rFonts w:ascii="Times New Roman" w:hAnsi="Times New Roman"/>
      <w:sz w:val="24"/>
      <w:lang w:val="en-US"/>
    </w:rPr>
  </w:style>
  <w:style w:type="table" w:customStyle="1" w:styleId="Tabellenraster1">
    <w:name w:val="Tabellenraster1"/>
    <w:basedOn w:val="NormaleTabelle"/>
    <w:next w:val="Tabellenraster"/>
    <w:uiPriority w:val="39"/>
    <w:rsid w:val="009C4E03"/>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9C4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181880"/>
    <w:rPr>
      <w:b/>
      <w:bCs/>
    </w:rPr>
  </w:style>
  <w:style w:type="character" w:styleId="Hervorhebung">
    <w:name w:val="Emphasis"/>
    <w:basedOn w:val="Absatz-Standardschriftart"/>
    <w:uiPriority w:val="20"/>
    <w:qFormat/>
    <w:rsid w:val="00181880"/>
    <w:rPr>
      <w:i/>
      <w:iCs/>
    </w:rPr>
  </w:style>
  <w:style w:type="paragraph" w:styleId="StandardWeb">
    <w:name w:val="Normal (Web)"/>
    <w:basedOn w:val="Standard"/>
    <w:uiPriority w:val="99"/>
    <w:semiHidden/>
    <w:unhideWhenUsed/>
    <w:rsid w:val="00181880"/>
    <w:pPr>
      <w:spacing w:before="100" w:beforeAutospacing="1" w:after="100" w:afterAutospacing="1"/>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93149">
      <w:bodyDiv w:val="1"/>
      <w:marLeft w:val="0"/>
      <w:marRight w:val="0"/>
      <w:marTop w:val="0"/>
      <w:marBottom w:val="0"/>
      <w:divBdr>
        <w:top w:val="none" w:sz="0" w:space="0" w:color="auto"/>
        <w:left w:val="none" w:sz="0" w:space="0" w:color="auto"/>
        <w:bottom w:val="none" w:sz="0" w:space="0" w:color="auto"/>
        <w:right w:val="none" w:sz="0" w:space="0" w:color="auto"/>
      </w:divBdr>
    </w:div>
    <w:div w:id="204047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456</Words>
  <Characters>2874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Melissa Schwab</cp:lastModifiedBy>
  <cp:revision>6</cp:revision>
  <dcterms:created xsi:type="dcterms:W3CDTF">2022-11-30T15:25:00Z</dcterms:created>
  <dcterms:modified xsi:type="dcterms:W3CDTF">2023-03-12T11:09:00Z</dcterms:modified>
</cp:coreProperties>
</file>