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Supplementary Data for</w:t>
      </w:r>
    </w:p>
    <w:p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Mechanistic study of Huangqi Guizhi Wuwu decoction in the treatment of osteoarthritis using a weighted gene co-expression network and molecular docking techniques</w:t>
      </w:r>
    </w:p>
    <w:p>
      <w:pPr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Zhongbo Jiang</w:t>
      </w:r>
      <w:r>
        <w:rPr>
          <w:rFonts w:hint="eastAsia"/>
          <w:sz w:val="24"/>
          <w:szCs w:val="24"/>
          <w:vertAlign w:val="superscript"/>
        </w:rPr>
        <w:t>1</w:t>
      </w:r>
      <w:r>
        <w:rPr>
          <w:rFonts w:hint="eastAsia"/>
          <w:sz w:val="24"/>
          <w:szCs w:val="24"/>
          <w:vertAlign w:val="superscript"/>
          <w:lang w:val="en-US" w:eastAsia="zh-CN"/>
        </w:rPr>
        <w:t>#</w:t>
      </w:r>
      <w:r>
        <w:rPr>
          <w:rFonts w:hint="eastAsia"/>
          <w:sz w:val="24"/>
          <w:szCs w:val="24"/>
          <w:vertAlign w:val="superscript"/>
        </w:rPr>
        <w:t xml:space="preserve"> </w:t>
      </w:r>
      <w:r>
        <w:rPr>
          <w:rFonts w:hint="eastAsia"/>
          <w:sz w:val="24"/>
          <w:szCs w:val="24"/>
        </w:rPr>
        <w:t>Yuli Cai</w:t>
      </w:r>
      <w:r>
        <w:rPr>
          <w:rFonts w:hint="eastAsia"/>
          <w:sz w:val="24"/>
          <w:szCs w:val="24"/>
          <w:vertAlign w:val="superscript"/>
        </w:rPr>
        <w:t>2</w:t>
      </w:r>
      <w:r>
        <w:rPr>
          <w:rFonts w:hint="eastAsia"/>
          <w:sz w:val="24"/>
          <w:szCs w:val="24"/>
          <w:vertAlign w:val="superscript"/>
          <w:lang w:val="en-US" w:eastAsia="zh-CN"/>
        </w:rPr>
        <w:t>#</w:t>
      </w:r>
      <w:r>
        <w:rPr>
          <w:rFonts w:hint="eastAsia"/>
          <w:sz w:val="24"/>
          <w:szCs w:val="24"/>
        </w:rPr>
        <w:t xml:space="preserve"> Weiguo Wang</w:t>
      </w:r>
      <w:r>
        <w:rPr>
          <w:rFonts w:hint="eastAsia"/>
          <w:sz w:val="24"/>
          <w:szCs w:val="24"/>
          <w:vertAlign w:val="superscript"/>
        </w:rPr>
        <w:t>2</w:t>
      </w:r>
      <w:r>
        <w:rPr>
          <w:rFonts w:hint="eastAsia"/>
          <w:sz w:val="24"/>
          <w:szCs w:val="24"/>
          <w:vertAlign w:val="superscript"/>
          <w:lang w:val="en-US" w:eastAsia="zh-CN"/>
        </w:rPr>
        <w:t>#</w:t>
      </w:r>
      <w:r>
        <w:rPr>
          <w:rFonts w:hint="eastAsia"/>
          <w:sz w:val="24"/>
          <w:szCs w:val="24"/>
        </w:rPr>
        <w:t xml:space="preserve"> Wenxue Lv</w:t>
      </w:r>
      <w:r>
        <w:rPr>
          <w:rFonts w:hint="eastAsia"/>
          <w:sz w:val="24"/>
          <w:szCs w:val="24"/>
          <w:vertAlign w:val="superscript"/>
          <w:lang w:val="en-US" w:eastAsia="zh-CN"/>
        </w:rPr>
        <w:t>2</w:t>
      </w:r>
      <w:r>
        <w:rPr>
          <w:rFonts w:hint="eastAsia"/>
          <w:sz w:val="24"/>
          <w:szCs w:val="24"/>
        </w:rPr>
        <w:t>*</w:t>
      </w:r>
    </w:p>
    <w:p>
      <w:pPr>
        <w:jc w:val="left"/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t xml:space="preserve">1) 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</w:rPr>
        <w:t>Zhongbo Jiang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t xml:space="preserve">   E-mail: </w:t>
      </w: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instrText xml:space="preserve"> HYPERLINK "mailto:654491227@qq.com" </w:instrText>
      </w: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spacing w:val="0"/>
          <w:sz w:val="24"/>
          <w:szCs w:val="24"/>
          <w:shd w:val="clear" w:color="auto" w:fill="FFFFFF"/>
          <w:lang w:val="en-US" w:eastAsia="zh-CN"/>
        </w:rPr>
        <w:t>654491227@qq.com</w:t>
      </w: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fldChar w:fldCharType="end"/>
      </w:r>
    </w:p>
    <w:p>
      <w:pPr>
        <w:jc w:val="left"/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t>)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</w:rPr>
        <w:t>Yuli Cai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t xml:space="preserve"> E-mail: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fldChar w:fldCharType="begin"/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instrText xml:space="preserve"> HYPERLINK "mailto:182018314@qq.com" </w:instrTex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fldChar w:fldCharType="separate"/>
      </w:r>
      <w:r>
        <w:rPr>
          <w:rStyle w:val="5"/>
          <w:rFonts w:hint="default" w:ascii="Times New Roman" w:hAnsi="Times New Roman" w:eastAsia="Arial" w:cs="Times New Roman"/>
          <w:i w:val="0"/>
          <w:iCs w:val="0"/>
          <w:caps w:val="0"/>
          <w:spacing w:val="0"/>
          <w:sz w:val="24"/>
          <w:szCs w:val="24"/>
          <w:shd w:val="clear" w:color="auto" w:fill="FFFFFF"/>
        </w:rPr>
        <w:t>182018314@qq.com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fldChar w:fldCharType="end"/>
      </w:r>
    </w:p>
    <w:p>
      <w:pPr>
        <w:jc w:val="left"/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t>3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t>)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</w:rPr>
        <w:t>Weiguo Wang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t xml:space="preserve"> E-mail: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fldChar w:fldCharType="begin"/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instrText xml:space="preserve"> HYPERLINK "mailto:xixi_wwg@hotmail.com" </w:instrTex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fldChar w:fldCharType="separate"/>
      </w:r>
      <w:r>
        <w:rPr>
          <w:rStyle w:val="5"/>
          <w:rFonts w:hint="default" w:ascii="Times New Roman" w:hAnsi="Times New Roman" w:eastAsia="Arial" w:cs="Times New Roman"/>
          <w:i w:val="0"/>
          <w:iCs w:val="0"/>
          <w:caps w:val="0"/>
          <w:spacing w:val="0"/>
          <w:sz w:val="24"/>
          <w:szCs w:val="24"/>
          <w:shd w:val="clear" w:color="auto" w:fill="FFFFFF"/>
        </w:rPr>
        <w:t>xixi_wwg@hotmail.com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fldChar w:fldCharType="end"/>
      </w:r>
    </w:p>
    <w:p>
      <w:pPr>
        <w:jc w:val="left"/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t>)</w:t>
      </w:r>
      <w:r>
        <w:rPr>
          <w:rFonts w:hint="default" w:ascii="Times New Roman" w:hAnsi="Times New Roman" w:eastAsia="Times New Roman" w:cs="Times New Roman"/>
          <w:color w:val="000000"/>
          <w:sz w:val="24"/>
          <w:szCs w:val="24"/>
        </w:rPr>
        <w:t>Wenxue Lu</w:t>
      </w:r>
      <w:r>
        <w:rPr>
          <w:rFonts w:hint="default" w:ascii="Times New Roman" w:hAnsi="Times New Roman" w:cs="Times New Roman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</w:rPr>
        <w:t> E-mail:</w:t>
      </w: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t>lvwenxue@163.com</w:t>
      </w:r>
    </w:p>
    <w:p>
      <w:pPr>
        <w:jc w:val="left"/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t>*</w:t>
      </w: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tab/>
      </w: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t xml:space="preserve">Correspondence: </w:t>
      </w: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instrText xml:space="preserve"> HYPERLINK "mailto:lvwenxue@163.com;(Tel" </w:instrText>
      </w: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fldChar w:fldCharType="separate"/>
      </w:r>
      <w:r>
        <w:rPr>
          <w:rStyle w:val="5"/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t>lvwenxue@163.com</w:t>
      </w:r>
      <w:r>
        <w:rPr>
          <w:rStyle w:val="5"/>
          <w:rFonts w:hint="eastAsia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t>; (Tel</w:t>
      </w:r>
      <w:r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fldChar w:fldCharType="end"/>
      </w:r>
      <w:r>
        <w:rPr>
          <w:rFonts w:hint="eastAsia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t>:8613012990997)</w:t>
      </w:r>
    </w:p>
    <w:p>
      <w:pPr>
        <w:jc w:val="left"/>
        <w:rPr>
          <w:rFonts w:hint="default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hAnsi="Times New Roman" w:cs="Times New Roman"/>
          <w:i w:val="0"/>
          <w:iCs w:val="0"/>
          <w:caps w:val="0"/>
          <w:color w:val="4D4D4D"/>
          <w:spacing w:val="0"/>
          <w:sz w:val="24"/>
          <w:szCs w:val="24"/>
          <w:shd w:val="clear" w:color="auto" w:fill="FFFFFF"/>
          <w:lang w:val="en-US" w:eastAsia="zh-CN"/>
        </w:rPr>
        <w:t># Zhongbo Jiang and Yuli Cai contributed equally to this article and are joint first authors.</w:t>
      </w: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  <w:r>
        <w:rPr>
          <w:rFonts w:hint="eastAsia"/>
        </w:rPr>
        <w:t>Table 1</w:t>
      </w:r>
      <w:r>
        <w:rPr>
          <w:rFonts w:hint="eastAsia"/>
          <w:lang w:val="en-US" w:eastAsia="zh-CN"/>
        </w:rPr>
        <w:t xml:space="preserve"> ：Clinical characteristics of samples in GEO dataset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Times New Roman"/>
                <w:color w:val="auto"/>
                <w:sz w:val="22"/>
                <w:szCs w:val="22"/>
              </w:rPr>
              <w:t xml:space="preserve"> Dataset</w:t>
            </w:r>
          </w:p>
        </w:tc>
        <w:tc>
          <w:tcPr>
            <w:tcW w:w="1704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Times New Roman"/>
                <w:color w:val="auto"/>
                <w:sz w:val="22"/>
                <w:szCs w:val="22"/>
              </w:rPr>
              <w:t xml:space="preserve"> Platform</w:t>
            </w:r>
          </w:p>
        </w:tc>
        <w:tc>
          <w:tcPr>
            <w:tcW w:w="1704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Times New Roman"/>
                <w:color w:val="auto"/>
                <w:sz w:val="22"/>
                <w:szCs w:val="22"/>
              </w:rPr>
              <w:t xml:space="preserve"> Control group</w:t>
            </w:r>
          </w:p>
        </w:tc>
        <w:tc>
          <w:tcPr>
            <w:tcW w:w="1705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Times New Roman"/>
                <w:color w:val="auto"/>
                <w:sz w:val="22"/>
                <w:szCs w:val="22"/>
              </w:rPr>
              <w:t xml:space="preserve"> OA group</w:t>
            </w:r>
          </w:p>
        </w:tc>
        <w:tc>
          <w:tcPr>
            <w:tcW w:w="1705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Times New Roman"/>
                <w:color w:val="auto"/>
                <w:sz w:val="22"/>
                <w:szCs w:val="22"/>
              </w:rPr>
              <w:t xml:space="preserve"> Tissue type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GSE55235</w:t>
            </w:r>
          </w:p>
        </w:tc>
        <w:tc>
          <w:tcPr>
            <w:tcW w:w="1704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GPL96</w:t>
            </w:r>
          </w:p>
        </w:tc>
        <w:tc>
          <w:tcPr>
            <w:tcW w:w="1704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1705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1705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Times New Roman"/>
                <w:color w:val="auto"/>
                <w:sz w:val="22"/>
                <w:szCs w:val="22"/>
              </w:rPr>
              <w:t xml:space="preserve"> synovial tissue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GSE206848</w:t>
            </w:r>
          </w:p>
        </w:tc>
        <w:tc>
          <w:tcPr>
            <w:tcW w:w="1704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GPL570</w:t>
            </w:r>
          </w:p>
        </w:tc>
        <w:tc>
          <w:tcPr>
            <w:tcW w:w="1704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7</w:t>
            </w:r>
          </w:p>
        </w:tc>
        <w:tc>
          <w:tcPr>
            <w:tcW w:w="1705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7</w:t>
            </w:r>
          </w:p>
        </w:tc>
        <w:tc>
          <w:tcPr>
            <w:tcW w:w="1705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Times New Roman"/>
                <w:color w:val="auto"/>
                <w:sz w:val="22"/>
                <w:szCs w:val="22"/>
              </w:rPr>
              <w:t xml:space="preserve"> synovial tissue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GSE55457</w:t>
            </w:r>
          </w:p>
        </w:tc>
        <w:tc>
          <w:tcPr>
            <w:tcW w:w="1704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GPL91</w:t>
            </w:r>
          </w:p>
        </w:tc>
        <w:tc>
          <w:tcPr>
            <w:tcW w:w="1704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1705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/>
                <w:color w:val="auto"/>
                <w:sz w:val="22"/>
                <w:szCs w:val="22"/>
              </w:rPr>
              <w:t>10</w:t>
            </w:r>
          </w:p>
        </w:tc>
        <w:tc>
          <w:tcPr>
            <w:tcW w:w="1705" w:type="dxa"/>
            <w:tcBorders>
              <w:tl2br w:val="nil"/>
              <w:tr2bl w:val="nil"/>
            </w:tcBorders>
          </w:tcPr>
          <w:p>
            <w:pPr>
              <w:widowControl/>
              <w:kinsoku w:val="0"/>
              <w:rPr>
                <w:rFonts w:ascii="Times New Roman" w:hAnsi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eastAsia="Times New Roman"/>
                <w:color w:val="auto"/>
                <w:sz w:val="22"/>
                <w:szCs w:val="22"/>
              </w:rPr>
              <w:t xml:space="preserve"> synovial tissue</w:t>
            </w:r>
          </w:p>
        </w:tc>
      </w:tr>
    </w:tbl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  <w:r>
        <w:rPr>
          <w:rFonts w:hint="eastAsia"/>
        </w:rPr>
        <w:t>Figure 1</w:t>
      </w:r>
      <w:r>
        <w:rPr>
          <w:rFonts w:hint="eastAsia"/>
          <w:lang w:eastAsia="zh-CN"/>
        </w:rPr>
        <w:t>：</w:t>
      </w:r>
      <w:r>
        <w:rPr>
          <w:rFonts w:hint="eastAsia"/>
        </w:rPr>
        <w:t>Normalization of datasets</w:t>
      </w:r>
    </w:p>
    <w:p>
      <w:pPr>
        <w:jc w:val="left"/>
        <w:rPr>
          <w:rFonts w:hint="eastAsia"/>
        </w:rPr>
      </w:pPr>
    </w:p>
    <w:p>
      <w:pPr>
        <w:kinsoku w:val="0"/>
        <w:jc w:val="center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lang w:val="en-US" w:eastAsia="zh-CN"/>
        </w:rPr>
        <w:drawing>
          <wp:inline distT="0" distB="0" distL="114300" distR="114300">
            <wp:extent cx="3568065" cy="1667510"/>
            <wp:effectExtent l="0" t="0" r="13335" b="8890"/>
            <wp:docPr id="2" name="图片 2" descr="5fda7315-5e69-4e47-b64d-506965565735.WGCNA_dataCheck_00(1)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fda7315-5e69-4e47-b64d-506965565735.WGCNA_dataCheck_00(1)-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68065" cy="1667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3567430" cy="1666875"/>
            <wp:effectExtent l="0" t="0" r="13970" b="9525"/>
            <wp:docPr id="5" name="图片 5" descr="55457_00-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5457_00-0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6743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insoku w:val="0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</w:p>
    <w:p>
      <w:pPr>
        <w:kinsoku w:val="0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</w:p>
    <w:p>
      <w:pPr>
        <w:kinsoku w:val="0"/>
        <w:jc w:val="center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</w:p>
    <w:p>
      <w:pPr>
        <w:jc w:val="center"/>
        <w:rPr>
          <w:rFonts w:hint="eastAsia"/>
        </w:rPr>
      </w:pPr>
      <w:r>
        <w:rPr>
          <w:rFonts w:hint="eastAsia"/>
        </w:rPr>
        <w:t>Figure 2 Screening for DEGs in the merged dataset (heatmap showing the top 20 genes)</w:t>
      </w:r>
    </w:p>
    <w:p>
      <w:pPr>
        <w:kinsoku w:val="0"/>
        <w:jc w:val="both"/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</w:pPr>
    </w:p>
    <w:p>
      <w:pPr>
        <w:kinsoku w:val="0"/>
        <w:jc w:val="center"/>
        <w:rPr>
          <w:rFonts w:ascii="Times New Roman" w:hAnsi="Times New Roman"/>
          <w:color w:val="auto"/>
          <w:kern w:val="0"/>
          <w:sz w:val="22"/>
          <w:szCs w:val="22"/>
          <w:lang w:bidi="ar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330575" cy="1931670"/>
            <wp:effectExtent l="0" t="0" r="6985" b="3810"/>
            <wp:docPr id="8" name="图片 8" descr="21d135eb-7f74-4357-b5ad-3461ed5b1973.volcano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1d135eb-7f74-4357-b5ad-3461ed5b1973.volcano_00"/>
                    <pic:cNvPicPr>
                      <a:picLocks noChangeAspect="1"/>
                    </pic:cNvPicPr>
                  </pic:nvPicPr>
                  <pic:blipFill>
                    <a:blip r:embed="rId6"/>
                    <a:srcRect l="-3923"/>
                    <a:stretch>
                      <a:fillRect/>
                    </a:stretch>
                  </pic:blipFill>
                  <pic:spPr>
                    <a:xfrm>
                      <a:off x="0" y="0"/>
                      <a:ext cx="3330575" cy="193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insoku w:val="0"/>
        <w:jc w:val="center"/>
        <w:rPr>
          <w:rFonts w:hint="eastAsia" w:ascii="Times New Roman" w:hAnsi="Times New Roman" w:eastAsiaTheme="minorEastAsia"/>
          <w:color w:val="auto"/>
          <w:sz w:val="22"/>
          <w:szCs w:val="22"/>
          <w:lang w:eastAsia="zh-CN"/>
        </w:rPr>
      </w:pPr>
      <w:r>
        <w:rPr>
          <w:rFonts w:hint="eastAsia" w:ascii="Times New Roman" w:hAnsi="Times New Roman" w:eastAsiaTheme="minorEastAsia"/>
          <w:color w:val="auto"/>
          <w:sz w:val="22"/>
          <w:szCs w:val="22"/>
          <w:lang w:eastAsia="zh-CN"/>
        </w:rPr>
        <w:drawing>
          <wp:inline distT="0" distB="0" distL="114300" distR="114300">
            <wp:extent cx="5269865" cy="6285865"/>
            <wp:effectExtent l="0" t="0" r="3175" b="8255"/>
            <wp:docPr id="1" name="图片 1" descr="e499acdda0361c46fccf31f98b7ca95d_00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499acdda0361c46fccf31f98b7ca95d_00-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628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insoku w:val="0"/>
        <w:jc w:val="both"/>
        <w:rPr>
          <w:rFonts w:ascii="Times New Roman" w:hAnsi="Times New Roman"/>
          <w:color w:val="auto"/>
          <w:sz w:val="22"/>
          <w:szCs w:val="22"/>
        </w:rPr>
      </w:pPr>
    </w:p>
    <w:p>
      <w:pPr>
        <w:jc w:val="left"/>
        <w:rPr>
          <w:rFonts w:hint="eastAsia"/>
        </w:rPr>
      </w:pPr>
      <w:r>
        <w:rPr>
          <w:rFonts w:hint="eastAsia"/>
        </w:rPr>
        <w:t>Figure 3 WGCNA of the merged dataset</w:t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327775"/>
            <wp:effectExtent l="0" t="0" r="14605" b="12065"/>
            <wp:docPr id="3" name="图片 3" descr="4b601ee8-a33e-4951-8b75-a244dbc796bf.WGCNA_softpower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b601ee8-a33e-4951-8b75-a244dbc796bf.WGCNA_softpower-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32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insoku w:val="0"/>
        <w:jc w:val="both"/>
        <w:rPr>
          <w:rFonts w:hint="eastAsia" w:ascii="Times New Roman" w:hAnsi="Times New Roman"/>
          <w:color w:val="auto"/>
          <w:sz w:val="22"/>
          <w:szCs w:val="22"/>
          <w:lang w:val="en-US" w:eastAsia="zh-CN"/>
        </w:rPr>
      </w:pPr>
    </w:p>
    <w:p>
      <w:pPr>
        <w:jc w:val="left"/>
        <w:rPr>
          <w:rFonts w:hint="eastAsia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37155"/>
            <wp:effectExtent l="0" t="0" r="13970" b="14605"/>
            <wp:docPr id="4" name="图片 4" descr="99edf8b9-5711-4fe9-b9a4-40a40bbface7.WGCNA_module_generation_plo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99edf8b9-5711-4fe9-b9a4-40a40bbface7.WGCNA_module_generation_plot_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69765" cy="5276215"/>
            <wp:effectExtent l="0" t="0" r="10795" b="12065"/>
            <wp:docPr id="6" name="图片 6" descr="4b601ee8-a33e-4951-8b75-a244dbc796bf.WGCNA_moduleTraitHeatmap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b601ee8-a33e-4951-8b75-a244dbc796bf.WGCNA_moduleTraitHeatmap-0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69765" cy="5276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5274310"/>
            <wp:effectExtent l="0" t="0" r="13970" b="13970"/>
            <wp:docPr id="7" name="图片 7" descr="4b601ee8-a33e-4951-8b75-a244dbc796bf.WGCNA_sampleClusterDetectOutlier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b601ee8-a33e-4951-8b75-a244dbc796bf.WGCNA_sampleClusterDetectOutlier_0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left"/>
        <w:rPr>
          <w:rFonts w:hint="eastAsia"/>
        </w:rPr>
      </w:pPr>
      <w:r>
        <w:rPr>
          <w:rFonts w:hint="eastAsia"/>
        </w:rPr>
        <w:t>Figure 4 PPI network construction</w:t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129405" cy="3070225"/>
            <wp:effectExtent l="0" t="0" r="635" b="8255"/>
            <wp:docPr id="9" name="图片 9" descr="ex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xport"/>
                    <pic:cNvPicPr>
                      <a:picLocks noChangeAspect="1"/>
                    </pic:cNvPicPr>
                  </pic:nvPicPr>
                  <pic:blipFill>
                    <a:blip r:embed="rId12"/>
                    <a:srcRect l="10611" t="17897" r="11068" b="23871"/>
                    <a:stretch>
                      <a:fillRect/>
                    </a:stretch>
                  </pic:blipFill>
                  <pic:spPr>
                    <a:xfrm>
                      <a:off x="0" y="0"/>
                      <a:ext cx="4129405" cy="307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5194300"/>
            <wp:effectExtent l="0" t="0" r="7620" b="2540"/>
            <wp:docPr id="10" name="图片 10" descr="string_interactions_short.ts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tring_interactions_short.tsv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519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</w:rPr>
      </w:pPr>
      <w:r>
        <w:rPr>
          <w:rFonts w:hint="eastAsia"/>
        </w:rPr>
        <w:t>Figure 5 "Drug-Active Ingredient-Related Target" network diagram</w:t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2799715"/>
            <wp:effectExtent l="0" t="0" r="0" b="4445"/>
            <wp:docPr id="11" name="图片 11" descr="Sheet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Sheet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79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</w:p>
    <w:p>
      <w:pPr>
        <w:jc w:val="left"/>
        <w:rPr>
          <w:rFonts w:hint="eastAsia"/>
        </w:rPr>
      </w:pPr>
      <w:r>
        <w:rPr>
          <w:rFonts w:hint="eastAsia"/>
        </w:rPr>
        <w:t>Figure 6 Screening of hub genes of OA affected by HGWWD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79265" cy="4279265"/>
            <wp:effectExtent l="0" t="0" r="3175" b="3175"/>
            <wp:docPr id="12" name="图片 12" descr="expo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export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79265" cy="427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2560" cy="5431155"/>
            <wp:effectExtent l="0" t="0" r="0" b="9525"/>
            <wp:docPr id="13" name="图片 13" descr="string_interactions_short.ts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tring_interactions_short.tsv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42560" cy="5431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</w:rPr>
      </w:pPr>
      <w:r>
        <w:rPr>
          <w:rFonts w:hint="eastAsia"/>
        </w:rPr>
        <w:t>Figure 7 Enrichment analysis of common genes</w:t>
      </w:r>
    </w:p>
    <w:p>
      <w:pPr>
        <w:jc w:val="left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510280" cy="3510280"/>
            <wp:effectExtent l="0" t="0" r="10160" b="10160"/>
            <wp:docPr id="14" name="图片 14" descr="ad4d36df0b7a75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ad4d36df0b7a75ab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10280" cy="351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386455" cy="3228975"/>
            <wp:effectExtent l="0" t="0" r="12065" b="1905"/>
            <wp:docPr id="15" name="图片 15" descr="60902c64275b3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60902c64275b306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86455" cy="322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</w:rPr>
      </w:pPr>
      <w:r>
        <w:rPr>
          <w:rFonts w:hint="eastAsia"/>
        </w:rPr>
        <w:t>Figure 8 Diagnostic value of hub genes in the GSE55457 dataset for OA</w:t>
      </w:r>
    </w:p>
    <w:p>
      <w:pPr>
        <w:jc w:val="center"/>
        <w:rPr>
          <w:rFonts w:hint="default" w:ascii="Times New Roman" w:hAnsi="Times New Roman" w:eastAsia="宋体" w:cs="Times New Roman"/>
          <w:color w:val="auto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0"/>
          <w:szCs w:val="20"/>
          <w:lang w:val="en-US" w:eastAsia="zh-CN" w:bidi="ar"/>
        </w:rPr>
        <w:drawing>
          <wp:inline distT="0" distB="0" distL="114300" distR="114300">
            <wp:extent cx="2948940" cy="2948940"/>
            <wp:effectExtent l="0" t="0" r="7620" b="7620"/>
            <wp:docPr id="27" name="图片 27" descr="a57c80349db376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a57c80349db3762d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48940" cy="294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</w:rPr>
      </w:pPr>
    </w:p>
    <w:p>
      <w:pPr>
        <w:jc w:val="both"/>
        <w:rPr>
          <w:rFonts w:hint="eastAsia"/>
        </w:rPr>
      </w:pPr>
    </w:p>
    <w:p>
      <w:pPr>
        <w:jc w:val="both"/>
        <w:rPr>
          <w:rFonts w:hint="default" w:ascii="Times New Roman" w:hAnsi="Times New Roman" w:eastAsia="宋体" w:cs="Times New Roman"/>
          <w:color w:val="auto"/>
          <w:kern w:val="0"/>
          <w:sz w:val="20"/>
          <w:szCs w:val="20"/>
          <w:lang w:val="en-US" w:eastAsia="zh-CN" w:bidi="ar"/>
        </w:rPr>
      </w:pPr>
      <w:r>
        <w:rPr>
          <w:rFonts w:hint="eastAsia"/>
        </w:rPr>
        <w:t>Figure 9 The expression differences in hub genes between the control and OA groups</w:t>
      </w:r>
    </w:p>
    <w:p>
      <w:pPr>
        <w:jc w:val="both"/>
        <w:rPr>
          <w:rFonts w:hint="default" w:ascii="Times New Roman" w:hAnsi="Times New Roman" w:eastAsia="宋体" w:cs="Times New Roman"/>
          <w:color w:val="auto"/>
          <w:kern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auto"/>
          <w:kern w:val="0"/>
          <w:sz w:val="20"/>
          <w:szCs w:val="20"/>
          <w:lang w:val="en-US" w:eastAsia="zh-CN" w:bidi="ar"/>
        </w:rPr>
        <w:drawing>
          <wp:inline distT="0" distB="0" distL="114300" distR="114300">
            <wp:extent cx="5269865" cy="1882140"/>
            <wp:effectExtent l="0" t="0" r="3175" b="7620"/>
            <wp:docPr id="28" name="图片 28" descr="e6c7d45fbf71389206b9834fdf6c623c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e6c7d45fbf71389206b9834fdf6c623c_0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88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ascii="Times New Roman" w:hAnsi="Times New Roman" w:eastAsia="宋体" w:cs="Times New Roman"/>
          <w:color w:val="auto"/>
          <w:kern w:val="0"/>
          <w:sz w:val="20"/>
          <w:szCs w:val="20"/>
          <w:lang w:val="en-US" w:eastAsia="zh-CN" w:bidi="ar"/>
        </w:rPr>
      </w:pPr>
    </w:p>
    <w:p>
      <w:pPr>
        <w:jc w:val="left"/>
        <w:rPr>
          <w:rFonts w:hint="eastAsia"/>
        </w:rPr>
      </w:pPr>
      <w:r>
        <w:rPr>
          <w:rFonts w:hint="eastAsia"/>
        </w:rPr>
        <w:t xml:space="preserve">Figure 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 xml:space="preserve"> Diagram of molecular docking</w:t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16" name="图片 16" descr="演示文稿1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演示文稿1_0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Times New Roman" w:hAnsi="Times New Roman" w:eastAsia="宋体" w:cs="Times New Roman"/>
          <w:color w:val="auto"/>
          <w:kern w:val="0"/>
          <w:sz w:val="20"/>
          <w:szCs w:val="20"/>
          <w:lang w:val="en-US" w:eastAsia="zh-CN" w:bidi="ar"/>
        </w:rPr>
      </w:pPr>
    </w:p>
    <w:p>
      <w:pPr>
        <w:jc w:val="both"/>
        <w:rPr>
          <w:rFonts w:hint="eastAsia" w:eastAsiaTheme="minorEastAsia"/>
          <w:lang w:eastAsia="zh-CN"/>
        </w:rPr>
      </w:pPr>
    </w:p>
    <w:p>
      <w:pPr>
        <w:jc w:val="left"/>
        <w:rPr>
          <w:rFonts w:hint="eastAsia" w:eastAsiaTheme="minorEastAsia"/>
          <w:lang w:eastAsia="zh-CN"/>
        </w:rPr>
      </w:pPr>
    </w:p>
    <w:p>
      <w:pPr>
        <w:jc w:val="left"/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xMjk2ODliMTZiYjNlYTg1N2FiNTgyOTNkM2Q5NjUifQ=="/>
  </w:docVars>
  <w:rsids>
    <w:rsidRoot w:val="18A76760"/>
    <w:rsid w:val="18A76760"/>
    <w:rsid w:val="68D03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image" Target="media/image18.tiff"/><Relationship Id="rId20" Type="http://schemas.openxmlformats.org/officeDocument/2006/relationships/image" Target="media/image17.tiff"/><Relationship Id="rId2" Type="http://schemas.openxmlformats.org/officeDocument/2006/relationships/settings" Target="settings.xml"/><Relationship Id="rId19" Type="http://schemas.openxmlformats.org/officeDocument/2006/relationships/image" Target="media/image16.tiff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477</Characters>
  <Lines>0</Lines>
  <Paragraphs>0</Paragraphs>
  <TotalTime>1</TotalTime>
  <ScaleCrop>false</ScaleCrop>
  <LinksUpToDate>false</LinksUpToDate>
  <CharactersWithSpaces>543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2023-03-26T13:48:00Z</dcterms:created>
  <dc:creator>新的吕途</dc:creator>
  <cp:lastModifiedBy>新的吕途</cp:lastModifiedBy>
  <dcterms:modified xsi:type="dcterms:W3CDTF">2023-03-26T14:43:56Z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EE30EDA6C0BD429EB90D7A7118C1833A</vt:lpwstr>
  </property>
</Properties>
</file>