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70" w:rsidRPr="00A46569" w:rsidRDefault="00A13170" w:rsidP="00A13170">
      <w:pPr>
        <w:spacing w:line="480" w:lineRule="auto"/>
        <w:ind w:left="0" w:hanging="2"/>
        <w:jc w:val="both"/>
        <w:rPr>
          <w:b/>
          <w:bCs/>
          <w:color w:val="000000"/>
        </w:rPr>
      </w:pPr>
      <w:proofErr w:type="gramStart"/>
      <w:r w:rsidRPr="00A46569">
        <w:rPr>
          <w:b/>
          <w:bCs/>
          <w:color w:val="000000"/>
        </w:rPr>
        <w:t>Supplementary Table 1</w:t>
      </w:r>
      <w:r w:rsidRPr="00E06E27">
        <w:rPr>
          <w:b/>
          <w:bCs/>
          <w:color w:val="000000"/>
        </w:rPr>
        <w:t>.</w:t>
      </w:r>
      <w:proofErr w:type="gramEnd"/>
      <w:r w:rsidRPr="00E06E27">
        <w:rPr>
          <w:b/>
          <w:bCs/>
          <w:color w:val="000000"/>
        </w:rPr>
        <w:t xml:space="preserve"> Distribution and results recorded in </w:t>
      </w:r>
      <w:r>
        <w:rPr>
          <w:b/>
          <w:bCs/>
          <w:color w:val="000000"/>
        </w:rPr>
        <w:t xml:space="preserve">the </w:t>
      </w:r>
      <w:r w:rsidRPr="00E06E27">
        <w:rPr>
          <w:b/>
          <w:bCs/>
          <w:color w:val="000000"/>
        </w:rPr>
        <w:t xml:space="preserve">articles used </w:t>
      </w:r>
      <w:r>
        <w:rPr>
          <w:b/>
          <w:bCs/>
          <w:color w:val="000000"/>
        </w:rPr>
        <w:t>for this study</w:t>
      </w:r>
    </w:p>
    <w:tbl>
      <w:tblPr>
        <w:tblW w:w="1414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728"/>
        <w:gridCol w:w="1280"/>
        <w:gridCol w:w="1764"/>
        <w:gridCol w:w="9376"/>
      </w:tblGrid>
      <w:tr w:rsidR="00A13170" w:rsidTr="00A13170">
        <w:trPr>
          <w:trHeight w:val="548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</w:tcBorders>
          </w:tcPr>
          <w:p w:rsidR="00A13170" w:rsidRDefault="00A13170" w:rsidP="00A13170">
            <w:pPr>
              <w:spacing w:after="0"/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Author 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</w:tcPr>
          <w:p w:rsidR="00A13170" w:rsidRDefault="00A13170" w:rsidP="00A13170">
            <w:pPr>
              <w:spacing w:after="0"/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Year of publication</w:t>
            </w:r>
          </w:p>
        </w:tc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A13170" w:rsidRDefault="00A13170" w:rsidP="00A13170">
            <w:pPr>
              <w:spacing w:after="0"/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Location</w:t>
            </w:r>
          </w:p>
        </w:tc>
        <w:tc>
          <w:tcPr>
            <w:tcW w:w="9376" w:type="dxa"/>
            <w:tcBorders>
              <w:top w:val="single" w:sz="4" w:space="0" w:color="000000"/>
              <w:bottom w:val="single" w:sz="4" w:space="0" w:color="000000"/>
            </w:tcBorders>
          </w:tcPr>
          <w:p w:rsidR="00A13170" w:rsidRDefault="00A13170" w:rsidP="00A13170">
            <w:pPr>
              <w:spacing w:after="0"/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Results obtained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  <w:tcBorders>
              <w:top w:val="single" w:sz="4" w:space="0" w:color="000000"/>
            </w:tcBorders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(77)</w:t>
            </w:r>
          </w:p>
        </w:tc>
        <w:tc>
          <w:tcPr>
            <w:tcW w:w="1280" w:type="dxa"/>
            <w:tcBorders>
              <w:top w:val="single" w:sz="4" w:space="0" w:color="000000"/>
            </w:tcBorders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1972</w:t>
            </w:r>
          </w:p>
        </w:tc>
        <w:tc>
          <w:tcPr>
            <w:tcW w:w="1764" w:type="dxa"/>
            <w:tcBorders>
              <w:top w:val="single" w:sz="4" w:space="0" w:color="000000"/>
            </w:tcBorders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  <w:tcBorders>
              <w:top w:val="single" w:sz="4" w:space="0" w:color="000000"/>
            </w:tcBorders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Antibodies of 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variola-vaccinia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group of poxviruses were discovered in monkeys and apes. In a chimpanzee, anti-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haemagglutinins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were found in a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titre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of 1:1280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(98)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1975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Dahomey</w:t>
            </w:r>
            <w:proofErr w:type="spellEnd"/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Isolation of a poxvirus from a wild gerbil (</w:t>
            </w:r>
            <w:proofErr w:type="spellStart"/>
            <w:r>
              <w:rPr>
                <w:rFonts w:cs="Times New Roman"/>
                <w:i/>
                <w:color w:val="000000"/>
                <w:sz w:val="22"/>
              </w:rPr>
              <w:t>Tatera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i/>
                <w:color w:val="000000"/>
                <w:sz w:val="22"/>
              </w:rPr>
              <w:t>kempii</w:t>
            </w:r>
            <w:proofErr w:type="spellEnd"/>
            <w:r>
              <w:rPr>
                <w:rFonts w:cs="Times New Roman"/>
                <w:color w:val="000000"/>
                <w:sz w:val="22"/>
              </w:rPr>
              <w:t>) during an epidemic of human smallpox.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(6)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1977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Ivory coast, Mali, and Upper Volta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Of the 195 non-human primates of 10 species tested in 27 different sampling zones in parts of the Ivory Coast, Mali, and Upper Volta:</w:t>
            </w:r>
          </w:p>
          <w:p w:rsidR="00A13170" w:rsidRDefault="00A13170" w:rsidP="00A1317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15 (8%) had elevated HI antibodies after nonspecific reactions were reduced with potassium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periodate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pretreatment. </w:t>
            </w:r>
          </w:p>
          <w:p w:rsidR="00A13170" w:rsidRDefault="00A13170" w:rsidP="00A13170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gramStart"/>
            <w:r>
              <w:rPr>
                <w:rFonts w:cs="Times New Roman"/>
                <w:color w:val="000000"/>
                <w:sz w:val="22"/>
              </w:rPr>
              <w:t>antibodies</w:t>
            </w:r>
            <w:proofErr w:type="gramEnd"/>
            <w:r>
              <w:rPr>
                <w:rFonts w:cs="Times New Roman"/>
                <w:color w:val="000000"/>
                <w:sz w:val="22"/>
              </w:rPr>
              <w:t xml:space="preserve"> were found in 21% (44 of 206). Antibodies were detected in serum from monkeys living near two areas where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cases in humans had occurred.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Three of four samples were tested for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specific antibodies using an indirect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immunofluorescent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test, 3 were positive.</w:t>
            </w:r>
          </w:p>
        </w:tc>
      </w:tr>
      <w:tr w:rsidR="00A13170" w:rsidTr="00A13170">
        <w:trPr>
          <w:trHeight w:val="575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(119)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1985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West and Central Africa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155 cases reported from 1970 to 1983 in West and Central Africa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1986a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Zaire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In 2,510 contacts of 214 patients with 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infection in Zaire from 1980 to 1984:</w:t>
            </w:r>
          </w:p>
          <w:p w:rsidR="00A13170" w:rsidRDefault="00A13170" w:rsidP="00A1317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14 additional persons with no clinical signs of the disease were positive at serology.</w:t>
            </w:r>
          </w:p>
          <w:p w:rsidR="00A13170" w:rsidRDefault="00A13170" w:rsidP="00A1317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Clinical and subclinical cases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were mostly found in children &lt;10 years of age.</w:t>
            </w:r>
          </w:p>
          <w:p w:rsidR="00A13170" w:rsidRDefault="00A13170" w:rsidP="00A1317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16 overt cases occurred in contacts who had been vaccinated.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The overall attack rate was higher in contacts without a vaccination scar (7.2) than those previously vaccinated (0.9%).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1986b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Zaire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Five cases of person-to-person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 children from two families in Zaire between May and July 1983 during an outbreak.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is the most important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orthopoxvirus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infection in the post-smallpox eradication period.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lastRenderedPageBreak/>
              <w:t>(85)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1987a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There </w:t>
            </w:r>
            <w:sdt>
              <w:sdtPr>
                <w:tag w:val="goog_rdk_78"/>
                <w:id w:val="-1359804050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were 215</w:t>
                </w:r>
              </w:sdtContent>
            </w:sdt>
            <w:sdt>
              <w:sdtPr>
                <w:tag w:val="goog_rdk_79"/>
                <w:id w:val="451219346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cases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infection in Zaire from 1980 to 1984.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 stochastic model showed an increasing level of new secondary cases in the total absence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vaccinia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-induced Immunity. 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No "explosive" epidemic was simulated.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The model showed a reducing number of cases in consecutive generations and eventual cessation of transmission.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1987b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Zaire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clinical presentation of 282 human cases was similar to that of smallpox. 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Lymphadenopathy observed at stage of infection was the major sign used to differentiate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from smallpox and chickenpox. 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Symptoms, signs, and the course of the disease differ among vaccinated (against smallpox) and unvaccinated patients.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Pleomorphism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and "cropping" similar to that in chickenpox occurred in 31% of vaccinated and 18% of unvaccinated patients. 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Mortality rate among vaccinated patients is 0%.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The crude case-fatality rate was 11% among the unvaccinated individuals though higher among the youngest children (15%).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Zaire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93 of 2278 individuals having close contact with 245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patients infected from an animal source developed the disease.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infection rate reduces with generational progression. 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secondary attack rates were correlated with the age, sex, place of residence, and vaccination status of the contacts. 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likelihood of a person developing the disease following infection from a known human source is 3%. </w:t>
            </w:r>
          </w:p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highest attack rate (11.7%) occurred among unvaccinated household contacts in the age group 0-4 years.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There was no evidence of an increase in the secondary attack rate between 1970-80 and 1981-86.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(86)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Zaire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occurrence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infections in squirrels of the genus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Funisciurus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>.</w:t>
            </w:r>
          </w:p>
          <w:p w:rsidR="00A13170" w:rsidRDefault="00A13170" w:rsidP="00A131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</w:t>
            </w:r>
            <w:sdt>
              <w:sdtPr>
                <w:tag w:val="goog_rdk_80"/>
                <w:id w:val="1516580673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squirrels are commonly</w:t>
                </w:r>
              </w:sdtContent>
            </w:sdt>
            <w:sdt>
              <w:sdtPr>
                <w:tag w:val="goog_rdk_81"/>
                <w:id w:val="441885792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found in secondary forests around human settlements in rural Zaire.</w:t>
            </w:r>
          </w:p>
          <w:p w:rsidR="00A13170" w:rsidRDefault="00A13170" w:rsidP="00A131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lastRenderedPageBreak/>
              <w:t xml:space="preserve">Human infection with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occurs mostly in </w:t>
            </w:r>
            <w:sdt>
              <w:sdtPr>
                <w:tag w:val="goog_rdk_82"/>
                <w:id w:val="1671674490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children, especially</w:t>
                </w:r>
              </w:sdtContent>
            </w:sdt>
            <w:sdt>
              <w:sdtPr>
                <w:tag w:val="goog_rdk_83"/>
                <w:id w:val="1193420953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those hunting and eating squirrels and other small mammals.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 xml:space="preserve"> </w:t>
            </w:r>
            <w:r>
              <w:rPr>
                <w:noProof/>
                <w:color w:val="000000"/>
                <w:sz w:val="22"/>
              </w:rPr>
              <w:t>(123)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Liberia and Benin republic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Genetic analysis showed similarities in 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isolates from Liberia, Benin and Denmark.</w:t>
            </w:r>
          </w:p>
          <w:p w:rsidR="00A13170" w:rsidRDefault="00A13170" w:rsidP="00A1317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Comparably, three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Zairean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isolates were also similar but different from the West African isolates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(124)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1998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Zaire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Smallpox vaccination impacted 85% against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>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is less transmissible than smallpox.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(75)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2001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Attack rate of 22 per 1,000 and case-fatality rate of 3.7% were reported in 12 villages of DRC in 1997 within 12 months.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Seven were active cases confirmed by virus isolation.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Orthopoxvirus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>-neutralizing antibodies were detected in 54% of 72 patients and 25% of 59 wild-caught animals, mainly squirrels.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Hemagglutination</w:t>
            </w:r>
            <w:proofErr w:type="spellEnd"/>
            <w:r>
              <w:rPr>
                <w:rFonts w:cs="Times New Roman"/>
                <w:color w:val="000000"/>
                <w:sz w:val="22"/>
              </w:rPr>
              <w:t>-inhibition assays and Western blotting detected antibodies in 68% and 73% of patients, respectively.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(78)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2001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Zaire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sdt>
              <w:sdtPr>
                <w:tag w:val="goog_rdk_85"/>
                <w:id w:val="-1938511671"/>
              </w:sdtPr>
              <w:sdtContent>
                <w:r>
                  <w:rPr>
                    <w:color w:val="000000"/>
                    <w:sz w:val="22"/>
                  </w:rPr>
                  <w:t>The MPV</w:t>
                </w:r>
              </w:sdtContent>
            </w:sdt>
            <w:sdt>
              <w:sdtPr>
                <w:tag w:val="goog_rdk_86"/>
                <w:id w:val="2108162507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genome </w:t>
            </w:r>
            <w:sdt>
              <w:sdtPr>
                <w:tag w:val="goog_rdk_87"/>
                <w:id w:val="139385354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 xml:space="preserve">from the </w:t>
                </w:r>
                <w:proofErr w:type="spellStart"/>
                <w:r>
                  <w:rPr>
                    <w:rFonts w:cs="Times New Roman"/>
                    <w:color w:val="000000"/>
                    <w:sz w:val="22"/>
                  </w:rPr>
                  <w:t>monkeypox</w:t>
                </w:r>
                <w:proofErr w:type="spellEnd"/>
              </w:sdtContent>
            </w:sdt>
            <w:sdt>
              <w:sdtPr>
                <w:tag w:val="goog_rdk_88"/>
                <w:id w:val="763506572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outbreak in Zaire in 1996 was 96.3% identical with that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variola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(smallpox) virus (VAR).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Differences exist </w:t>
            </w:r>
            <w:sdt>
              <w:sdtPr>
                <w:tag w:val="goog_rdk_89"/>
                <w:id w:val="1358226551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in the</w:t>
                </w:r>
              </w:sdtContent>
            </w:sdt>
            <w:sdt>
              <w:sdtPr>
                <w:tag w:val="goog_rdk_90"/>
                <w:id w:val="222872151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regions encoding virulence and host-range factors of the two viral genomes.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MPV is not a direct ancestor of VA.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(78)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2002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MPV is not an evolutionary precursor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variola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two viral species developed independently from a common ancestor.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(39)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2005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Congo basin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Genomic sequencing of USA, Western and Central African MPXV isolates confirmed the existence of two MPXV clades.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(108)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2005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Eleven confirmed and probable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cases were observed during an outbreak in persons &lt;18years.</w:t>
            </w:r>
          </w:p>
          <w:p w:rsidR="00A13170" w:rsidRDefault="00A13170" w:rsidP="00A1317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Molecular,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virologic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, and serologic, and diagnostic assays were used to detect evidence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in infected persons.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Up to six sequential transmissions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from person to person were recorded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lastRenderedPageBreak/>
              <w:t>(92)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2007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An ecological predictive model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data (1970-2003) showed that the distinct phylogenetic lineages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 West Africa and Central Africa occupy similar ecological niches.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High mean annual precipitation and low elevations were shown to be highly correlated with 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disease occurrence.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noProof/>
                <w:color w:val="000000"/>
                <w:sz w:val="22"/>
              </w:rPr>
              <w:t>(9)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2007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51 of 136 suspected cases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detected by PCR.</w:t>
            </w:r>
          </w:p>
          <w:p w:rsidR="00A13170" w:rsidRDefault="00A13170" w:rsidP="00A1317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PCR demonstrated chickenpox in 61 patients.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Coinfection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with both viruses was found in 1 additional patient.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(44)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Hundreds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vaccinia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, and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copurified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host-cell proteins were identified.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noProof/>
                <w:color w:val="000000"/>
                <w:sz w:val="22"/>
              </w:rPr>
              <w:t>(125)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Chars="0" w:left="0" w:firstLineChars="0" w:firstLine="0"/>
              <w:jc w:val="both"/>
              <w:rPr>
                <w:color w:val="000000"/>
                <w:sz w:val="22"/>
              </w:rPr>
            </w:pP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Congo basin and West Africa 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 loop-mediated isothermal amplification (LAMP) technology was developed for the diagnosis of MPXV.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sensitivity and specificity of both Congo Basin and West African, Congo Basin, and West African MPXV were 80% (45/56) and 100% (64/64); 79% (19/24) and 100% (24/24); and 72% (23/32) and 100% (40/40), respectively.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viremia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level determined by LAMP assays increased with increases in the severity of 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-associated symptoms.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LAMP assay was confirmed to be a rapid, quantifiable, and highly sensitive and specific system effective in the diagnosis of MPXV infections.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(87)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2010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Sudan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MPXV (a novel Congo Basin clade) was identified in the Sudan’s sub-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Sahelian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savannah environment.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Ten laboratory-confirmed cases and 9 probable cases of MPXV were recorded (Sept–Dec 2005).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Human-to-human transmission up to 5 generations was noticed.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(126)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2010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Geospatial analysis of surveillance data revealed that the best predictors of 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cases are proximity to dense forests and associated habitat preferred by rope squirrels in DRC.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(94)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Sudan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Both the MPXV West African and Congo Basin strains demonstrated the ability and trend to exploit new hosts and emerge globally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Three new real-time PCR assays based on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TaqMan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probe technology were reported: the MPXV West African specific, Congo Basin strain specific and MPXV generic assays.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lastRenderedPageBreak/>
              <w:t>The new assays demonstrated good specificity and sensitivity.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lastRenderedPageBreak/>
              <w:t>(9)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average annual cumulative incidence in DRC was 5.53 per 10,000 (2.18–14.42).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Factors associated with increased risk of infection included: living in forested areas, male gender, age &lt; 15, and no prior smallpox vaccination.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Vaccinated persons had a 5.2-fold lower risk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than unvaccinated persons (0.78 vs. 4.05 per 10,000).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w:t>(127)</w:t>
            </w:r>
          </w:p>
          <w:p w:rsidR="00A13170" w:rsidRDefault="00A13170" w:rsidP="00A13170">
            <w:pPr>
              <w:ind w:left="0" w:hanging="2"/>
              <w:jc w:val="both"/>
              <w:rPr>
                <w:sz w:val="22"/>
              </w:rPr>
            </w:pP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2012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Western and central sub-Saharan Africa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Ecologic niche modeling (ENM) identified annual precipitation, several temperature-related variables, primary productivity, evapotranspiration, soil moisture, and pH as major environmental parameters contributing to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distributional ecology.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(79)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2013a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Congo basin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Ecological niche models showed that trends in 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infection are associated with broad environmental changes across the Congo Basin.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noProof/>
                <w:color w:val="000000"/>
                <w:sz w:val="22"/>
              </w:rPr>
              <w:t>(79)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2013b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South Sudan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Phylogenetic analysis related MPXV from Sudan outbreak to be related to a clade identified in the Congo Basin.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Political instability is a factor influencing person-to-person transmission of virus.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(102)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2013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Congo basin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Using the ecological niche modeling techniques with climate and remote-sensing variables, forest clearing and climate were determined as significant driving factors of the transmission of MPX from wildlife to humans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(50)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2014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Cytokine profiling revealed elevated cytokine concentrations in serum samples of 19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infected patients.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Excessive proliferation of interleukin [IL]-2R, IL-10, and granulocyte macrophage-colony stimulating factor were observed in patients with serious disease.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(79)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2015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sub-Saharan Africa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Phylogenetic differentiation between the Congo Basin and West Africa clades was carried out.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Dahomey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Gap was identified as a barrier within the West African clade.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noProof/>
                <w:color w:val="000000"/>
                <w:sz w:val="22"/>
              </w:rPr>
              <w:t>(81)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2015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From 68 wild animals tested for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Orthopoxvirus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>, 2 of 3 rope squirrels (</w:t>
            </w:r>
            <w:proofErr w:type="spellStart"/>
            <w:r>
              <w:rPr>
                <w:rFonts w:cs="Times New Roman"/>
                <w:i/>
                <w:color w:val="000000"/>
                <w:sz w:val="22"/>
              </w:rPr>
              <w:t>Funisciurus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sp.) were positive for antibodies to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Orthopox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viruses.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20 confirmed human cases were noted.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School-age males were the individuals most frequently identified as the first person infected in a household.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Identified risk factors for the spread of MPXV within a household included sharing the same </w:t>
            </w:r>
            <w:r>
              <w:rPr>
                <w:rFonts w:cs="Times New Roman"/>
                <w:color w:val="000000"/>
                <w:sz w:val="22"/>
              </w:rPr>
              <w:lastRenderedPageBreak/>
              <w:t>room or bed, or using the same plate or cup as the index case.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lastRenderedPageBreak/>
              <w:t>(128)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2015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Zambia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ELISA showed that 38 of 259 (14.7 %) rodents, 14 of 42 (33.3 %) shrews and 4 of 188 (2.1 %) nonhuman primates had antibodies against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orthopoxvirus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(OPXV) in Zambia.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(81)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2017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DRC 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Real-time PCR diagnostic test results were used to establish MPX and VZV diagnoses.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 total of 333 laboratory-confirmed MPX cases, 383 laboratory-confirmed VZV cases, and 36 cases that were determined to not be either MPX or VZV were included in the analyses.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(76)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2017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7/353 (2%) of sampled small animals were anti-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orthopoxvirus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immunoglobulin G positive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(94)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2017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GeneXpert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MPX/OPX multiplex PCR assay had a sensitivity of 98.8% and specificity of 100%.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GeneXpert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assay performed well with both crust and vesicle samples. 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GeneXpert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MPX/OPX multiplex-PCR test is a viable diagnostic tool.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(82)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2017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Visits the forest and bites by rodents in the home were identified as household material index in the spread of MPXV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Hunters and males aged 18 years </w:t>
            </w:r>
            <w:sdt>
              <w:sdtPr>
                <w:tag w:val="goog_rdk_91"/>
                <w:id w:val="1139071658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were an important</w:t>
                </w:r>
              </w:sdtContent>
            </w:sdt>
            <w:sdt>
              <w:sdtPr>
                <w:tag w:val="goog_rdk_92"/>
                <w:id w:val="618033803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risk activity index.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(129)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Southwest of CAR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Intra-family transmission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infection was reported including 31 villagers and 2 healthcare workers.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PCR and serology were used to confirm the disease from blood samples of the cases.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(83)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To tackle the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endemicity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of MPX infection, a response algorithm that integrates an objective threshold with contextual information about epidemiological and spatiotemporal links between suspected cases to determine whether a response should be operating under routine surveillance, alert status, or outbreak status was proposed.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(99)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CAR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26 patients contracted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. </w:t>
            </w:r>
          </w:p>
          <w:p w:rsidR="00A13170" w:rsidRDefault="00A13170" w:rsidP="00A131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&lt; 10 years and 21–30 years age groups were the most affected. </w:t>
            </w:r>
          </w:p>
          <w:p w:rsidR="00A13170" w:rsidRDefault="00A13170" w:rsidP="00A131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overall attack rate was 5 per 1000 inhabitants and the case fatality was 7.7%.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Young age and the absence of smallpox vaccination were associated with severe presentations in 87.5% of cases.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(80)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 distinct lineages from 60 MPXV genomes were recorded.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This </w:t>
            </w:r>
            <w:sdt>
              <w:sdtPr>
                <w:tag w:val="goog_rdk_93"/>
                <w:id w:val="1487213256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lineage</w:t>
                </w:r>
              </w:sdtContent>
            </w:sdt>
            <w:sdt>
              <w:sdtPr>
                <w:tag w:val="goog_rdk_94"/>
                <w:id w:val="-870373653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showed human-to-human transmission.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lastRenderedPageBreak/>
              <w:t>(84)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Healthcare workers either had not been recently or ever trained in surveillance methods and that their knowledge of case definitions was low in response to public health threats like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Quality of data collected during surveillance activities is low. Lack of available standardized reporting forms and archive of completed forms affected the quality of data collected.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(83)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2019a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DRC 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Among the 223 PCR-confirmed MPX cases identified during active surveillance, the majority of cases (n = 149) presented with mild rash (5–100 lesions) </w:t>
            </w:r>
          </w:p>
          <w:p w:rsidR="00A13170" w:rsidRDefault="00A13170" w:rsidP="00A1317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33% had a more serious presentation (&gt; 100 lesions). </w:t>
            </w:r>
          </w:p>
          <w:p w:rsidR="00A13170" w:rsidRDefault="00A13170" w:rsidP="00A1317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No association between exposure to rodents and rash severity.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Hunters were more likely to develop more rashes than non-hunters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(83)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2019b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DRC 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From March 22–April 5, 2017, 43 suspected 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cases were investigated in DRC. </w:t>
            </w:r>
          </w:p>
          <w:p w:rsidR="00A13170" w:rsidRDefault="00A13170" w:rsidP="00A1317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7 confirmed, 13 probable, 2 possible human cases from the 43.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Animal specimen tested showed presence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orthopoxvirus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antibodies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sz w:val="22"/>
              </w:rPr>
              <w:t>(74)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2019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From 2000 to 2015 in DRC, peaks of cases occurred from July to September for the 2000–2002 and 2003–2009 sub-periods and from January to March for the 2010–2015 sub-period. </w:t>
            </w:r>
          </w:p>
          <w:p w:rsidR="00A13170" w:rsidRDefault="00A13170" w:rsidP="00A1317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19,723 suspected MPX case reports and 292 deaths reported</w:t>
            </w:r>
          </w:p>
          <w:p w:rsidR="00A13170" w:rsidRDefault="00A13170" w:rsidP="00A1317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Attack rate: 2.3 per 100,000 inhabitants per annum averagely.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Significant primary spatial clusters were detected in the dense </w:t>
            </w:r>
            <w:sdt>
              <w:sdtPr>
                <w:tag w:val="goog_rdk_95"/>
                <w:id w:val="1326403416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rainforest</w:t>
                </w:r>
              </w:sdtContent>
            </w:sdt>
            <w:sdt>
              <w:sdtPr>
                <w:tag w:val="goog_rdk_96"/>
                <w:id w:val="1233508077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of the Congo basin.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(99)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2018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CAR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26 patients contracted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. </w:t>
            </w:r>
          </w:p>
          <w:p w:rsidR="00A13170" w:rsidRDefault="00A13170" w:rsidP="00A131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&lt; 10 years and 21–30 years age groups were the most affected. </w:t>
            </w:r>
          </w:p>
          <w:p w:rsidR="00A13170" w:rsidRDefault="00A13170" w:rsidP="00A1317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overall attack rate was 5 per 1000 inhabitants and the case fatality was 7.7%.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Young age and the absence of smallpox vaccination were associated with severe presentations in 87.5% of cases.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(12)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2019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Cameroon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 possible spread of MPXV from Nigeria to Cameroon was reported by phylogenetic analysis of strains isolated later in Cameroon with earlier isolated strains from Nigeria. 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(11)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2019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Sierra Leone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 case of 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in Sierra Leone was confirmed by molecular and serologic methods in 2017.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Sequencing analysis indicated the virus belongs to the West African clade possibly transmitted by wild animals.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lastRenderedPageBreak/>
              <w:t>(83)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2020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Risk factors to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diseases were reported and include:</w:t>
            </w:r>
          </w:p>
          <w:p w:rsidR="00A13170" w:rsidRDefault="00A13170" w:rsidP="00A1317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Contact with animal urine/feces</w:t>
            </w:r>
          </w:p>
          <w:p w:rsidR="00A13170" w:rsidRDefault="00A13170" w:rsidP="00A1317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Presence of dead animals in/around the home</w:t>
            </w:r>
          </w:p>
          <w:p w:rsidR="00A13170" w:rsidRDefault="00A13170" w:rsidP="00A1317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Consumption of animals found dead</w:t>
            </w:r>
          </w:p>
          <w:p w:rsidR="00A13170" w:rsidRDefault="00A13170" w:rsidP="00A1317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Visiting the forest 3 times/week</w:t>
            </w:r>
          </w:p>
          <w:p w:rsidR="00A13170" w:rsidRDefault="00A13170" w:rsidP="00A1317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Sleeping outside the house or on the ground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(17)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2020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West Africa 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In 2017, four travelers from Nigeria to the United Kingdom, Israel, and Singapore became the first 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cases exported from Africa.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 related nosocomial transmission event in the United Kingdom became the first confirmed human-to-human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transmission event outside of Africa.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All isolates share common ancestors.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(95)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2020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Ivory coast 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 repeated emergence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in a wild, human-habituated western chimpanzee (</w:t>
            </w:r>
            <w:r>
              <w:rPr>
                <w:rFonts w:cs="Times New Roman"/>
                <w:i/>
                <w:color w:val="000000"/>
                <w:sz w:val="22"/>
              </w:rPr>
              <w:t>Pan</w:t>
            </w:r>
            <w:r>
              <w:rPr>
                <w:rFonts w:cs="Times New Roman"/>
                <w:color w:val="000000"/>
                <w:sz w:val="22"/>
              </w:rPr>
              <w:t xml:space="preserve"> </w:t>
            </w:r>
            <w:proofErr w:type="gramStart"/>
            <w:r>
              <w:rPr>
                <w:rFonts w:cs="Times New Roman"/>
                <w:i/>
                <w:color w:val="000000"/>
                <w:sz w:val="22"/>
              </w:rPr>
              <w:t>troglodytes</w:t>
            </w:r>
            <w:proofErr w:type="gramEnd"/>
            <w:r>
              <w:rPr>
                <w:rFonts w:cs="Times New Roman"/>
                <w:color w:val="000000"/>
                <w:sz w:val="22"/>
              </w:rPr>
              <w:t xml:space="preserve">) population from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Taï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National Park, Ivory Coast was described.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Through daily monitoring, we show that further to causing its typical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exanthematous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syndrome,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can present itself as a severe respiratory disease without a diffuse rash.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Analysis of 949 non-invasively collected samples demonstrated the circulation of at least two distinct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virus lineages.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Shedding of infectious viral particles in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faeces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and flies was documented.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noProof/>
                <w:color w:val="000000"/>
                <w:sz w:val="22"/>
              </w:rPr>
              <w:t>(100)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2020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Nigeria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The mobile digital Surveillance Outbreak Response Management and Analysis System (SORMAS) was deployed in Nigeria in response </w:t>
            </w:r>
            <w:sdt>
              <w:sdtPr>
                <w:tag w:val="goog_rdk_99"/>
                <w:id w:val="-880171774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 xml:space="preserve">to the </w:t>
                </w:r>
                <w:proofErr w:type="spellStart"/>
                <w:r>
                  <w:rPr>
                    <w:rFonts w:cs="Times New Roman"/>
                    <w:color w:val="000000"/>
                    <w:sz w:val="22"/>
                  </w:rPr>
                  <w:t>monkeypox</w:t>
                </w:r>
                <w:proofErr w:type="spellEnd"/>
              </w:sdtContent>
            </w:sdt>
            <w:sdt>
              <w:sdtPr>
                <w:tag w:val="goog_rdk_100"/>
                <w:id w:val="-1828275283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outbreak in 2017.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The utilization of SORMAS improved timeliness, completeness, and overall capacity of the response.</w:t>
            </w:r>
          </w:p>
        </w:tc>
      </w:tr>
      <w:tr w:rsidR="00A13170" w:rsidTr="00A13170">
        <w:trPr>
          <w:trHeight w:val="1547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(10)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2021</w:t>
            </w:r>
          </w:p>
          <w:p w:rsidR="00A13170" w:rsidRDefault="00A13170" w:rsidP="00A13170">
            <w:pPr>
              <w:ind w:left="0" w:hanging="2"/>
              <w:jc w:val="both"/>
              <w:rPr>
                <w:sz w:val="22"/>
              </w:rPr>
            </w:pPr>
          </w:p>
          <w:p w:rsidR="00A13170" w:rsidRDefault="00A13170" w:rsidP="00A13170">
            <w:pPr>
              <w:ind w:left="0" w:hanging="2"/>
              <w:jc w:val="both"/>
              <w:rPr>
                <w:sz w:val="22"/>
              </w:rPr>
            </w:pPr>
          </w:p>
          <w:p w:rsidR="00A13170" w:rsidRDefault="00A13170" w:rsidP="00A13170">
            <w:pPr>
              <w:ind w:left="0" w:hanging="2"/>
              <w:jc w:val="both"/>
              <w:rPr>
                <w:sz w:val="22"/>
              </w:rPr>
            </w:pPr>
          </w:p>
          <w:p w:rsidR="00A13170" w:rsidRDefault="00A13170" w:rsidP="00A13170">
            <w:pPr>
              <w:ind w:left="0" w:hanging="2"/>
              <w:jc w:val="both"/>
              <w:rPr>
                <w:sz w:val="22"/>
              </w:rPr>
            </w:pP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DRC and Central African Republic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Phylogenetic analysis of 10 CAR isolates of MPXV were found to belong to three lineages closely related to those found in DRC. </w:t>
            </w:r>
          </w:p>
          <w:p w:rsidR="00A13170" w:rsidRDefault="00A13170" w:rsidP="00A1317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This analysis revealed a common source of emergence of the strains as the rainforest block of the Congo Basin.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Zoonotic spillover of the MPXV from wild animals to humans was occasioned with political instability and conflicts within the regions.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lastRenderedPageBreak/>
              <w:t>(130)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2021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Coinfection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of MPXV with varicella zoster virus (VZV) in 134 of 1,107 (12.1%) suspected MPX cases was reported in DRC.</w:t>
            </w:r>
          </w:p>
          <w:p w:rsidR="00A13170" w:rsidRDefault="00A13170" w:rsidP="00A1317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Coinfections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were more likely to report symptoms than VZV-alone cases and less likely than MPX-alone cases. 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Significantly higher lesion counts were observed for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coinfection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cases than for VZV-alone but less than MPX-alone cases.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(131)</w:t>
            </w:r>
          </w:p>
        </w:tc>
        <w:tc>
          <w:tcPr>
            <w:tcW w:w="1280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2021</w:t>
            </w:r>
          </w:p>
        </w:tc>
        <w:tc>
          <w:tcPr>
            <w:tcW w:w="1764" w:type="dxa"/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</w:t>
            </w:r>
          </w:p>
        </w:tc>
        <w:tc>
          <w:tcPr>
            <w:tcW w:w="9376" w:type="dxa"/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Using a deterministic mathematical model, the isolation of 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infected individuals in the human population helps to reduce disease transmission.</w:t>
            </w:r>
          </w:p>
        </w:tc>
      </w:tr>
      <w:tr w:rsidR="00A13170" w:rsidTr="00A13170">
        <w:trPr>
          <w:trHeight w:val="300"/>
        </w:trPr>
        <w:tc>
          <w:tcPr>
            <w:tcW w:w="1728" w:type="dxa"/>
            <w:tcBorders>
              <w:bottom w:val="single" w:sz="4" w:space="0" w:color="auto"/>
            </w:tcBorders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w:t>(96)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2021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A13170" w:rsidRDefault="00A13170" w:rsidP="00A13170">
            <w:pPr>
              <w:ind w:left="0" w:hanging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DRC</w:t>
            </w:r>
          </w:p>
        </w:tc>
        <w:tc>
          <w:tcPr>
            <w:tcW w:w="9376" w:type="dxa"/>
            <w:tcBorders>
              <w:bottom w:val="single" w:sz="4" w:space="0" w:color="auto"/>
            </w:tcBorders>
          </w:tcPr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From a reported 1057 confirmed cases from 2011-2015 I DRC, a mean annual incidence of 14.1 per 100 000 was recorded.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The incidence was higher in male than female patients.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The incidence was lower among those vaccinated against smallpox than the unvaccinated.</w:t>
            </w:r>
          </w:p>
          <w:p w:rsidR="00A13170" w:rsidRDefault="00A13170" w:rsidP="00A1317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sdt>
              <w:sdtPr>
                <w:tag w:val="goog_rdk_102"/>
                <w:id w:val="930782824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Lesion</w:t>
                </w:r>
              </w:sdtContent>
            </w:sdt>
            <w:sdt>
              <w:sdtPr>
                <w:tag w:val="goog_rdk_103"/>
                <w:id w:val="1727344495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</w:t>
            </w:r>
            <w:sdt>
              <w:sdtPr>
                <w:tag w:val="goog_rdk_104"/>
                <w:id w:val="-169420865"/>
              </w:sdtPr>
              <w:sdtContent>
                <w:r>
                  <w:rPr>
                    <w:rFonts w:cs="Times New Roman"/>
                    <w:color w:val="000000"/>
                    <w:sz w:val="22"/>
                  </w:rPr>
                  <w:t>counts</w:t>
                </w:r>
              </w:sdtContent>
            </w:sdt>
            <w:sdt>
              <w:sdtPr>
                <w:tag w:val="goog_rdk_105"/>
                <w:id w:val="372742598"/>
              </w:sdtPr>
              <w:sdtContent/>
            </w:sdt>
            <w:r>
              <w:rPr>
                <w:rFonts w:cs="Times New Roman"/>
                <w:color w:val="000000"/>
                <w:sz w:val="22"/>
              </w:rPr>
              <w:t xml:space="preserve"> do not differ with age.</w:t>
            </w:r>
          </w:p>
        </w:tc>
      </w:tr>
    </w:tbl>
    <w:p w:rsidR="00A13170" w:rsidRDefault="00A13170" w:rsidP="00A13170">
      <w:pPr>
        <w:spacing w:after="0" w:line="480" w:lineRule="auto"/>
        <w:ind w:left="0" w:hanging="2"/>
      </w:pPr>
    </w:p>
    <w:p w:rsidR="00A13170" w:rsidRDefault="00A13170" w:rsidP="00A13170">
      <w:pPr>
        <w:ind w:left="0" w:hanging="2"/>
      </w:pPr>
      <w:r>
        <w:t xml:space="preserve">DRC – Democratic Republic of Congo; CAR – Central African Republic; MPX – </w:t>
      </w:r>
      <w:proofErr w:type="spellStart"/>
      <w:r>
        <w:t>Monkeypox</w:t>
      </w:r>
      <w:proofErr w:type="spellEnd"/>
      <w:r>
        <w:t xml:space="preserve">; MPXV – </w:t>
      </w:r>
      <w:proofErr w:type="spellStart"/>
      <w:r>
        <w:t>Monkeypox</w:t>
      </w:r>
      <w:proofErr w:type="spellEnd"/>
      <w:r>
        <w:t xml:space="preserve"> virus; </w:t>
      </w:r>
      <w:r>
        <w:rPr>
          <w:color w:val="000000"/>
        </w:rPr>
        <w:t>OPX</w:t>
      </w:r>
      <w:r>
        <w:t xml:space="preserve"> – </w:t>
      </w:r>
      <w:proofErr w:type="spellStart"/>
      <w:r>
        <w:rPr>
          <w:color w:val="000000"/>
        </w:rPr>
        <w:t>orthopoxvirus</w:t>
      </w:r>
      <w:proofErr w:type="spellEnd"/>
      <w:r>
        <w:t xml:space="preserve">; VZV – </w:t>
      </w:r>
      <w:r>
        <w:rPr>
          <w:color w:val="000000"/>
        </w:rPr>
        <w:t xml:space="preserve">Varicella zoster virus; </w:t>
      </w:r>
      <w:r>
        <w:t>NA – Not available</w:t>
      </w:r>
    </w:p>
    <w:p w:rsidR="00A13170" w:rsidRDefault="00A13170" w:rsidP="00A13170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A13170" w:rsidRPr="00A46569" w:rsidRDefault="00A13170" w:rsidP="00A13170">
      <w:pPr>
        <w:spacing w:after="0" w:line="480" w:lineRule="auto"/>
        <w:ind w:left="0" w:hanging="2"/>
        <w:jc w:val="both"/>
        <w:rPr>
          <w:b/>
          <w:bCs/>
          <w:color w:val="000000"/>
        </w:rPr>
      </w:pPr>
      <w:r w:rsidRPr="00A46569">
        <w:rPr>
          <w:b/>
          <w:bCs/>
          <w:color w:val="000000"/>
        </w:rPr>
        <w:lastRenderedPageBreak/>
        <w:t>Supplementary Table 2</w:t>
      </w:r>
      <w:r w:rsidRPr="00E06E27">
        <w:rPr>
          <w:b/>
          <w:bCs/>
          <w:color w:val="000000"/>
        </w:rPr>
        <w:t xml:space="preserve"> Reported sources, transmission modes, and risk factors to </w:t>
      </w:r>
      <w:proofErr w:type="spellStart"/>
      <w:r w:rsidRPr="00E06E27">
        <w:rPr>
          <w:b/>
          <w:bCs/>
          <w:color w:val="000000"/>
        </w:rPr>
        <w:t>Monkeypox</w:t>
      </w:r>
      <w:proofErr w:type="spellEnd"/>
      <w:r w:rsidRPr="00E06E27">
        <w:rPr>
          <w:b/>
          <w:bCs/>
          <w:color w:val="000000"/>
        </w:rPr>
        <w:t xml:space="preserve"> in Africa </w:t>
      </w:r>
    </w:p>
    <w:tbl>
      <w:tblPr>
        <w:tblW w:w="1495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377"/>
        <w:gridCol w:w="1258"/>
        <w:gridCol w:w="1880"/>
        <w:gridCol w:w="2700"/>
        <w:gridCol w:w="2534"/>
        <w:gridCol w:w="3713"/>
      </w:tblGrid>
      <w:tr w:rsidR="00A13170" w:rsidRPr="00C9075C" w:rsidTr="00A13170">
        <w:trPr>
          <w:trHeight w:val="300"/>
        </w:trPr>
        <w:tc>
          <w:tcPr>
            <w:tcW w:w="1496" w:type="dxa"/>
            <w:tcBorders>
              <w:bottom w:val="single" w:sz="4" w:space="0" w:color="auto"/>
            </w:tcBorders>
          </w:tcPr>
          <w:p w:rsidR="00A13170" w:rsidRPr="00C9075C" w:rsidRDefault="00A13170" w:rsidP="00A13170">
            <w:pPr>
              <w:spacing w:after="0"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b/>
                <w:color w:val="000000"/>
                <w:sz w:val="22"/>
              </w:rPr>
              <w:t xml:space="preserve">Authors 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A13170" w:rsidRPr="00C9075C" w:rsidRDefault="00A13170" w:rsidP="00A13170">
            <w:pPr>
              <w:spacing w:after="0" w:line="240" w:lineRule="auto"/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b/>
                <w:color w:val="000000"/>
                <w:sz w:val="22"/>
              </w:rPr>
              <w:t>Year of publication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A13170" w:rsidRPr="00C9075C" w:rsidRDefault="00A13170" w:rsidP="00A13170">
            <w:pPr>
              <w:spacing w:after="0" w:line="240" w:lineRule="auto"/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b/>
                <w:color w:val="000000"/>
                <w:sz w:val="22"/>
              </w:rPr>
              <w:t>Host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A13170" w:rsidRPr="00C9075C" w:rsidRDefault="00A13170" w:rsidP="00A13170">
            <w:pPr>
              <w:spacing w:after="0" w:line="240" w:lineRule="auto"/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b/>
                <w:color w:val="000000"/>
                <w:sz w:val="22"/>
              </w:rPr>
              <w:t>Strain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A13170" w:rsidRPr="00C9075C" w:rsidRDefault="00A13170" w:rsidP="00A13170">
            <w:pPr>
              <w:spacing w:after="0" w:line="240" w:lineRule="auto"/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b/>
                <w:color w:val="000000"/>
                <w:sz w:val="22"/>
              </w:rPr>
              <w:t>Source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A13170" w:rsidRPr="00C9075C" w:rsidRDefault="00A13170" w:rsidP="00A13170">
            <w:pPr>
              <w:spacing w:after="0" w:line="240" w:lineRule="auto"/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b/>
                <w:color w:val="000000"/>
                <w:sz w:val="22"/>
              </w:rPr>
              <w:t>Transmission</w:t>
            </w:r>
          </w:p>
        </w:tc>
        <w:tc>
          <w:tcPr>
            <w:tcW w:w="3713" w:type="dxa"/>
            <w:tcBorders>
              <w:bottom w:val="single" w:sz="4" w:space="0" w:color="auto"/>
            </w:tcBorders>
          </w:tcPr>
          <w:p w:rsidR="00A13170" w:rsidRPr="00C9075C" w:rsidRDefault="00A13170" w:rsidP="00A13170">
            <w:pPr>
              <w:spacing w:after="0" w:line="240" w:lineRule="auto"/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b/>
                <w:color w:val="000000"/>
                <w:sz w:val="22"/>
              </w:rPr>
              <w:t>Risk factors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  <w:tcBorders>
              <w:top w:val="single" w:sz="4" w:space="0" w:color="auto"/>
            </w:tcBorders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(77)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1972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Animals (monkeys and apes)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Congo-8; Liberia-1; Liberia-2; Sierra Leone (V-70 1 266) strains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sz w:val="22"/>
              </w:rPr>
            </w:pPr>
            <w:r w:rsidRPr="00C9075C">
              <w:rPr>
                <w:rFonts w:cs="Times New Roman"/>
                <w:sz w:val="22"/>
              </w:rPr>
              <w:t>NI</w:t>
            </w:r>
          </w:p>
        </w:tc>
        <w:tc>
          <w:tcPr>
            <w:tcW w:w="3713" w:type="dxa"/>
            <w:tcBorders>
              <w:top w:val="single" w:sz="4" w:space="0" w:color="auto"/>
            </w:tcBorders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sz w:val="22"/>
              </w:rPr>
            </w:pPr>
            <w:r w:rsidRPr="00C9075C">
              <w:rPr>
                <w:rFonts w:cs="Times New Roman"/>
                <w:sz w:val="22"/>
              </w:rPr>
              <w:t>NI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(98)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1975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Animals (non-human primates)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sz w:val="22"/>
              </w:rPr>
            </w:pPr>
            <w:r w:rsidRPr="00C9075C">
              <w:rPr>
                <w:rFonts w:cs="Times New Roman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Cross-species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sz w:val="22"/>
              </w:rPr>
            </w:pPr>
            <w:r w:rsidRPr="00C9075C">
              <w:rPr>
                <w:rFonts w:cs="Times New Roman"/>
                <w:sz w:val="22"/>
              </w:rPr>
              <w:t>NI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(6)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Animals (non-human primates)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  <w:r>
              <w:rPr>
                <w:rFonts w:cs="Times New Roman"/>
                <w:noProof/>
                <w:color w:val="000000"/>
                <w:sz w:val="22"/>
              </w:rPr>
              <w:t>(90)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Cross-species transmission due to habitat sharing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sz w:val="22"/>
              </w:rPr>
            </w:pPr>
            <w:r w:rsidRPr="00C9075C">
              <w:rPr>
                <w:rFonts w:cs="Times New Roman"/>
                <w:sz w:val="22"/>
              </w:rPr>
              <w:t>NI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(119)</w:t>
            </w:r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1985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Zoonosis (although human-human transmission has been recorded)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infected animal/human; unvaccinated contacts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(85)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1986a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Suspected from wildlife (non-human host)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Person-person; prolonged chain of transmission;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Age; unvaccinated fellows; contact with infected persons;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(85)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1986b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Animal host (monkey -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Colobus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pennanti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outsleti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); Gambian pouched rats (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Cricetomys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emini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 caught in trap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infected animal (monkey); casual contact within hospital compound; use of same syringe for injections; person-person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Tropical rainforest areas of West Africa and Central Africa; purchase of fresh meat of infected animal host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lastRenderedPageBreak/>
              <w:t>(85)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1987b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Person-person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Vaccination status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(85)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1988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Animal source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Inter-human transmission; household contact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Vaccination status; place of residence of exposed persons;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(86)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1988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Squirrels (genera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Funisciurus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and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Heliosciurus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); forest-dwelling primates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infected animal host/human host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Habitats (rainforests, oil palm plantations) where the animal hosts are commonly found; age (5-9years); small villages (hunt wild animals for food); vaccination status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(123)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1994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 and animal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1998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Serial transmission; human-human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infected animal/human; unvaccinated contacts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 </w:t>
            </w:r>
            <w:r>
              <w:rPr>
                <w:rFonts w:cs="Times New Roman"/>
                <w:noProof/>
                <w:color w:val="000000"/>
                <w:sz w:val="22"/>
              </w:rPr>
              <w:t>(75)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2001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Animal host (monkey, squirrel, elephant shrews, Gambian rats, gazelle, pig and rat) reintroduction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Person-person; prolonged chain of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Contact with lesion material, infected persons/animal; eating wild animals; trapping animals frequently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(79, 90)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2001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MPV-ZAI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Rhesus monkey (kidney through cell culture)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Human-human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Tropical </w:t>
            </w:r>
            <w:sdt>
              <w:sdtPr>
                <w:rPr>
                  <w:rFonts w:cs="Times New Roman"/>
                  <w:sz w:val="22"/>
                </w:rPr>
                <w:tag w:val="goog_rdk_106"/>
                <w:id w:val="5113691"/>
              </w:sdtPr>
              <w:sdtContent>
                <w:r w:rsidRPr="00C9075C">
                  <w:rPr>
                    <w:rFonts w:cs="Times New Roman"/>
                    <w:color w:val="000000"/>
                    <w:sz w:val="22"/>
                  </w:rPr>
                  <w:t>rainforest</w:t>
                </w:r>
              </w:sdtContent>
            </w:sdt>
            <w:sdt>
              <w:sdtPr>
                <w:rPr>
                  <w:rFonts w:cs="Times New Roman"/>
                  <w:sz w:val="22"/>
                </w:rPr>
                <w:tag w:val="goog_rdk_107"/>
                <w:id w:val="-194776557"/>
              </w:sdtPr>
              <w:sdtContent/>
            </w:sdt>
            <w:r w:rsidRPr="00C9075C">
              <w:rPr>
                <w:rFonts w:cs="Times New Roman"/>
                <w:color w:val="000000"/>
                <w:sz w:val="22"/>
              </w:rPr>
              <w:t xml:space="preserve"> areas of West Africa and Central Africa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(39)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2005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Central/West African strain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Young age, unvaccinated status, location (DRC were more likely than USA patients)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(108)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2005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Not identified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Human-human spread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Contact (nosocomial contact infection); </w:t>
            </w:r>
            <w:r w:rsidRPr="00C9075C">
              <w:rPr>
                <w:rFonts w:cs="Times New Roman"/>
                <w:color w:val="000000"/>
                <w:sz w:val="22"/>
              </w:rPr>
              <w:lastRenderedPageBreak/>
              <w:t>health condition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lastRenderedPageBreak/>
              <w:t>(92)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2007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Human 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West Africa and Central Africa clades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Natural sylvatic cycle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(9)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2007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Central African clade MPXV strains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African rainforest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</w:tr>
      <w:tr w:rsidR="00A13170" w:rsidRPr="00C9075C" w:rsidTr="00A13170">
        <w:trPr>
          <w:trHeight w:val="289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(125)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2009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Congo Basin and West African MPXV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MPXV infected ground squirrels, such as African dormice and Gambian giant rats, imported from western Africa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</w:tr>
      <w:tr w:rsidR="00A13170" w:rsidRPr="00C9075C" w:rsidTr="00A13170">
        <w:trPr>
          <w:trHeight w:val="6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(87)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Novel genomic structural variation</w:t>
            </w:r>
            <w:r w:rsidRPr="00C9075C">
              <w:rPr>
                <w:rFonts w:cs="Times New Roman"/>
                <w:color w:val="000000"/>
                <w:sz w:val="22"/>
              </w:rPr>
              <w:br/>
              <w:t>related to the Congo Basin MPXV clade</w:t>
            </w:r>
          </w:p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Not identified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Person-person; independent focus of infection was recorded without secondary transmission; </w:t>
            </w:r>
          </w:p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Tooth extraction process/traditional healer; young kids with illnesses; presence of animal host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(126)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Rope squirrels (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Funisciurus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sp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); terrestrial rodents (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Cricetomys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and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Graphiurus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spp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);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Living in rope squirrel habitat (semi-deciduous rainforests with oil palm</w:t>
            </w:r>
          </w:p>
        </w:tc>
      </w:tr>
      <w:tr w:rsidR="00A13170" w:rsidRPr="00C9075C" w:rsidTr="00A13170">
        <w:trPr>
          <w:trHeight w:val="6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(94)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Human and </w:t>
            </w:r>
            <w:r w:rsidRPr="00C9075C">
              <w:rPr>
                <w:rFonts w:cs="Times New Roman"/>
                <w:color w:val="000000"/>
                <w:sz w:val="22"/>
              </w:rPr>
              <w:lastRenderedPageBreak/>
              <w:t>animal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lastRenderedPageBreak/>
              <w:t>MPXV West</w:t>
            </w:r>
            <w:r w:rsidRPr="00C9075C">
              <w:rPr>
                <w:rFonts w:cs="Times New Roman"/>
                <w:color w:val="000000"/>
                <w:sz w:val="22"/>
              </w:rPr>
              <w:br/>
            </w:r>
            <w:r w:rsidRPr="00C9075C">
              <w:rPr>
                <w:rFonts w:cs="Times New Roman"/>
                <w:color w:val="000000"/>
                <w:sz w:val="22"/>
              </w:rPr>
              <w:lastRenderedPageBreak/>
              <w:t>African clade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lastRenderedPageBreak/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lastRenderedPageBreak/>
              <w:t>(9)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animal reservoir host; tropical rainforest areas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Human-human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Vaccination status; exposure to reservoir host; contact with infected persons; geographic spread by travelers;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(101)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2012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 and Animal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Monkeys and rodents infected with HIV /MONKEYPOX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Hunting of monkeys and wild rodents for meat; increased contact rates with the monkeys and rodents; deforestation; co-infection with HIV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(132)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2012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Favorable habitats </w:t>
            </w:r>
          </w:p>
        </w:tc>
      </w:tr>
      <w:tr w:rsidR="00A13170" w:rsidRPr="00C9075C" w:rsidTr="00A13170">
        <w:trPr>
          <w:trHeight w:val="6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(79)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2013a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Genera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Funisciurus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,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Heliosciurus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and</w:t>
            </w:r>
            <w:r w:rsidRPr="00C9075C">
              <w:rPr>
                <w:rFonts w:cs="Times New Roman"/>
                <w:color w:val="000000"/>
                <w:sz w:val="22"/>
              </w:rPr>
              <w:br/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Cricetomys</w:t>
            </w:r>
            <w:proofErr w:type="spellEnd"/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of human with reservoir host; human-human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rainforest areas; effect of environmental factors on natural hosts population; </w:t>
            </w:r>
          </w:p>
        </w:tc>
      </w:tr>
      <w:tr w:rsidR="00A13170" w:rsidRPr="00C9075C" w:rsidTr="00A13170">
        <w:trPr>
          <w:trHeight w:val="12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(79)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2013b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West African clade of MPXV Liberia, Sierra Leone, and Ghana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long-term maintenance and transmission of the virus in nature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Person-person; importation of infected animals/human; infected animals-humans;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Rainforest areas classified as suitable for MPXV transmission; political instability; </w:t>
            </w:r>
          </w:p>
        </w:tc>
      </w:tr>
      <w:tr w:rsidR="00A13170" w:rsidRPr="00C9075C" w:rsidTr="00A13170">
        <w:trPr>
          <w:trHeight w:val="6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(102)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2013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Fire-footed rope squirrel (</w:t>
            </w:r>
            <w:r w:rsidRPr="00C9075C">
              <w:rPr>
                <w:rFonts w:cs="Times New Roman"/>
                <w:i/>
                <w:color w:val="000000"/>
                <w:sz w:val="22"/>
              </w:rPr>
              <w:t>F</w:t>
            </w:r>
            <w:r w:rsidRPr="00C9075C">
              <w:rPr>
                <w:rFonts w:cs="Times New Roman"/>
                <w:color w:val="000000"/>
                <w:sz w:val="22"/>
              </w:rPr>
              <w:t xml:space="preserve">.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pyrropus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); Thomas’s rope squirrel (</w:t>
            </w:r>
            <w:r w:rsidRPr="00C9075C">
              <w:rPr>
                <w:rFonts w:cs="Times New Roman"/>
                <w:i/>
                <w:color w:val="000000"/>
                <w:sz w:val="22"/>
              </w:rPr>
              <w:t>F</w:t>
            </w:r>
            <w:r w:rsidRPr="00C9075C">
              <w:rPr>
                <w:rFonts w:cs="Times New Roman"/>
                <w:color w:val="000000"/>
                <w:sz w:val="22"/>
              </w:rPr>
              <w:t xml:space="preserve">.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anerythrus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); Congo rope squirrel (</w:t>
            </w:r>
            <w:r w:rsidRPr="00C9075C">
              <w:rPr>
                <w:rFonts w:cs="Times New Roman"/>
                <w:i/>
                <w:color w:val="000000"/>
                <w:sz w:val="22"/>
              </w:rPr>
              <w:t>F</w:t>
            </w:r>
            <w:r w:rsidRPr="00C9075C">
              <w:rPr>
                <w:rFonts w:cs="Times New Roman"/>
                <w:color w:val="000000"/>
                <w:sz w:val="22"/>
              </w:rPr>
              <w:t xml:space="preserve">.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congicus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); Wolf’s monkey</w:t>
            </w:r>
            <w:r w:rsidRPr="00C9075C">
              <w:rPr>
                <w:rFonts w:cs="Times New Roman"/>
                <w:color w:val="000000"/>
                <w:sz w:val="22"/>
              </w:rPr>
              <w:br/>
              <w:t>(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Cercopithecus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wolfi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Deforestation; climate; reservoirs; </w:t>
            </w:r>
          </w:p>
        </w:tc>
      </w:tr>
      <w:tr w:rsidR="00A13170" w:rsidRPr="00C9075C" w:rsidTr="00A13170">
        <w:trPr>
          <w:trHeight w:val="289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(79)</w:t>
            </w:r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2015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Human 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Congo Basin and West Africa </w:t>
            </w:r>
            <w:r w:rsidRPr="00C9075C">
              <w:rPr>
                <w:rFonts w:cs="Times New Roman"/>
                <w:color w:val="000000"/>
                <w:sz w:val="22"/>
              </w:rPr>
              <w:lastRenderedPageBreak/>
              <w:t>clades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lastRenderedPageBreak/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Geographic features in the region suspected to support the presence of </w:t>
            </w:r>
            <w:r w:rsidRPr="00C9075C">
              <w:rPr>
                <w:rFonts w:cs="Times New Roman"/>
                <w:color w:val="000000"/>
                <w:sz w:val="22"/>
              </w:rPr>
              <w:lastRenderedPageBreak/>
              <w:t>the virus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lastRenderedPageBreak/>
              <w:t xml:space="preserve"> </w:t>
            </w:r>
            <w:r>
              <w:rPr>
                <w:rFonts w:cs="Times New Roman"/>
                <w:noProof/>
                <w:color w:val="000000"/>
                <w:sz w:val="22"/>
              </w:rPr>
              <w:t>(81)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2015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 and Animal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Human-human spread; handling/ consumption of wild animals into the community;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Cases were likely to be male, students, younger, not vaccinated, sharing a room/bed, sharing eating utensils; Cases were found amongst those who shared door handles, slept on the floor, prepare wild animals to eat/cook, playing/capturing wild animals, consuming dead animals; highly populated areas; animals living in forest areas.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(128)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2015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 and animal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Zoonotic infections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Zoonotic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Houses/field in rural areas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(76)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2017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 and animal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Natural hosts (squirrels of the indicated genera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Squirrels of the genera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Funisciurus</w:t>
            </w:r>
            <w:proofErr w:type="spellEnd"/>
            <w:r w:rsidRPr="00C9075C">
              <w:rPr>
                <w:rFonts w:cs="Times New Roman"/>
                <w:i/>
                <w:color w:val="000000"/>
                <w:sz w:val="22"/>
              </w:rPr>
              <w:t xml:space="preserve"> </w:t>
            </w:r>
            <w:r w:rsidRPr="00C9075C">
              <w:rPr>
                <w:rFonts w:cs="Times New Roman"/>
                <w:color w:val="000000"/>
                <w:sz w:val="22"/>
              </w:rPr>
              <w:t>and</w:t>
            </w:r>
            <w:r w:rsidRPr="00C9075C">
              <w:rPr>
                <w:rFonts w:cs="Times New Roman"/>
                <w:i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Heliosciurus</w:t>
            </w:r>
            <w:proofErr w:type="spellEnd"/>
            <w:r w:rsidRPr="00C9075C">
              <w:rPr>
                <w:rFonts w:cs="Times New Roman"/>
                <w:i/>
                <w:color w:val="000000"/>
                <w:sz w:val="22"/>
              </w:rPr>
              <w:t xml:space="preserve">; </w:t>
            </w:r>
            <w:r w:rsidRPr="00C9075C">
              <w:rPr>
                <w:rFonts w:cs="Times New Roman"/>
                <w:color w:val="000000"/>
                <w:sz w:val="22"/>
              </w:rPr>
              <w:t>rodent and elephant shrews have also been associated with the natural cycle of the disease spread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Consumption of sick/dead animals; contact with natural hosts such as squirrels, elephant shrews and giant pouched rats; </w:t>
            </w:r>
          </w:p>
        </w:tc>
      </w:tr>
      <w:tr w:rsidR="00A13170" w:rsidRPr="00C9075C" w:rsidTr="00A13170">
        <w:trPr>
          <w:trHeight w:val="289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(82)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2017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Animal host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Person-person spread; zoonotic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Hunting; sex; age</w:t>
            </w:r>
          </w:p>
        </w:tc>
      </w:tr>
      <w:tr w:rsidR="00A13170" w:rsidRPr="00C9075C" w:rsidTr="00A13170">
        <w:trPr>
          <w:trHeight w:val="289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(129)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2018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Wild mammals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Butchering of the mammals, intra-familial, zoonotic (contact with the wild mammals)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wild fauna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  <w:highlight w:val="yellow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lastRenderedPageBreak/>
              <w:t>(99)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2018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Consumption of meat of dead squirrel (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Xerus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erythropus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>) found in the forest; urbanization of reservoir habitats; hunting, deforestation and pastoral practices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Primary contact with infected host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Age (&lt;10years and 21-30 years); vaccination status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(80)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2014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Central African clade MPXV strains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American ground squirrel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Human-human spread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Direct contact with reservoir host; vaccination status; human encroachment into reservoir habitats; others (malnutrition, disease and inadequate healthcare systems)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(83)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2019a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(i) animal source (ii) close contacts with infected individuals (iii) human-human transmission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Zoonotic; close contacts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Common animal activities (eating, butchering, cooking, hunting); less forested areas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(83)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2019b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Incidental; zoonotic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Direct inoculation via bites and scratches; direct contact with infected animal; preparing carcasses for meals; playing with animals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Frequent contact with animals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(74)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2019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Deforestation, hunting, contact between humans and wild animals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(133)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2019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Person-person secondary transmission; nosocomial </w:t>
            </w:r>
            <w:r w:rsidRPr="00C9075C">
              <w:rPr>
                <w:rFonts w:cs="Times New Roman"/>
                <w:color w:val="000000"/>
                <w:sz w:val="22"/>
              </w:rPr>
              <w:lastRenderedPageBreak/>
              <w:t>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lastRenderedPageBreak/>
              <w:t>Concurrent HIV infection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lastRenderedPageBreak/>
              <w:t>(12)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2019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West African and Congo basin clades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Captive chimpanzees (</w:t>
            </w:r>
            <w:r w:rsidRPr="00C9075C">
              <w:rPr>
                <w:rFonts w:cs="Times New Roman"/>
                <w:i/>
                <w:color w:val="000000"/>
                <w:sz w:val="22"/>
              </w:rPr>
              <w:t>Pan</w:t>
            </w:r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r w:rsidRPr="00C9075C">
              <w:rPr>
                <w:rFonts w:cs="Times New Roman"/>
                <w:i/>
                <w:color w:val="000000"/>
                <w:sz w:val="22"/>
              </w:rPr>
              <w:t>troglodytes</w:t>
            </w:r>
            <w:r w:rsidRPr="00C9075C">
              <w:rPr>
                <w:rFonts w:cs="Times New Roman"/>
                <w:color w:val="000000"/>
                <w:sz w:val="22"/>
              </w:rPr>
              <w:t>)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Zoonotic transmission; human-human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Working at the sanctuary; direct contact with the captive animals; healthcare provider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(56)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2019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West African clade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wild animals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Large areas of tropical rainforest; wild animal presence; 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(83)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2020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reservoirs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Contact with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reservoirs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Ethnicity (practices that lead to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monkeypox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incidence - contact with urine/feces; find dead animals in their home; eat dead animal; visit to the forest; scratch and bite from infected animal; sleeping outside/on the ground</w:t>
            </w:r>
          </w:p>
        </w:tc>
      </w:tr>
      <w:tr w:rsidR="00A13170" w:rsidRPr="00C9075C" w:rsidTr="00A13170">
        <w:trPr>
          <w:trHeight w:val="6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(17)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2020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West African clade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MPXV-positive healthcare worker; imported African rodents;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exportation-related cases; nosocomial transmission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2020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Animal host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Human-human transmission; contacts with bodily fluids;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</w:tr>
      <w:tr w:rsidR="00A13170" w:rsidRPr="00C9075C" w:rsidTr="00A13170">
        <w:trPr>
          <w:trHeight w:val="289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 </w:t>
            </w:r>
            <w:r>
              <w:rPr>
                <w:rFonts w:cs="Times New Roman"/>
                <w:noProof/>
                <w:color w:val="000000"/>
                <w:sz w:val="22"/>
              </w:rPr>
              <w:t>(100)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2020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Human 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Animal-human; human-human;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Sex; occupation; age; health condition</w:t>
            </w:r>
          </w:p>
        </w:tc>
      </w:tr>
      <w:tr w:rsidR="00A13170" w:rsidRPr="00C9075C" w:rsidTr="00A13170">
        <w:trPr>
          <w:trHeight w:val="289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t>(10)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2021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Central African strain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Wild animals in the rain forests block of the Congo basin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Familial, health care-related, and transport-related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Increased poverty leading to contact with wild animal host for food; civil unrest; cessation of routine smallpox vaccinations; poor living conditions;</w:t>
            </w:r>
          </w:p>
        </w:tc>
      </w:tr>
      <w:tr w:rsidR="00A13170" w:rsidRPr="00C9075C" w:rsidTr="00A13170">
        <w:trPr>
          <w:trHeight w:val="300"/>
        </w:trPr>
        <w:tc>
          <w:tcPr>
            <w:tcW w:w="1496" w:type="dxa"/>
          </w:tcPr>
          <w:p w:rsidR="00A13170" w:rsidRPr="00C9075C" w:rsidRDefault="00A13170" w:rsidP="00A13170">
            <w:pPr>
              <w:ind w:left="0" w:hanging="2"/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noProof/>
                <w:color w:val="000000"/>
                <w:sz w:val="22"/>
              </w:rPr>
              <w:lastRenderedPageBreak/>
              <w:t>(96)</w:t>
            </w:r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77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2021</w:t>
            </w:r>
          </w:p>
        </w:tc>
        <w:tc>
          <w:tcPr>
            <w:tcW w:w="1258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Human</w:t>
            </w:r>
          </w:p>
        </w:tc>
        <w:tc>
          <w:tcPr>
            <w:tcW w:w="188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NI</w:t>
            </w:r>
          </w:p>
        </w:tc>
        <w:tc>
          <w:tcPr>
            <w:tcW w:w="2700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>Contact with non-human primates, rats (</w:t>
            </w:r>
            <w:proofErr w:type="spellStart"/>
            <w:r w:rsidRPr="00C9075C">
              <w:rPr>
                <w:rFonts w:cs="Times New Roman"/>
                <w:i/>
                <w:color w:val="000000"/>
                <w:sz w:val="22"/>
              </w:rPr>
              <w:t>Cricetomys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C9075C">
              <w:rPr>
                <w:rFonts w:cs="Times New Roman"/>
                <w:color w:val="000000"/>
                <w:sz w:val="22"/>
              </w:rPr>
              <w:t>spp</w:t>
            </w:r>
            <w:proofErr w:type="spellEnd"/>
            <w:r w:rsidRPr="00C9075C">
              <w:rPr>
                <w:rFonts w:cs="Times New Roman"/>
                <w:color w:val="000000"/>
                <w:sz w:val="22"/>
              </w:rPr>
              <w:t xml:space="preserve">), squirrel;  </w:t>
            </w:r>
          </w:p>
        </w:tc>
        <w:tc>
          <w:tcPr>
            <w:tcW w:w="2534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Animal-human; human-human; </w:t>
            </w:r>
          </w:p>
        </w:tc>
        <w:tc>
          <w:tcPr>
            <w:tcW w:w="3713" w:type="dxa"/>
          </w:tcPr>
          <w:p w:rsidR="00A13170" w:rsidRPr="00C9075C" w:rsidRDefault="00A13170" w:rsidP="00A13170">
            <w:pPr>
              <w:ind w:left="0" w:hanging="2"/>
              <w:rPr>
                <w:rFonts w:cs="Times New Roman"/>
                <w:color w:val="000000"/>
                <w:sz w:val="22"/>
              </w:rPr>
            </w:pPr>
            <w:r w:rsidRPr="00C9075C">
              <w:rPr>
                <w:rFonts w:cs="Times New Roman"/>
                <w:color w:val="000000"/>
                <w:sz w:val="22"/>
              </w:rPr>
              <w:t xml:space="preserve">Vaccination status; age; sex; sociocultural norms; occupation; </w:t>
            </w:r>
          </w:p>
        </w:tc>
      </w:tr>
    </w:tbl>
    <w:p w:rsidR="00A13170" w:rsidRDefault="00A13170" w:rsidP="00A13170">
      <w:pPr>
        <w:spacing w:after="0"/>
        <w:ind w:left="0" w:hanging="2"/>
        <w:jc w:val="both"/>
      </w:pPr>
      <w:r>
        <w:t>NI – Not indicated.</w:t>
      </w:r>
    </w:p>
    <w:p w:rsidR="00A13170" w:rsidRDefault="00A13170" w:rsidP="00A13170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A13170" w:rsidRDefault="00A13170" w:rsidP="00A13170">
      <w:pPr>
        <w:spacing w:after="0" w:line="480" w:lineRule="auto"/>
        <w:ind w:left="0" w:hanging="2"/>
        <w:jc w:val="both"/>
        <w:rPr>
          <w:color w:val="000000"/>
        </w:rPr>
        <w:sectPr w:rsidR="00A13170" w:rsidSect="00A13170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A13170" w:rsidRDefault="00A13170" w:rsidP="00A13170">
      <w:pPr>
        <w:spacing w:after="0" w:line="480" w:lineRule="auto"/>
        <w:ind w:left="0" w:hanging="2"/>
        <w:jc w:val="both"/>
      </w:pPr>
      <w:proofErr w:type="gramStart"/>
      <w:r>
        <w:rPr>
          <w:color w:val="000000"/>
        </w:rPr>
        <w:lastRenderedPageBreak/>
        <w:t>Supplementary Table 3</w:t>
      </w:r>
      <w:r>
        <w:rPr>
          <w:b/>
        </w:rPr>
        <w:t>.</w:t>
      </w:r>
      <w:proofErr w:type="gramEnd"/>
      <w:r>
        <w:rPr>
          <w:b/>
        </w:rPr>
        <w:t xml:space="preserve"> Positions of the point mutation in H3L gene</w:t>
      </w:r>
    </w:p>
    <w:p w:rsidR="00A13170" w:rsidRDefault="00A13170" w:rsidP="00A13170">
      <w:pPr>
        <w:pBdr>
          <w:top w:val="single" w:sz="4" w:space="1" w:color="000000"/>
          <w:bottom w:val="single" w:sz="4" w:space="1" w:color="000000"/>
        </w:pBdr>
        <w:spacing w:after="0" w:line="480" w:lineRule="auto"/>
        <w:ind w:left="0" w:hanging="2"/>
        <w:jc w:val="both"/>
      </w:pPr>
      <w:r>
        <w:rPr>
          <w:b/>
        </w:rPr>
        <w:t>Position</w:t>
      </w:r>
      <w:r>
        <w:rPr>
          <w:b/>
        </w:rPr>
        <w:tab/>
        <w:t xml:space="preserve">Ref </w:t>
      </w:r>
      <w:proofErr w:type="spellStart"/>
      <w:r>
        <w:rPr>
          <w:b/>
        </w:rPr>
        <w:t>Seq</w:t>
      </w:r>
      <w:proofErr w:type="spellEnd"/>
      <w:r>
        <w:rPr>
          <w:b/>
        </w:rPr>
        <w:t xml:space="preserve"> (NC_003310.1)</w:t>
      </w:r>
      <w:r>
        <w:rPr>
          <w:b/>
        </w:rPr>
        <w:tab/>
      </w:r>
      <w:r>
        <w:rPr>
          <w:b/>
        </w:rPr>
        <w:tab/>
        <w:t xml:space="preserve">Other Sequences  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r>
        <w:t>a. 141</w:t>
      </w:r>
      <w:r>
        <w:tab/>
      </w:r>
      <w:r>
        <w:tab/>
        <w:t>G</w:t>
      </w:r>
      <w:r>
        <w:tab/>
      </w:r>
      <w:r>
        <w:tab/>
      </w:r>
      <w:r>
        <w:tab/>
      </w:r>
      <w:r>
        <w:tab/>
        <w:t>A (except DQ011156.1, DQ011157.1, MN346690.1)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r>
        <w:t>b. 163</w:t>
      </w:r>
      <w:r>
        <w:tab/>
      </w:r>
      <w:r>
        <w:tab/>
        <w:t>G</w:t>
      </w:r>
      <w:r>
        <w:tab/>
      </w:r>
      <w:r>
        <w:tab/>
      </w:r>
      <w:r>
        <w:tab/>
      </w:r>
      <w:r>
        <w:tab/>
        <w:t>A (except KJ642615.1)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r>
        <w:t>c. 418</w:t>
      </w:r>
      <w:r>
        <w:tab/>
      </w:r>
      <w:r>
        <w:tab/>
        <w:t>T</w:t>
      </w:r>
      <w:r>
        <w:tab/>
      </w:r>
      <w:r>
        <w:tab/>
      </w:r>
      <w:r>
        <w:tab/>
      </w:r>
      <w:r>
        <w:tab/>
        <w:t>G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r>
        <w:t>d. 451</w:t>
      </w:r>
      <w:r>
        <w:tab/>
      </w:r>
      <w:r>
        <w:tab/>
        <w:t>G</w:t>
      </w:r>
      <w:r>
        <w:tab/>
      </w:r>
      <w:r>
        <w:tab/>
      </w:r>
      <w:r>
        <w:tab/>
      </w:r>
      <w:r>
        <w:tab/>
        <w:t>A (except DQ011156.1, DQ011157.1, MN346690.1)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r>
        <w:t>e. 644</w:t>
      </w:r>
      <w:r>
        <w:tab/>
      </w:r>
      <w:r>
        <w:tab/>
      </w:r>
      <w:proofErr w:type="gramStart"/>
      <w:r>
        <w:t>A</w:t>
      </w:r>
      <w:proofErr w:type="gramEnd"/>
      <w:r>
        <w:tab/>
      </w:r>
      <w:r>
        <w:tab/>
      </w:r>
      <w:r>
        <w:tab/>
      </w:r>
      <w:r>
        <w:tab/>
        <w:t>G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proofErr w:type="gramStart"/>
      <w:r>
        <w:t>f</w:t>
      </w:r>
      <w:proofErr w:type="gramEnd"/>
      <w:r>
        <w:t>. 832</w:t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  <w:t>G in DQ011156.1, DQ011157.1, MN346690.1 only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r>
        <w:t>g. 965</w:t>
      </w:r>
      <w:r>
        <w:tab/>
      </w:r>
      <w:r>
        <w:tab/>
        <w:t>G</w:t>
      </w:r>
      <w:r>
        <w:tab/>
      </w:r>
      <w:r>
        <w:tab/>
      </w:r>
      <w:r>
        <w:tab/>
      </w:r>
      <w:r>
        <w:tab/>
        <w:t>A (except DQ011156.1, DQ011157.1, MN346690.1)</w:t>
      </w:r>
    </w:p>
    <w:p w:rsidR="00A13170" w:rsidRDefault="00A13170" w:rsidP="00A13170">
      <w:pPr>
        <w:pBdr>
          <w:bottom w:val="single" w:sz="4" w:space="1" w:color="000000"/>
        </w:pBdr>
        <w:spacing w:after="0" w:line="480" w:lineRule="auto"/>
        <w:ind w:left="0" w:hanging="2"/>
        <w:jc w:val="both"/>
      </w:pPr>
      <w:r>
        <w:t>h. 971</w:t>
      </w:r>
      <w:r>
        <w:tab/>
      </w:r>
      <w:r>
        <w:tab/>
        <w:t xml:space="preserve">G </w:t>
      </w:r>
      <w:r>
        <w:tab/>
      </w:r>
      <w:r>
        <w:tab/>
      </w:r>
      <w:r>
        <w:tab/>
      </w:r>
      <w:r>
        <w:tab/>
        <w:t>A in DQ011156.1, DQ011157.1, MN346690.1 only</w:t>
      </w:r>
    </w:p>
    <w:p w:rsidR="00A13170" w:rsidRDefault="00A13170" w:rsidP="00A13170">
      <w:pPr>
        <w:spacing w:after="0" w:line="480" w:lineRule="auto"/>
        <w:ind w:left="1" w:hanging="3"/>
        <w:jc w:val="both"/>
        <w:rPr>
          <w:color w:val="FF0000"/>
          <w:sz w:val="28"/>
          <w:szCs w:val="28"/>
        </w:rPr>
      </w:pPr>
    </w:p>
    <w:p w:rsidR="00A13170" w:rsidRDefault="00A13170" w:rsidP="00A13170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13170" w:rsidRDefault="00A13170" w:rsidP="00A13170">
      <w:pPr>
        <w:spacing w:after="0" w:line="480" w:lineRule="auto"/>
        <w:ind w:left="1" w:hanging="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 wp14:anchorId="002B9823" wp14:editId="2378392E">
            <wp:extent cx="5738495" cy="2734310"/>
            <wp:effectExtent l="0" t="0" r="0" b="0"/>
            <wp:docPr id="1" name="image3.jpg" descr="Graphical user interface, application,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Graphical user interface, application, tabl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2734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3170" w:rsidRDefault="00A13170" w:rsidP="00A13170">
      <w:pPr>
        <w:spacing w:after="0" w:line="240" w:lineRule="auto"/>
        <w:ind w:left="0" w:hanging="2"/>
        <w:rPr>
          <w:b/>
        </w:rPr>
      </w:pPr>
      <w:proofErr w:type="gramStart"/>
      <w:r>
        <w:rPr>
          <w:b/>
        </w:rPr>
        <w:t>Supplementary Figure 1.</w:t>
      </w:r>
      <w:proofErr w:type="gramEnd"/>
      <w:r>
        <w:rPr>
          <w:b/>
        </w:rPr>
        <w:t xml:space="preserve"> Multiple Sequence Alignment of H3L </w:t>
      </w:r>
      <w:proofErr w:type="gramStart"/>
      <w:r>
        <w:rPr>
          <w:b/>
        </w:rPr>
        <w:t>gene</w:t>
      </w:r>
      <w:proofErr w:type="gramEnd"/>
      <w:r>
        <w:rPr>
          <w:b/>
        </w:rPr>
        <w:t xml:space="preserve"> using NCBI-BLAST</w:t>
      </w:r>
    </w:p>
    <w:p w:rsidR="00A13170" w:rsidRDefault="00A13170" w:rsidP="00A13170">
      <w:pPr>
        <w:spacing w:after="0" w:line="240" w:lineRule="auto"/>
        <w:ind w:left="0" w:hanging="2"/>
      </w:pPr>
    </w:p>
    <w:p w:rsidR="00A13170" w:rsidRDefault="00A13170" w:rsidP="00A13170">
      <w:pPr>
        <w:spacing w:after="0"/>
        <w:ind w:left="0" w:hanging="2"/>
        <w:jc w:val="both"/>
      </w:pPr>
      <w:r>
        <w:t xml:space="preserve">The SNPs associated with twenty selected </w:t>
      </w:r>
      <w:proofErr w:type="spellStart"/>
      <w:r>
        <w:t>monkeypox</w:t>
      </w:r>
      <w:proofErr w:type="spellEnd"/>
      <w:r>
        <w:t xml:space="preserve"> strains aligned to the ref </w:t>
      </w:r>
      <w:proofErr w:type="spellStart"/>
      <w:r>
        <w:t>seq</w:t>
      </w:r>
      <w:proofErr w:type="spellEnd"/>
      <w:r>
        <w:t xml:space="preserve"> NC_003310.1 (Query_57191) are depicted red.</w:t>
      </w:r>
      <w:r>
        <w:rPr>
          <w:color w:val="FF0000"/>
          <w:sz w:val="28"/>
          <w:szCs w:val="28"/>
        </w:rPr>
        <w:br/>
      </w:r>
    </w:p>
    <w:p w:rsidR="00A13170" w:rsidRDefault="00A13170" w:rsidP="00A13170">
      <w:pPr>
        <w:spacing w:after="0"/>
        <w:ind w:left="0" w:hanging="2"/>
        <w:jc w:val="both"/>
      </w:pPr>
    </w:p>
    <w:p w:rsidR="00A13170" w:rsidRDefault="00A13170" w:rsidP="00A13170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13170" w:rsidRDefault="00A13170" w:rsidP="00A13170">
      <w:pPr>
        <w:spacing w:after="0" w:line="480" w:lineRule="auto"/>
        <w:ind w:left="1" w:hanging="3"/>
        <w:jc w:val="both"/>
        <w:rPr>
          <w:sz w:val="28"/>
          <w:szCs w:val="28"/>
        </w:rPr>
      </w:pPr>
    </w:p>
    <w:p w:rsidR="00A13170" w:rsidRDefault="00A13170" w:rsidP="00A13170">
      <w:pPr>
        <w:spacing w:after="0" w:line="480" w:lineRule="auto"/>
        <w:ind w:left="1" w:hanging="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5636519C" wp14:editId="7CE5A2DD">
            <wp:extent cx="5737225" cy="2215515"/>
            <wp:effectExtent l="0" t="0" r="0" b="0"/>
            <wp:docPr id="2" name="image6.jp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Tex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2215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3170" w:rsidRDefault="00A13170" w:rsidP="00A13170">
      <w:pPr>
        <w:spacing w:after="0" w:line="240" w:lineRule="auto"/>
        <w:ind w:left="0" w:hanging="2"/>
        <w:jc w:val="both"/>
        <w:rPr>
          <w:b/>
        </w:rPr>
      </w:pPr>
      <w:sdt>
        <w:sdtPr>
          <w:tag w:val="goog_rdk_110"/>
          <w:id w:val="1668437575"/>
          <w:showingPlcHdr/>
        </w:sdtPr>
        <w:sdtContent>
          <w:r>
            <w:t xml:space="preserve">     </w:t>
          </w:r>
        </w:sdtContent>
      </w:sdt>
      <w:proofErr w:type="gramStart"/>
      <w:r>
        <w:t xml:space="preserve">Supplementary </w:t>
      </w:r>
      <w:r>
        <w:rPr>
          <w:b/>
        </w:rPr>
        <w:t>Figure 2.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Multiple Sequence Alignment of H3L Amino Acid Sequences using MAFFT.</w:t>
      </w:r>
      <w:proofErr w:type="gramEnd"/>
    </w:p>
    <w:p w:rsidR="00A13170" w:rsidRDefault="00A13170" w:rsidP="00A13170">
      <w:pPr>
        <w:spacing w:after="0" w:line="240" w:lineRule="auto"/>
        <w:ind w:left="0" w:hanging="2"/>
        <w:jc w:val="both"/>
      </w:pPr>
    </w:p>
    <w:p w:rsidR="00A13170" w:rsidRDefault="00A13170" w:rsidP="00A13170">
      <w:pPr>
        <w:spacing w:after="0" w:line="480" w:lineRule="auto"/>
        <w:ind w:left="0" w:hanging="2"/>
        <w:jc w:val="both"/>
      </w:pPr>
      <w:r>
        <w:t>The amino acid changes associated with the 3 missense mutations are shown white. Reference sequence is NP536520.1</w:t>
      </w:r>
    </w:p>
    <w:p w:rsidR="00A13170" w:rsidRDefault="00A13170" w:rsidP="00A13170">
      <w:pPr>
        <w:spacing w:after="0" w:line="480" w:lineRule="auto"/>
        <w:ind w:left="0" w:hanging="2"/>
        <w:jc w:val="both"/>
      </w:pPr>
    </w:p>
    <w:p w:rsidR="00A13170" w:rsidRDefault="00A13170" w:rsidP="00A13170">
      <w:pPr>
        <w:spacing w:after="0" w:line="480" w:lineRule="auto"/>
        <w:ind w:left="0" w:hanging="2"/>
        <w:jc w:val="both"/>
      </w:pPr>
    </w:p>
    <w:p w:rsidR="00A13170" w:rsidRDefault="00A13170" w:rsidP="00A13170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A13170" w:rsidRDefault="00A13170" w:rsidP="00A13170">
      <w:pPr>
        <w:spacing w:line="480" w:lineRule="auto"/>
        <w:ind w:left="0" w:hanging="2"/>
        <w:jc w:val="both"/>
      </w:pPr>
      <w:r>
        <w:rPr>
          <w:b/>
        </w:rPr>
        <w:lastRenderedPageBreak/>
        <w:t>Supplementary information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rPr>
          <w:b/>
          <w:highlight w:val="lightGray"/>
        </w:rPr>
        <w:t>Ovid MEDLINE(R) ALL 1946 to June 02, 2022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1</w:t>
      </w:r>
      <w:r>
        <w:tab/>
      </w:r>
      <w:proofErr w:type="spellStart"/>
      <w:r>
        <w:t>Monkeypox</w:t>
      </w:r>
      <w:proofErr w:type="spellEnd"/>
      <w:r>
        <w:t xml:space="preserve"> virus/ or </w:t>
      </w:r>
      <w:proofErr w:type="spellStart"/>
      <w:r>
        <w:t>Monkeypox</w:t>
      </w:r>
      <w:proofErr w:type="spellEnd"/>
      <w:r>
        <w:t>/</w:t>
      </w:r>
      <w:r>
        <w:tab/>
        <w:t>515</w:t>
      </w:r>
    </w:p>
    <w:p w:rsidR="00A13170" w:rsidRDefault="00A13170" w:rsidP="00A13170">
      <w:pPr>
        <w:spacing w:after="0" w:line="240" w:lineRule="auto"/>
        <w:ind w:left="0" w:hanging="2"/>
        <w:jc w:val="both"/>
      </w:pPr>
      <w:proofErr w:type="gramStart"/>
      <w:r>
        <w:t>2</w:t>
      </w:r>
      <w:r>
        <w:tab/>
        <w:t>(prevalence* or outbreak* or control or transmission*).</w:t>
      </w:r>
      <w:proofErr w:type="spellStart"/>
      <w:r>
        <w:t>mp</w:t>
      </w:r>
      <w:proofErr w:type="spellEnd"/>
      <w:r>
        <w:t>.</w:t>
      </w:r>
      <w:proofErr w:type="gramEnd"/>
      <w:r>
        <w:tab/>
        <w:t>5498033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3</w:t>
      </w:r>
      <w:r>
        <w:tab/>
        <w:t>Origin mutation*.</w:t>
      </w:r>
      <w:proofErr w:type="spellStart"/>
      <w:r>
        <w:t>mp</w:t>
      </w:r>
      <w:proofErr w:type="spellEnd"/>
      <w:r>
        <w:t>.</w:t>
      </w:r>
      <w:r>
        <w:tab/>
        <w:t>70</w:t>
      </w:r>
    </w:p>
    <w:p w:rsidR="00A13170" w:rsidRDefault="00A13170" w:rsidP="00A13170">
      <w:pPr>
        <w:spacing w:after="0" w:line="240" w:lineRule="auto"/>
        <w:ind w:left="0" w:hanging="2"/>
        <w:jc w:val="both"/>
      </w:pPr>
      <w:proofErr w:type="gramStart"/>
      <w:r>
        <w:t>4</w:t>
      </w:r>
      <w:r>
        <w:tab/>
      </w:r>
      <w:proofErr w:type="spellStart"/>
      <w:r>
        <w:t>molecul</w:t>
      </w:r>
      <w:proofErr w:type="spellEnd"/>
      <w:r>
        <w:t>* strain*.</w:t>
      </w:r>
      <w:proofErr w:type="spellStart"/>
      <w:r>
        <w:t>mp</w:t>
      </w:r>
      <w:proofErr w:type="spellEnd"/>
      <w:r>
        <w:t>.</w:t>
      </w:r>
      <w:proofErr w:type="gramEnd"/>
      <w:r>
        <w:tab/>
        <w:t>221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5</w:t>
      </w:r>
      <w:r>
        <w:tab/>
        <w:t>Animal* transmission*.</w:t>
      </w:r>
      <w:proofErr w:type="spellStart"/>
      <w:r>
        <w:t>mp</w:t>
      </w:r>
      <w:proofErr w:type="spellEnd"/>
      <w:r>
        <w:t>.</w:t>
      </w:r>
      <w:r>
        <w:tab/>
        <w:t>217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6</w:t>
      </w:r>
      <w:r>
        <w:tab/>
      </w:r>
      <w:proofErr w:type="spellStart"/>
      <w:r>
        <w:t>Zoonoses</w:t>
      </w:r>
      <w:proofErr w:type="spellEnd"/>
      <w:r>
        <w:t>/ or One Health/ or Global Health/ or Public Health/</w:t>
      </w:r>
      <w:r>
        <w:tab/>
        <w:t>158221</w:t>
      </w:r>
    </w:p>
    <w:p w:rsidR="00A13170" w:rsidRDefault="00A13170" w:rsidP="00A13170">
      <w:pPr>
        <w:spacing w:after="0" w:line="240" w:lineRule="auto"/>
        <w:ind w:left="0" w:hanging="2"/>
        <w:jc w:val="both"/>
      </w:pPr>
      <w:proofErr w:type="gramStart"/>
      <w:r>
        <w:t>7</w:t>
      </w:r>
      <w:r>
        <w:tab/>
        <w:t>one health.mp.</w:t>
      </w:r>
      <w:proofErr w:type="gramEnd"/>
      <w:r>
        <w:t xml:space="preserve"> </w:t>
      </w:r>
      <w:proofErr w:type="gramStart"/>
      <w:r>
        <w:t>or</w:t>
      </w:r>
      <w:proofErr w:type="gramEnd"/>
      <w:r>
        <w:t xml:space="preserve"> One Health/</w:t>
      </w:r>
      <w:r>
        <w:tab/>
        <w:t>6088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8</w:t>
      </w:r>
      <w:r>
        <w:tab/>
        <w:t>Humans/ or One Health/ or Animals/</w:t>
      </w:r>
      <w:r>
        <w:tab/>
        <w:t xml:space="preserve">    25502588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9</w:t>
      </w:r>
      <w:r>
        <w:tab/>
        <w:t xml:space="preserve">Africa.mp. </w:t>
      </w:r>
      <w:proofErr w:type="gramStart"/>
      <w:r>
        <w:t>or</w:t>
      </w:r>
      <w:proofErr w:type="gramEnd"/>
      <w:r>
        <w:t xml:space="preserve"> Africa/</w:t>
      </w:r>
      <w:r>
        <w:tab/>
        <w:t xml:space="preserve"> 182078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10</w:t>
      </w:r>
      <w:r>
        <w:tab/>
        <w:t>2 or 3 or 4 or 5</w:t>
      </w:r>
      <w:r>
        <w:tab/>
        <w:t xml:space="preserve">              5498225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11</w:t>
      </w:r>
      <w:r>
        <w:tab/>
        <w:t>6 or 7 or 8</w:t>
      </w:r>
      <w:r>
        <w:tab/>
        <w:t xml:space="preserve">              25519468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12</w:t>
      </w:r>
      <w:r>
        <w:tab/>
        <w:t>1 and 9 and 10 and 11</w:t>
      </w:r>
      <w:r>
        <w:tab/>
        <w:t xml:space="preserve">        98</w:t>
      </w:r>
    </w:p>
    <w:p w:rsidR="00A13170" w:rsidRDefault="00A13170" w:rsidP="00A13170">
      <w:pPr>
        <w:spacing w:after="0" w:line="240" w:lineRule="auto"/>
        <w:ind w:left="0" w:hanging="2"/>
        <w:jc w:val="both"/>
      </w:pPr>
    </w:p>
    <w:p w:rsidR="00A13170" w:rsidRDefault="00A13170" w:rsidP="00A13170">
      <w:pPr>
        <w:spacing w:after="0" w:line="240" w:lineRule="auto"/>
        <w:ind w:left="0" w:hanging="2"/>
        <w:jc w:val="both"/>
      </w:pPr>
      <w:r>
        <w:rPr>
          <w:b/>
          <w:highlight w:val="lightGray"/>
        </w:rPr>
        <w:t>Web of Science</w:t>
      </w:r>
    </w:p>
    <w:tbl>
      <w:tblPr>
        <w:tblW w:w="935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116"/>
        <w:gridCol w:w="3117"/>
        <w:gridCol w:w="3117"/>
      </w:tblGrid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proofErr w:type="spellStart"/>
            <w:r>
              <w:rPr>
                <w:b/>
                <w:shd w:val="clear" w:color="auto" w:fill="FAFAFC"/>
              </w:rPr>
              <w:t>Monkeypox</w:t>
            </w:r>
            <w:proofErr w:type="spellEnd"/>
            <w:r>
              <w:rPr>
                <w:b/>
                <w:shd w:val="clear" w:color="auto" w:fill="FAFAFC"/>
              </w:rPr>
              <w:t xml:space="preserve"> virus 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hyperlink r:id="rId8">
              <w:r>
                <w:rPr>
                  <w:color w:val="0000FF"/>
                  <w:u w:val="single"/>
                </w:rPr>
                <w:t>852</w:t>
              </w:r>
            </w:hyperlink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prevalence* or outbreak* or control or transmission*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hyperlink r:id="rId9">
              <w:r>
                <w:rPr>
                  <w:color w:val="0000FF"/>
                  <w:u w:val="single"/>
                </w:rPr>
                <w:t>9,907,308</w:t>
              </w:r>
            </w:hyperlink>
          </w:p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Origin mutation* 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hyperlink r:id="rId10">
              <w:r>
                <w:rPr>
                  <w:color w:val="0000FF"/>
                  <w:u w:val="single"/>
                </w:rPr>
                <w:t>30,209</w:t>
              </w:r>
            </w:hyperlink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proofErr w:type="spellStart"/>
            <w:r>
              <w:rPr>
                <w:b/>
                <w:shd w:val="clear" w:color="auto" w:fill="FAFAFC"/>
              </w:rPr>
              <w:t>molecul</w:t>
            </w:r>
            <w:proofErr w:type="spellEnd"/>
            <w:r>
              <w:rPr>
                <w:b/>
                <w:shd w:val="clear" w:color="auto" w:fill="FAFAFC"/>
              </w:rPr>
              <w:t>* strain* 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hyperlink r:id="rId11">
              <w:r>
                <w:rPr>
                  <w:color w:val="0000FF"/>
                  <w:u w:val="single"/>
                </w:rPr>
                <w:t>209,568</w:t>
              </w:r>
            </w:hyperlink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Animal* transmission* 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hyperlink r:id="rId12">
              <w:r>
                <w:rPr>
                  <w:color w:val="0000FF"/>
                  <w:u w:val="single"/>
                </w:rPr>
                <w:t>52,834</w:t>
              </w:r>
            </w:hyperlink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proofErr w:type="spellStart"/>
            <w:r>
              <w:rPr>
                <w:b/>
                <w:shd w:val="clear" w:color="auto" w:fill="FAFAFC"/>
              </w:rPr>
              <w:t>Zoonoses</w:t>
            </w:r>
            <w:proofErr w:type="spellEnd"/>
            <w:r>
              <w:rPr>
                <w:b/>
                <w:shd w:val="clear" w:color="auto" w:fill="FAFAFC"/>
              </w:rPr>
              <w:t xml:space="preserve"> or One Health or Global Health or Public Health 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t>2,342,491</w:t>
            </w:r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Humans or Animals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hyperlink r:id="rId13">
              <w:r>
                <w:rPr>
                  <w:rFonts w:cs="Times New Roman"/>
                  <w:color w:val="2F5496"/>
                  <w:szCs w:val="24"/>
                </w:rPr>
                <w:t>5,326,324</w:t>
              </w:r>
            </w:hyperlink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Africa 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shd w:val="clear" w:color="auto" w:fill="FAFAFC"/>
              </w:rPr>
              <w:t>(All Fields)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hyperlink r:id="rId14">
              <w:r>
                <w:rPr>
                  <w:rFonts w:cs="Times New Roman"/>
                  <w:color w:val="2F5496"/>
                  <w:szCs w:val="24"/>
                </w:rPr>
                <w:t>742,352</w:t>
              </w:r>
            </w:hyperlink>
          </w:p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#1 OR #2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t>1,050</w:t>
            </w:r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#3 OR #4 OR #5 OR #6 OR #7 OR #8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t>15,394,571</w:t>
            </w:r>
          </w:p>
        </w:tc>
      </w:tr>
      <w:tr w:rsidR="00A13170" w:rsidTr="00A13170">
        <w:tc>
          <w:tcPr>
            <w:tcW w:w="311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rPr>
                <w:b/>
                <w:shd w:val="clear" w:color="auto" w:fill="FAFAFC"/>
              </w:rPr>
              <w:t>#10 AND #11 AND #9</w:t>
            </w: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</w:p>
        </w:tc>
        <w:tc>
          <w:tcPr>
            <w:tcW w:w="311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  <w:r>
              <w:t>134</w:t>
            </w:r>
          </w:p>
        </w:tc>
      </w:tr>
    </w:tbl>
    <w:p w:rsidR="00A13170" w:rsidRDefault="00A13170" w:rsidP="00A13170">
      <w:pPr>
        <w:shd w:val="clear" w:color="auto" w:fill="FAFAFC"/>
        <w:spacing w:after="0" w:line="240" w:lineRule="auto"/>
        <w:ind w:left="0" w:hanging="2"/>
        <w:jc w:val="both"/>
      </w:pPr>
      <w:r>
        <w:rPr>
          <w:b/>
        </w:rPr>
        <w:br/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rPr>
          <w:b/>
        </w:rPr>
        <w:t>Google Scholar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>Same search term sent used (81)</w:t>
      </w:r>
    </w:p>
    <w:p w:rsidR="00A13170" w:rsidRDefault="00A13170" w:rsidP="00A13170">
      <w:pPr>
        <w:spacing w:after="0" w:line="240" w:lineRule="auto"/>
        <w:ind w:left="0" w:hanging="2"/>
        <w:jc w:val="both"/>
      </w:pPr>
    </w:p>
    <w:p w:rsidR="00A13170" w:rsidRDefault="00A13170" w:rsidP="00A13170">
      <w:pPr>
        <w:spacing w:after="0" w:line="240" w:lineRule="auto"/>
        <w:ind w:left="0" w:hanging="2"/>
        <w:jc w:val="both"/>
      </w:pPr>
      <w:r>
        <w:rPr>
          <w:b/>
        </w:rPr>
        <w:t>Africa Journal Online</w:t>
      </w:r>
    </w:p>
    <w:p w:rsidR="00A13170" w:rsidRDefault="00A13170" w:rsidP="00A13170">
      <w:pPr>
        <w:spacing w:after="0" w:line="240" w:lineRule="auto"/>
        <w:ind w:left="0" w:hanging="2"/>
        <w:jc w:val="both"/>
      </w:pPr>
      <w:r>
        <w:t xml:space="preserve">Same search term sent used (17) </w:t>
      </w:r>
      <w:r>
        <w:rPr>
          <w:highlight w:val="yellow"/>
        </w:rPr>
        <w:t>unable to export but all articles were also identified in other retrieved articles</w:t>
      </w:r>
    </w:p>
    <w:p w:rsidR="00A13170" w:rsidRDefault="00A13170" w:rsidP="00A13170">
      <w:pPr>
        <w:spacing w:after="0" w:line="240" w:lineRule="auto"/>
        <w:ind w:left="0" w:hanging="2"/>
        <w:jc w:val="both"/>
      </w:pPr>
    </w:p>
    <w:p w:rsidR="00A13170" w:rsidRDefault="00A13170" w:rsidP="00A13170">
      <w:pPr>
        <w:spacing w:after="0" w:line="240" w:lineRule="auto"/>
        <w:ind w:left="0" w:hanging="2"/>
        <w:jc w:val="both"/>
      </w:pPr>
      <w:proofErr w:type="spellStart"/>
      <w:r>
        <w:rPr>
          <w:b/>
          <w:highlight w:val="lightGray"/>
        </w:rPr>
        <w:t>EBSCOhost</w:t>
      </w:r>
      <w:proofErr w:type="spellEnd"/>
      <w:r>
        <w:rPr>
          <w:b/>
          <w:highlight w:val="lightGray"/>
        </w:rPr>
        <w:t xml:space="preserve">- </w:t>
      </w:r>
      <w:r>
        <w:rPr>
          <w:b/>
          <w:color w:val="333333"/>
        </w:rPr>
        <w:t>Africa-Wide Information</w:t>
      </w:r>
    </w:p>
    <w:tbl>
      <w:tblPr>
        <w:tblW w:w="990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8"/>
        <w:gridCol w:w="2433"/>
        <w:gridCol w:w="2490"/>
        <w:gridCol w:w="2905"/>
        <w:gridCol w:w="1176"/>
      </w:tblGrid>
      <w:tr w:rsidR="00A13170" w:rsidTr="00A13170">
        <w:trPr>
          <w:trHeight w:val="469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b/>
                <w:color w:val="333333"/>
              </w:rPr>
              <w:t>#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b/>
                <w:color w:val="333333"/>
              </w:rPr>
              <w:t>Query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b/>
                <w:color w:val="333333"/>
              </w:rPr>
              <w:t>Limiters/Expanders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b/>
                <w:color w:val="333333"/>
              </w:rPr>
              <w:t>Last Run Via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b/>
                <w:color w:val="333333"/>
              </w:rPr>
              <w:t>Results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>S11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S1 AND S9 AND S10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132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S10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S2 OR S3 OR S4 OR S5 OR S6 OR S7 OR S8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1,065,649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S9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Africa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2,032,003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S8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Human* or Animal*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748,784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S7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one health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1,083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S6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Zoonoses</w:t>
            </w:r>
            <w:proofErr w:type="spellEnd"/>
            <w:r>
              <w:rPr>
                <w:color w:val="333333"/>
              </w:rPr>
              <w:t xml:space="preserve"> or One Health or Global Health or Public Health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185,720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S5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Animal* transmission*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33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S4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molecul</w:t>
            </w:r>
            <w:proofErr w:type="spellEnd"/>
            <w:r>
              <w:rPr>
                <w:color w:val="333333"/>
              </w:rPr>
              <w:t>* strain*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</w:r>
            <w:r>
              <w:rPr>
                <w:color w:val="333333"/>
              </w:rPr>
              <w:lastRenderedPageBreak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>40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lastRenderedPageBreak/>
              <w:t>S3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Origin mutation*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A13170" w:rsidTr="00A13170">
        <w:trPr>
          <w:trHeight w:val="995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S2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prevalence* or outbreak* or control or transmission*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446,742</w:t>
            </w:r>
          </w:p>
        </w:tc>
      </w:tr>
      <w:tr w:rsidR="00A13170" w:rsidTr="00A13170">
        <w:trPr>
          <w:trHeight w:val="981"/>
        </w:trPr>
        <w:tc>
          <w:tcPr>
            <w:tcW w:w="898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S1</w:t>
            </w:r>
          </w:p>
        </w:tc>
        <w:tc>
          <w:tcPr>
            <w:tcW w:w="2433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Monkeypox</w:t>
            </w:r>
            <w:proofErr w:type="spellEnd"/>
            <w:r>
              <w:rPr>
                <w:color w:val="333333"/>
              </w:rPr>
              <w:t xml:space="preserve"> or monkey pox or </w:t>
            </w:r>
            <w:proofErr w:type="spellStart"/>
            <w:r>
              <w:rPr>
                <w:color w:val="333333"/>
              </w:rPr>
              <w:t>monkeypox</w:t>
            </w:r>
            <w:proofErr w:type="spellEnd"/>
            <w:r>
              <w:rPr>
                <w:color w:val="333333"/>
              </w:rPr>
              <w:t xml:space="preserve"> virus</w:t>
            </w:r>
          </w:p>
        </w:tc>
        <w:tc>
          <w:tcPr>
            <w:tcW w:w="2490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Expanders - Apply equivalent subjects</w:t>
            </w:r>
            <w:r>
              <w:rPr>
                <w:color w:val="333333"/>
              </w:rPr>
              <w:br/>
              <w:t>Search modes - Boolean/Phrase</w:t>
            </w:r>
          </w:p>
        </w:tc>
        <w:tc>
          <w:tcPr>
            <w:tcW w:w="2905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Interface - </w:t>
            </w:r>
            <w:proofErr w:type="spellStart"/>
            <w:r>
              <w:rPr>
                <w:color w:val="333333"/>
              </w:rPr>
              <w:t>EBSCOhost</w:t>
            </w:r>
            <w:proofErr w:type="spellEnd"/>
            <w:r>
              <w:rPr>
                <w:color w:val="333333"/>
              </w:rPr>
              <w:t xml:space="preserve"> Research Databases</w:t>
            </w:r>
            <w:r>
              <w:rPr>
                <w:color w:val="333333"/>
              </w:rPr>
              <w:br/>
              <w:t>Search Screen - Advanced Search</w:t>
            </w:r>
            <w:r>
              <w:rPr>
                <w:color w:val="333333"/>
              </w:rPr>
              <w:br/>
              <w:t>Database - Africa-Wide Information</w:t>
            </w:r>
          </w:p>
        </w:tc>
        <w:tc>
          <w:tcPr>
            <w:tcW w:w="117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333333"/>
              </w:rPr>
            </w:pPr>
            <w:r>
              <w:rPr>
                <w:color w:val="333333"/>
              </w:rPr>
              <w:t>319</w:t>
            </w:r>
          </w:p>
        </w:tc>
      </w:tr>
    </w:tbl>
    <w:p w:rsidR="00A13170" w:rsidRDefault="00A13170" w:rsidP="00A13170">
      <w:pPr>
        <w:spacing w:after="0" w:line="240" w:lineRule="auto"/>
        <w:ind w:left="0" w:hanging="2"/>
        <w:jc w:val="both"/>
      </w:pPr>
    </w:p>
    <w:p w:rsidR="00A13170" w:rsidRDefault="00A13170" w:rsidP="00A13170">
      <w:pPr>
        <w:spacing w:after="0" w:line="240" w:lineRule="auto"/>
        <w:ind w:left="0" w:hanging="2"/>
        <w:jc w:val="both"/>
      </w:pPr>
      <w:r>
        <w:rPr>
          <w:b/>
          <w:highlight w:val="lightGray"/>
        </w:rPr>
        <w:t>PubMed</w:t>
      </w:r>
    </w:p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126"/>
        <w:gridCol w:w="829"/>
        <w:gridCol w:w="767"/>
        <w:gridCol w:w="1171"/>
        <w:gridCol w:w="4046"/>
        <w:gridCol w:w="992"/>
        <w:gridCol w:w="1134"/>
      </w:tblGrid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Search number</w:t>
            </w:r>
          </w:p>
        </w:tc>
        <w:tc>
          <w:tcPr>
            <w:tcW w:w="829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Query</w:t>
            </w:r>
          </w:p>
        </w:tc>
        <w:tc>
          <w:tcPr>
            <w:tcW w:w="76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Sort By</w:t>
            </w: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Filters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Search Details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Results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Time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96" w:type="dxa"/>
            <w:gridSpan w:val="2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#2 AND #10 AND #11</w:t>
            </w: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Full text, English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"[All Fields] AND "virus"[All Fields])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virus"[All Fields]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"[All Fields])) AND ("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 xml:space="preserve"> s"[All Fields] OR "</w:t>
            </w:r>
            <w:proofErr w:type="spellStart"/>
            <w:r>
              <w:rPr>
                <w:color w:val="000000"/>
              </w:rPr>
              <w:t>africas</w:t>
            </w:r>
            <w:proofErr w:type="spellEnd"/>
            <w:r>
              <w:rPr>
                <w:color w:val="000000"/>
              </w:rPr>
              <w:t>"[All Fields]) AND ("prevalence*"[All Fields] OR "outbreak*"[All Fields] OR ("</w:t>
            </w:r>
            <w:proofErr w:type="spellStart"/>
            <w:r>
              <w:rPr>
                <w:color w:val="000000"/>
              </w:rPr>
              <w:t>controling</w:t>
            </w:r>
            <w:proofErr w:type="spellEnd"/>
            <w:r>
              <w:rPr>
                <w:color w:val="000000"/>
              </w:rPr>
              <w:t>"[All Fields] OR "controllability"[All Fields] OR "controllable"[All Fields] OR "controllably"[All Fields] OR "controller"[All Fields] OR "controller s"[All Fields] OR "controllers"[All Fields] OR "controlling"[All Fields] OR "controls"[All Fields] OR "prevention and control"[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Subheading] OR ("prevention"[All </w:t>
            </w:r>
            <w:r>
              <w:rPr>
                <w:color w:val="000000"/>
              </w:rPr>
              <w:lastRenderedPageBreak/>
              <w:t>Fields] AND "control"[All Fields]) OR "prevention and control"[All Fields] OR "control"[All Fields] OR "control groups"[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("control"[All Fields] AND "groups"[All Fields]) OR "control groups"[All Fields]) OR "transmission*"[All Fields] OR (("origin"[All Fields] OR "originate"[All Fields] OR "originated"[All Fields] OR "originates"[All Fields] OR "originating"[All Fields] OR "origination"[All Fields] OR "originations"[All Fields] OR "origins"[All Fields]) AND "mutation*"[All Fields]) OR ("</w:t>
            </w:r>
            <w:proofErr w:type="spellStart"/>
            <w:r>
              <w:rPr>
                <w:color w:val="000000"/>
              </w:rPr>
              <w:t>molecul</w:t>
            </w:r>
            <w:proofErr w:type="spellEnd"/>
            <w:r>
              <w:rPr>
                <w:color w:val="000000"/>
              </w:rPr>
              <w:t>*"[All Fields] AND "strain*"[All Fields]) OR ("animal*"[All Fields] AND "transmission*"[All Fields]) OR ("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zoonose</w:t>
            </w:r>
            <w:proofErr w:type="spellEnd"/>
            <w:r>
              <w:rPr>
                <w:color w:val="000000"/>
              </w:rPr>
              <w:t>"[All Fields]) OR ("one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("one"[All Fields] AND "health"[All Fields]) OR "one health"[All Fields]) OR ("global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("global"[All Fields] AND "health"[All Fields]) OR "global health"[All Fields]) OR ("public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("public"[All Fields] AND "health"[All Fields]) OR "public health"[All Fields]) OR ("human s"[All Fields] OR "humans"[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"humans"[All Fields] OR "human"[All Fields]) OR ("animals"[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Terms:noexp</w:t>
            </w:r>
            <w:proofErr w:type="spellEnd"/>
            <w:r>
              <w:rPr>
                <w:color w:val="000000"/>
              </w:rPr>
              <w:t>] OR "animals"[All Fields]))) AND ((</w:t>
            </w:r>
            <w:proofErr w:type="spellStart"/>
            <w:r>
              <w:rPr>
                <w:color w:val="000000"/>
              </w:rPr>
              <w:t>fft</w:t>
            </w:r>
            <w:proofErr w:type="spellEnd"/>
            <w:r>
              <w:rPr>
                <w:color w:val="000000"/>
              </w:rPr>
              <w:t>[Filter]) AND (</w:t>
            </w:r>
            <w:proofErr w:type="spellStart"/>
            <w:r>
              <w:rPr>
                <w:color w:val="000000"/>
              </w:rPr>
              <w:t>english</w:t>
            </w:r>
            <w:proofErr w:type="spellEnd"/>
            <w:r>
              <w:rPr>
                <w:color w:val="000000"/>
              </w:rPr>
              <w:t>[Filter]))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230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08:54:39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1596" w:type="dxa"/>
            <w:gridSpan w:val="2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#2 AND #10 AND #11</w:t>
            </w: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Full text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"[All Fields] AND "virus"[All Fields])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virus"[All Fields]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"[All Fields])) AND </w:t>
            </w:r>
            <w:r>
              <w:rPr>
                <w:color w:val="000000"/>
              </w:rPr>
              <w:lastRenderedPageBreak/>
              <w:t>("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 xml:space="preserve"> s"[All Fields] OR "</w:t>
            </w:r>
            <w:proofErr w:type="spellStart"/>
            <w:r>
              <w:rPr>
                <w:color w:val="000000"/>
              </w:rPr>
              <w:t>africas</w:t>
            </w:r>
            <w:proofErr w:type="spellEnd"/>
            <w:r>
              <w:rPr>
                <w:color w:val="000000"/>
              </w:rPr>
              <w:t>"[All Fields]) AND ("prevalence*"[All Fields] OR "outbreak*"[All Fields] OR ("</w:t>
            </w:r>
            <w:proofErr w:type="spellStart"/>
            <w:r>
              <w:rPr>
                <w:color w:val="000000"/>
              </w:rPr>
              <w:t>controling</w:t>
            </w:r>
            <w:proofErr w:type="spellEnd"/>
            <w:r>
              <w:rPr>
                <w:color w:val="000000"/>
              </w:rPr>
              <w:t>"[All Fields] OR "controllability"[All Fields] OR "controllable"[All Fields] OR "controllably"[All Fields] OR "controller"[All Fields] OR "controller s"[All Fields] OR "controllers"[All Fields] OR "controlling"[All Fields] OR "controls"[All Fields] OR "prevention and control"[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Subheading] OR ("prevention"[All Fields] AND "control"[All Fields]) OR "prevention and control"[All Fields] OR "control"[All Fields] OR "control groups"[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("control"[All Fields] AND "groups"[All Fields]) OR "control groups"[All Fields]) OR "transmission*"[All Fields] OR (("origin"[All Fields] OR "originate"[All Fields] OR "originated"[All Fields] OR "originates"[All Fields] OR "originating"[All Fields] OR "origination"[All Fields] OR "originations"[All Fields] OR "origins"[All Fields]) AND "mutation*"[All Fields]) OR ("</w:t>
            </w:r>
            <w:proofErr w:type="spellStart"/>
            <w:r>
              <w:rPr>
                <w:color w:val="000000"/>
              </w:rPr>
              <w:t>molecul</w:t>
            </w:r>
            <w:proofErr w:type="spellEnd"/>
            <w:r>
              <w:rPr>
                <w:color w:val="000000"/>
              </w:rPr>
              <w:t>*"[All Fields] AND "strain*"[All Fields]) OR ("animal*"[All Fields] AND "transmission*"[All Fields]) OR ("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zoonose</w:t>
            </w:r>
            <w:proofErr w:type="spellEnd"/>
            <w:r>
              <w:rPr>
                <w:color w:val="000000"/>
              </w:rPr>
              <w:t>"[All Fields]) OR ("one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("one"[All Fields] AND "health"[All Fields]) OR "one health"[All Fields]) OR ("global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("global"[All Fields] AND "health"[All Fields]) OR "global health"[All Fields]) OR ("public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Terms] OR ("public"[All Fields] AND "health"[All Fields]) OR "public health"[All Fields]) OR ("human s"[All Fields] OR "humans"[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"humans"[All Fields] OR "human"[All Fields]) OR ("animals"[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Terms:noexp</w:t>
            </w:r>
            <w:proofErr w:type="spellEnd"/>
            <w:r>
              <w:rPr>
                <w:color w:val="000000"/>
              </w:rPr>
              <w:t>] OR "animals"[All Fields]))) AND (</w:t>
            </w:r>
            <w:proofErr w:type="spellStart"/>
            <w:r>
              <w:rPr>
                <w:color w:val="000000"/>
              </w:rPr>
              <w:t>fft</w:t>
            </w:r>
            <w:proofErr w:type="spellEnd"/>
            <w:r>
              <w:rPr>
                <w:color w:val="000000"/>
              </w:rPr>
              <w:t>[Filter])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236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08:54:28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2767" w:type="dxa"/>
            <w:gridSpan w:val="3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#2 AND #10 AND #11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"[All Fields] AND "virus"[All Fields])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virus"[All Fields]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"[All Fields])) AND ("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 xml:space="preserve"> s"[All Fields] OR "</w:t>
            </w:r>
            <w:proofErr w:type="spellStart"/>
            <w:r>
              <w:rPr>
                <w:color w:val="000000"/>
              </w:rPr>
              <w:t>africas</w:t>
            </w:r>
            <w:proofErr w:type="spellEnd"/>
            <w:r>
              <w:rPr>
                <w:color w:val="000000"/>
              </w:rPr>
              <w:t>"[All Fields]) AND ("prevalence*"[All Fields] OR "outbreak*"[All Fields] OR ("</w:t>
            </w:r>
            <w:proofErr w:type="spellStart"/>
            <w:r>
              <w:rPr>
                <w:color w:val="000000"/>
              </w:rPr>
              <w:t>controling</w:t>
            </w:r>
            <w:proofErr w:type="spellEnd"/>
            <w:r>
              <w:rPr>
                <w:color w:val="000000"/>
              </w:rPr>
              <w:t>"[All Fields] OR "controllability"[All Fields] OR "controllable"[All Fields] OR "controllably"[All Fields] OR "controller"[All Fields] OR "controller s"[All Fields] OR "controllers"[All Fields] OR "controlling"[All Fields] OR "controls"[All Fields] OR "prevention and control"[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Subheading] OR ("prevention"[All Fields] AND "control"[All Fields]) OR "prevention and control"[All Fields] OR "control"[All Fields] OR "control groups"[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("control"[All Fields] AND "groups"[All Fields]) OR "control groups"[All Fields]) OR "transmission*"[All Fields] OR (("origin"[All Fields] OR "originate"[All Fields] OR "originated"[All Fields] OR "originates"[All Fields] OR "originating"[All Fields] OR "origination"[All Fields] OR "originations"[All Fields] OR "origins"[All Fields]) AND </w:t>
            </w:r>
            <w:r>
              <w:rPr>
                <w:color w:val="000000"/>
              </w:rPr>
              <w:lastRenderedPageBreak/>
              <w:t>"mutation*"[All Fields]) OR ("</w:t>
            </w:r>
            <w:proofErr w:type="spellStart"/>
            <w:r>
              <w:rPr>
                <w:color w:val="000000"/>
              </w:rPr>
              <w:t>molecul</w:t>
            </w:r>
            <w:proofErr w:type="spellEnd"/>
            <w:r>
              <w:rPr>
                <w:color w:val="000000"/>
              </w:rPr>
              <w:t>*"[All Fields] AND "strain*"[All Fields]) OR ("animal*"[All Fields] AND "transmission*"[All Fields]) OR ("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zoonose</w:t>
            </w:r>
            <w:proofErr w:type="spellEnd"/>
            <w:r>
              <w:rPr>
                <w:color w:val="000000"/>
              </w:rPr>
              <w:t>"[All Fields]) OR ("one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("one"[All Fields] AND "health"[All Fields]) OR "one health"[All Fields]) OR ("global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("global"[All Fields] AND "health"[All Fields]) OR "global health"[All Fields]) OR ("public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("public"[All Fields] AND "health"[All Fields]) OR "public health"[All Fields]) OR ("human s"[All Fields] OR "humans"[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"humans"[All Fields] OR "human"[All Fields]) OR ("animals"[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Terms:noexp</w:t>
            </w:r>
            <w:proofErr w:type="spellEnd"/>
            <w:r>
              <w:rPr>
                <w:color w:val="000000"/>
              </w:rPr>
              <w:t>] OR "animals"[All Fields]))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278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08:51:25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2767" w:type="dxa"/>
            <w:gridSpan w:val="3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prevalence* or outbreak* or control or transmission* or Origin mutation* or </w:t>
            </w:r>
            <w:proofErr w:type="spellStart"/>
            <w:r>
              <w:rPr>
                <w:color w:val="000000"/>
              </w:rPr>
              <w:t>molecul</w:t>
            </w:r>
            <w:proofErr w:type="spellEnd"/>
            <w:r>
              <w:rPr>
                <w:color w:val="000000"/>
              </w:rPr>
              <w:t xml:space="preserve">* strain* or Animal* transmission* or 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 xml:space="preserve"> or One Health or Global Health or Public Health or Humans or Animals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"prevalence*"[All Fields] OR "outbreak*"[All Fields] OR ("</w:t>
            </w:r>
            <w:proofErr w:type="spellStart"/>
            <w:r>
              <w:rPr>
                <w:color w:val="000000"/>
              </w:rPr>
              <w:t>controling</w:t>
            </w:r>
            <w:proofErr w:type="spellEnd"/>
            <w:r>
              <w:rPr>
                <w:color w:val="000000"/>
              </w:rPr>
              <w:t>"[All Fields] OR "controllability"[All Fields] OR "controllable"[All Fields] OR "controllably"[All Fields] OR "controller"[All Fields] OR "controller s"[All Fields] OR "controllers"[All Fields] OR "controlling"[All Fields] OR "controls"[All Fields] OR "prevention and control"[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Subheading] OR ("prevention"[All Fields] AND "control"[All Fields]) OR "prevention and control"[All Fields] OR "control"[All Fields] OR "control groups"[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("control"[All Fields] AND "groups"[All Fields]) OR "control groups"[All Fields]) OR "transmission*"[All Fields] OR (("origin"[All Fields] OR "originate"[All Fields] OR "originated"[All Fields] OR </w:t>
            </w:r>
            <w:r>
              <w:rPr>
                <w:color w:val="000000"/>
              </w:rPr>
              <w:lastRenderedPageBreak/>
              <w:t>"originates"[All Fields] OR "originating"[All Fields] OR "origination"[All Fields] OR "originations"[All Fields] OR "origins"[All Fields]) AND "mutation*"[All Fields]) OR ("</w:t>
            </w:r>
            <w:proofErr w:type="spellStart"/>
            <w:r>
              <w:rPr>
                <w:color w:val="000000"/>
              </w:rPr>
              <w:t>molecul</w:t>
            </w:r>
            <w:proofErr w:type="spellEnd"/>
            <w:r>
              <w:rPr>
                <w:color w:val="000000"/>
              </w:rPr>
              <w:t>*"[All Fields] AND "strain*"[All Fields]) OR ("animal*"[All Fields] AND "transmission*"[All Fields]) OR ("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zoonose</w:t>
            </w:r>
            <w:proofErr w:type="spellEnd"/>
            <w:r>
              <w:rPr>
                <w:color w:val="000000"/>
              </w:rPr>
              <w:t>"[All Fields]) OR ("one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("one"[All Fields] AND "health"[All Fields]) OR "one health"[All Fields]) OR ("global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("global"[All Fields] AND "health"[All Fields]) OR "global health"[All Fields]) OR ("public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("public"[All Fields] AND "health"[All Fields]) OR "public health"[All Fields]) OR ("human s"[All Fields] OR "humans"[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"humans"[All Fields] OR "human"[All Fields]) OR ("animals"[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Terms:noexp</w:t>
            </w:r>
            <w:proofErr w:type="spellEnd"/>
            <w:r>
              <w:rPr>
                <w:color w:val="000000"/>
              </w:rPr>
              <w:t>] OR "animals"[All Fields])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########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08:48:28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829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Africa</w:t>
            </w:r>
          </w:p>
        </w:tc>
        <w:tc>
          <w:tcPr>
            <w:tcW w:w="767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</w:pP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africa</w:t>
            </w:r>
            <w:proofErr w:type="spellEnd"/>
            <w:r>
              <w:rPr>
                <w:color w:val="000000"/>
              </w:rPr>
              <w:t xml:space="preserve"> s"[All Fields] OR "</w:t>
            </w:r>
            <w:proofErr w:type="spellStart"/>
            <w:r>
              <w:rPr>
                <w:color w:val="000000"/>
              </w:rPr>
              <w:t>africas</w:t>
            </w:r>
            <w:proofErr w:type="spellEnd"/>
            <w:r>
              <w:rPr>
                <w:color w:val="000000"/>
              </w:rPr>
              <w:t>"[All Fields]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426,929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08:41:30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96" w:type="dxa"/>
            <w:gridSpan w:val="2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Humans or Animals</w:t>
            </w: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"human s"[All Fields] OR "humans"[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"humans"[All Fields] OR "human"[All Fields] OR "animals"[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Terms:noexp</w:t>
            </w:r>
            <w:proofErr w:type="spellEnd"/>
            <w:r>
              <w:rPr>
                <w:color w:val="000000"/>
              </w:rPr>
              <w:t>] OR "animals"[All Fields]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########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08:41:10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96" w:type="dxa"/>
            <w:gridSpan w:val="2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one health</w:t>
            </w: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"one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("one"[All Fields] AND "health"[All Fields]) OR "one health"[All Fields]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949,482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08:40:40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67" w:type="dxa"/>
            <w:gridSpan w:val="3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 xml:space="preserve"> or One Health or Global Health or Public Health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zoonoses</w:t>
            </w:r>
            <w:proofErr w:type="spellEnd"/>
            <w:r>
              <w:rPr>
                <w:color w:val="000000"/>
              </w:rPr>
              <w:t>"[All Fields] OR "</w:t>
            </w:r>
            <w:proofErr w:type="spellStart"/>
            <w:r>
              <w:rPr>
                <w:color w:val="000000"/>
              </w:rPr>
              <w:t>zoonose</w:t>
            </w:r>
            <w:proofErr w:type="spellEnd"/>
            <w:r>
              <w:rPr>
                <w:color w:val="000000"/>
              </w:rPr>
              <w:t>"[All Fields] OR ("one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("one"[All Fields] AND "health"[All Fields]) OR "one health"[All Fields]) OR ("global </w:t>
            </w:r>
            <w:r>
              <w:rPr>
                <w:color w:val="000000"/>
              </w:rPr>
              <w:lastRenderedPageBreak/>
              <w:t>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("global"[All Fields] AND "health"[All Fields]) OR "global health"[All Fields]) OR ("public health"[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("public"[All Fields] AND "health"[All Fields]) OR "public health"[All Fields])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9,799,474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08:40:13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767" w:type="dxa"/>
            <w:gridSpan w:val="3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Animal* transmission*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"animal*"[All Fields] AND "transmission*"[All Fields]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240,524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08:39:49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96" w:type="dxa"/>
            <w:gridSpan w:val="2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molecul</w:t>
            </w:r>
            <w:proofErr w:type="spellEnd"/>
            <w:r>
              <w:rPr>
                <w:color w:val="000000"/>
              </w:rPr>
              <w:t>* strain*</w:t>
            </w: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proofErr w:type="spellStart"/>
            <w:r>
              <w:rPr>
                <w:color w:val="000000"/>
              </w:rPr>
              <w:t>molecul</w:t>
            </w:r>
            <w:proofErr w:type="spellEnd"/>
            <w:r>
              <w:rPr>
                <w:color w:val="000000"/>
              </w:rPr>
              <w:t>*"[All Fields] AND "strain*"[All Fields]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272,658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08:39:23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96" w:type="dxa"/>
            <w:gridSpan w:val="2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Origin mutation*</w:t>
            </w:r>
          </w:p>
        </w:tc>
        <w:tc>
          <w:tcPr>
            <w:tcW w:w="1171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("origin"[All Fields] OR "originate"[All Fields] OR "originated"[All Fields] OR "originates"[All Fields] OR "originating"[All Fields] OR "origination"[All Fields] OR "originations"[All Fields] OR "origins"[All Fields]) AND "mutation*"[All Fields]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33,421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08:39:05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67" w:type="dxa"/>
            <w:gridSpan w:val="3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prevalence* or outbreak* or control or transmission*</w:t>
            </w:r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"prevalence*"[All Fields] OR "outbreak*"[All Fields] OR ("</w:t>
            </w:r>
            <w:proofErr w:type="spellStart"/>
            <w:r>
              <w:rPr>
                <w:color w:val="000000"/>
              </w:rPr>
              <w:t>controling</w:t>
            </w:r>
            <w:proofErr w:type="spellEnd"/>
            <w:r>
              <w:rPr>
                <w:color w:val="000000"/>
              </w:rPr>
              <w:t>"[All Fields] OR "controllability"[All Fields] OR "controllable"[All Fields] OR "controllably"[All Fields] OR "controller"[All Fields] OR "controller s"[All Fields] OR "controllers"[All Fields] OR "controlling"[All Fields] OR "controls"[All Fields] OR "prevention and control"[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Subheading] OR ("prevention"[All Fields] AND "control"[All Fields]) OR "prevention and control"[All Fields] OR "control"[All Fields] OR "control groups"[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("control"[All Fields] AND "groups"[All Fields]) OR "control groups"[All Fields]) OR "transmission*"[All Fields]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6,269,550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08:38:23</w:t>
            </w:r>
          </w:p>
        </w:tc>
      </w:tr>
      <w:tr w:rsidR="00A13170" w:rsidTr="00A13170">
        <w:trPr>
          <w:trHeight w:val="290"/>
        </w:trPr>
        <w:tc>
          <w:tcPr>
            <w:tcW w:w="112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67" w:type="dxa"/>
            <w:gridSpan w:val="3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 or </w:t>
            </w:r>
            <w:proofErr w:type="spellStart"/>
            <w:r>
              <w:rPr>
                <w:color w:val="000000"/>
              </w:rPr>
              <w:t>Monkeypox</w:t>
            </w:r>
            <w:bookmarkStart w:id="0" w:name="_GoBack"/>
            <w:bookmarkEnd w:id="0"/>
            <w:proofErr w:type="spellEnd"/>
          </w:p>
        </w:tc>
        <w:tc>
          <w:tcPr>
            <w:tcW w:w="4046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"[All Fields] AND "virus"[All Fields])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 xml:space="preserve"> virus"[All Fields] OR ("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Terms] OR "</w:t>
            </w:r>
            <w:proofErr w:type="spellStart"/>
            <w:r>
              <w:rPr>
                <w:color w:val="000000"/>
              </w:rPr>
              <w:t>monkeypox</w:t>
            </w:r>
            <w:proofErr w:type="spellEnd"/>
            <w:r>
              <w:rPr>
                <w:color w:val="000000"/>
              </w:rPr>
              <w:t>"[All Fields])</w:t>
            </w:r>
          </w:p>
        </w:tc>
        <w:tc>
          <w:tcPr>
            <w:tcW w:w="992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897</w:t>
            </w:r>
          </w:p>
        </w:tc>
        <w:tc>
          <w:tcPr>
            <w:tcW w:w="1134" w:type="dxa"/>
          </w:tcPr>
          <w:p w:rsidR="00A13170" w:rsidRDefault="00A13170" w:rsidP="00A13170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08:37:54</w:t>
            </w:r>
          </w:p>
        </w:tc>
      </w:tr>
    </w:tbl>
    <w:p w:rsidR="00A13170" w:rsidRDefault="00A13170" w:rsidP="00A13170">
      <w:pPr>
        <w:ind w:left="0" w:hanging="2"/>
      </w:pPr>
    </w:p>
    <w:sectPr w:rsidR="00A13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C4C4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0000002"/>
    <w:multiLevelType w:val="hybridMultilevel"/>
    <w:tmpl w:val="0F7A3FB2"/>
    <w:lvl w:ilvl="0" w:tplc="4F5E220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0000003"/>
    <w:multiLevelType w:val="multilevel"/>
    <w:tmpl w:val="835E45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00000004"/>
    <w:multiLevelType w:val="multilevel"/>
    <w:tmpl w:val="D09A2F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00000005"/>
    <w:multiLevelType w:val="multilevel"/>
    <w:tmpl w:val="776CF5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00000006"/>
    <w:multiLevelType w:val="multilevel"/>
    <w:tmpl w:val="2A681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00000007"/>
    <w:multiLevelType w:val="multilevel"/>
    <w:tmpl w:val="0A442D7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00000008"/>
    <w:multiLevelType w:val="multilevel"/>
    <w:tmpl w:val="B06CB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00000009"/>
    <w:multiLevelType w:val="multilevel"/>
    <w:tmpl w:val="D7128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0000000A"/>
    <w:multiLevelType w:val="multilevel"/>
    <w:tmpl w:val="BC64F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0000000B"/>
    <w:multiLevelType w:val="multilevel"/>
    <w:tmpl w:val="46CC792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0000000C"/>
    <w:multiLevelType w:val="multilevel"/>
    <w:tmpl w:val="EC609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0000000D"/>
    <w:multiLevelType w:val="multilevel"/>
    <w:tmpl w:val="A5C879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0000000E"/>
    <w:multiLevelType w:val="multilevel"/>
    <w:tmpl w:val="CC021E4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0000000F"/>
    <w:multiLevelType w:val="multilevel"/>
    <w:tmpl w:val="63B0D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00000010"/>
    <w:multiLevelType w:val="multilevel"/>
    <w:tmpl w:val="FBF0EBEC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  <w:b/>
        <w:bCs/>
        <w:sz w:val="28"/>
      </w:rPr>
    </w:lvl>
    <w:lvl w:ilvl="1">
      <w:start w:val="1"/>
      <w:numFmt w:val="decimal"/>
      <w:isLgl/>
      <w:lvlText w:val="%1.%2"/>
      <w:lvlJc w:val="left"/>
      <w:pPr>
        <w:ind w:left="358" w:hanging="360"/>
      </w:pPr>
      <w:rPr>
        <w:rFonts w:cs="SimSu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18" w:hanging="720"/>
      </w:pPr>
      <w:rPr>
        <w:rFonts w:cs="SimSu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718" w:hanging="720"/>
      </w:pPr>
      <w:rPr>
        <w:rFonts w:cs="SimSu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78" w:hanging="1080"/>
      </w:pPr>
      <w:rPr>
        <w:rFonts w:cs="SimSu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078" w:hanging="1080"/>
      </w:pPr>
      <w:rPr>
        <w:rFonts w:cs="SimSu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38" w:hanging="1440"/>
      </w:pPr>
      <w:rPr>
        <w:rFonts w:cs="SimSu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438" w:hanging="1440"/>
      </w:pPr>
      <w:rPr>
        <w:rFonts w:cs="SimSu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98" w:hanging="1800"/>
      </w:pPr>
      <w:rPr>
        <w:rFonts w:cs="SimSun" w:hint="default"/>
        <w:color w:val="000000"/>
      </w:rPr>
    </w:lvl>
  </w:abstractNum>
  <w:abstractNum w:abstractNumId="16">
    <w:nsid w:val="00000011"/>
    <w:multiLevelType w:val="multilevel"/>
    <w:tmpl w:val="E2F20D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18745F1F"/>
    <w:multiLevelType w:val="multilevel"/>
    <w:tmpl w:val="E2F20D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18D441AA"/>
    <w:multiLevelType w:val="multilevel"/>
    <w:tmpl w:val="AA8A0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1B5D7EE1"/>
    <w:multiLevelType w:val="multilevel"/>
    <w:tmpl w:val="BC4C4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1DCC47D7"/>
    <w:multiLevelType w:val="multilevel"/>
    <w:tmpl w:val="835E45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2E595433"/>
    <w:multiLevelType w:val="multilevel"/>
    <w:tmpl w:val="D09A2F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3E2E29B8"/>
    <w:multiLevelType w:val="multilevel"/>
    <w:tmpl w:val="776CF5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>
    <w:nsid w:val="51AB6229"/>
    <w:multiLevelType w:val="multilevel"/>
    <w:tmpl w:val="2A681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>
    <w:nsid w:val="54DB13AD"/>
    <w:multiLevelType w:val="multilevel"/>
    <w:tmpl w:val="0A442D7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>
    <w:nsid w:val="5B40707A"/>
    <w:multiLevelType w:val="multilevel"/>
    <w:tmpl w:val="B06CB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>
    <w:nsid w:val="66534E92"/>
    <w:multiLevelType w:val="multilevel"/>
    <w:tmpl w:val="D7128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>
    <w:nsid w:val="66E47D4E"/>
    <w:multiLevelType w:val="multilevel"/>
    <w:tmpl w:val="BC64F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>
    <w:nsid w:val="6A382297"/>
    <w:multiLevelType w:val="multilevel"/>
    <w:tmpl w:val="46CC792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>
    <w:nsid w:val="6B283D1E"/>
    <w:multiLevelType w:val="multilevel"/>
    <w:tmpl w:val="EC609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>
    <w:nsid w:val="6B6A19A0"/>
    <w:multiLevelType w:val="multilevel"/>
    <w:tmpl w:val="A5C879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>
    <w:nsid w:val="723A5C4E"/>
    <w:multiLevelType w:val="multilevel"/>
    <w:tmpl w:val="CC021E4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>
    <w:nsid w:val="778B62A5"/>
    <w:multiLevelType w:val="multilevel"/>
    <w:tmpl w:val="63B0D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>
    <w:nsid w:val="7BE37816"/>
    <w:multiLevelType w:val="multilevel"/>
    <w:tmpl w:val="AA8A0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4"/>
  </w:num>
  <w:num w:numId="8">
    <w:abstractNumId w:val="0"/>
  </w:num>
  <w:num w:numId="9">
    <w:abstractNumId w:val="3"/>
  </w:num>
  <w:num w:numId="10">
    <w:abstractNumId w:val="6"/>
  </w:num>
  <w:num w:numId="11">
    <w:abstractNumId w:val="33"/>
  </w:num>
  <w:num w:numId="12">
    <w:abstractNumId w:val="7"/>
  </w:num>
  <w:num w:numId="13">
    <w:abstractNumId w:val="8"/>
  </w:num>
  <w:num w:numId="14">
    <w:abstractNumId w:val="4"/>
  </w:num>
  <w:num w:numId="15">
    <w:abstractNumId w:val="11"/>
  </w:num>
  <w:num w:numId="16">
    <w:abstractNumId w:val="12"/>
  </w:num>
  <w:num w:numId="17">
    <w:abstractNumId w:val="9"/>
  </w:num>
  <w:num w:numId="18">
    <w:abstractNumId w:val="1"/>
  </w:num>
  <w:num w:numId="19">
    <w:abstractNumId w:val="20"/>
  </w:num>
  <w:num w:numId="20">
    <w:abstractNumId w:val="28"/>
  </w:num>
  <w:num w:numId="21">
    <w:abstractNumId w:val="23"/>
  </w:num>
  <w:num w:numId="22">
    <w:abstractNumId w:val="17"/>
  </w:num>
  <w:num w:numId="23">
    <w:abstractNumId w:val="31"/>
  </w:num>
  <w:num w:numId="24">
    <w:abstractNumId w:val="32"/>
  </w:num>
  <w:num w:numId="25">
    <w:abstractNumId w:val="19"/>
  </w:num>
  <w:num w:numId="26">
    <w:abstractNumId w:val="21"/>
  </w:num>
  <w:num w:numId="27">
    <w:abstractNumId w:val="24"/>
  </w:num>
  <w:num w:numId="28">
    <w:abstractNumId w:val="18"/>
  </w:num>
  <w:num w:numId="29">
    <w:abstractNumId w:val="25"/>
  </w:num>
  <w:num w:numId="30">
    <w:abstractNumId w:val="26"/>
  </w:num>
  <w:num w:numId="31">
    <w:abstractNumId w:val="22"/>
  </w:num>
  <w:num w:numId="32">
    <w:abstractNumId w:val="29"/>
  </w:num>
  <w:num w:numId="33">
    <w:abstractNumId w:val="3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70"/>
    <w:rsid w:val="008A23EF"/>
    <w:rsid w:val="00953B68"/>
    <w:rsid w:val="00A13170"/>
    <w:rsid w:val="00BB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70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SimSun"/>
      <w:position w:val="-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70"/>
    <w:pPr>
      <w:keepNext/>
      <w:keepLines/>
      <w:spacing w:before="240" w:after="0"/>
    </w:pPr>
    <w:rPr>
      <w:rFonts w:ascii="Cambria" w:eastAsia="SimSu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13170"/>
    <w:pPr>
      <w:keepNext/>
      <w:keepLines/>
      <w:spacing w:before="40" w:after="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13170"/>
    <w:pPr>
      <w:keepNext/>
      <w:keepLines/>
      <w:spacing w:before="200" w:after="0"/>
      <w:outlineLvl w:val="2"/>
    </w:pPr>
    <w:rPr>
      <w:rFonts w:ascii="Calibri Light" w:hAnsi="Calibri Light" w:cs="Times New Roman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"/>
    <w:qFormat/>
    <w:rsid w:val="00A13170"/>
    <w:pPr>
      <w:keepNext/>
      <w:keepLines/>
      <w:spacing w:before="40" w:after="0"/>
      <w:outlineLvl w:val="3"/>
    </w:pPr>
    <w:rPr>
      <w:rFonts w:ascii="Calibri Light" w:hAnsi="Calibri Light" w:cs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A13170"/>
    <w:pPr>
      <w:keepNext/>
      <w:keepLines/>
      <w:spacing w:before="40" w:after="0"/>
      <w:outlineLvl w:val="4"/>
    </w:pPr>
    <w:rPr>
      <w:rFonts w:ascii="Calibri Light" w:hAnsi="Calibri Light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A131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70"/>
    <w:rPr>
      <w:rFonts w:ascii="Cambria" w:eastAsia="SimSun" w:hAnsi="Cambria" w:cs="SimSun"/>
      <w:color w:val="365F91"/>
      <w:position w:val="-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170"/>
    <w:rPr>
      <w:rFonts w:ascii="Calibri Light" w:eastAsia="Times New Roman" w:hAnsi="Calibri Light" w:cs="Times New Roman"/>
      <w:color w:val="2F5496"/>
      <w:position w:val="-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3170"/>
    <w:rPr>
      <w:rFonts w:ascii="Calibri Light" w:eastAsia="Times New Roman" w:hAnsi="Calibri Light" w:cs="Times New Roman"/>
      <w:b/>
      <w:bCs/>
      <w:color w:val="4472C4"/>
      <w:position w:val="-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3170"/>
    <w:rPr>
      <w:rFonts w:ascii="Calibri Light" w:eastAsia="Times New Roman" w:hAnsi="Calibri Light" w:cs="Times New Roman"/>
      <w:i/>
      <w:iCs/>
      <w:color w:val="2F5496"/>
      <w:position w:val="-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13170"/>
    <w:rPr>
      <w:rFonts w:ascii="Calibri Light" w:eastAsia="Times New Roman" w:hAnsi="Calibri Light" w:cs="Times New Roman"/>
      <w:color w:val="2F5496"/>
      <w:position w:val="-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3170"/>
    <w:rPr>
      <w:rFonts w:ascii="Times New Roman" w:eastAsia="Times New Roman" w:hAnsi="Times New Roman" w:cs="SimSun"/>
      <w:b/>
      <w:position w:val="-1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1317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13170"/>
    <w:rPr>
      <w:rFonts w:ascii="Times New Roman" w:eastAsia="Times New Roman" w:hAnsi="Times New Roman" w:cs="SimSun"/>
      <w:b/>
      <w:position w:val="-1"/>
      <w:sz w:val="72"/>
      <w:szCs w:val="72"/>
    </w:rPr>
  </w:style>
  <w:style w:type="character" w:customStyle="1" w:styleId="Heading1Char7434f71b-8cd0-4864-bed1-d43db1d07496">
    <w:name w:val="Heading 1 Char_7434f71b-8cd0-4864-bed1-d43db1d07496"/>
    <w:rsid w:val="00A13170"/>
    <w:rPr>
      <w:rFonts w:ascii="Cambria" w:eastAsia="SimSun" w:hAnsi="Cambria" w:cs="SimSun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3ba13ebc-c687-4d61-a84f-b8b4f61fd363">
    <w:name w:val="Heading 2 Char_3ba13ebc-c687-4d61-a84f-b8b4f61fd363"/>
    <w:rsid w:val="00A13170"/>
    <w:rPr>
      <w:rFonts w:ascii="Calibri Light" w:eastAsia="Times New Roman" w:hAnsi="Calibri Light" w:cs="Times New Roman"/>
      <w:color w:val="2F5496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har26bd2a61-bf96-4222-b941-4c2e1bcbd71e">
    <w:name w:val="Heading 3 Char_26bd2a61-bf96-4222-b941-4c2e1bcbd71e"/>
    <w:rsid w:val="00A13170"/>
    <w:rPr>
      <w:rFonts w:ascii="Calibri Light" w:eastAsia="Times New Roman" w:hAnsi="Calibri Light" w:cs="Times New Roman"/>
      <w:b/>
      <w:bCs/>
      <w:color w:val="4472C4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Heading4Charc5fabffc-602c-4be6-9aaf-cad7d5fca3e9">
    <w:name w:val="Heading 4 Char_c5fabffc-602c-4be6-9aaf-cad7d5fca3e9"/>
    <w:rsid w:val="00A13170"/>
    <w:rPr>
      <w:rFonts w:ascii="Calibri Light" w:eastAsia="Times New Roman" w:hAnsi="Calibri Light" w:cs="Times New Roman"/>
      <w:i/>
      <w:iCs/>
      <w:color w:val="2F5496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Heading5Char24d57c85-6405-4975-be19-10c5e81f6966">
    <w:name w:val="Heading 5 Char_24d57c85-6405-4975-be19-10c5e81f6966"/>
    <w:rsid w:val="00A13170"/>
    <w:rPr>
      <w:rFonts w:ascii="Calibri Light" w:eastAsia="Times New Roman" w:hAnsi="Calibri Light" w:cs="Times New Roman"/>
      <w:color w:val="2F5496"/>
      <w:w w:val="100"/>
      <w:position w:val="-1"/>
      <w:sz w:val="24"/>
      <w:effect w:val="none"/>
      <w:vertAlign w:val="baseline"/>
      <w:cs w:val="0"/>
      <w:em w:val="none"/>
    </w:rPr>
  </w:style>
  <w:style w:type="character" w:styleId="Hyperlink">
    <w:name w:val="Hyperlink"/>
    <w:rsid w:val="00A131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rsid w:val="00A13170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Emphasis">
    <w:name w:val="Emphasis"/>
    <w:rsid w:val="00A13170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journalname">
    <w:name w:val="journalname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year">
    <w:name w:val="year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volume">
    <w:name w:val="volume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issue">
    <w:name w:val="issue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page">
    <w:name w:val="page"/>
    <w:rsid w:val="00A13170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A13170"/>
    <w:pPr>
      <w:ind w:left="720"/>
      <w:contextualSpacing/>
    </w:pPr>
  </w:style>
  <w:style w:type="character" w:customStyle="1" w:styleId="ref-journal">
    <w:name w:val="ref-journal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-vol">
    <w:name w:val="ref-vol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medium-normal">
    <w:name w:val="medium-normal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sid w:val="00A13170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Contents">
    <w:name w:val="Table Contents"/>
    <w:basedOn w:val="Normal"/>
    <w:qFormat/>
    <w:rsid w:val="00A13170"/>
    <w:pPr>
      <w:widowControl w:val="0"/>
      <w:suppressLineNumbers/>
      <w:suppressAutoHyphens w:val="0"/>
      <w:overflowPunct w:val="0"/>
      <w:spacing w:after="0" w:line="240" w:lineRule="auto"/>
    </w:pPr>
    <w:rPr>
      <w:rFonts w:ascii="Liberation Serif" w:eastAsia="SimSun" w:hAnsi="Liberation Serif" w:cs="Mangal"/>
      <w:kern w:val="2"/>
      <w:szCs w:val="24"/>
      <w:lang w:eastAsia="zh-CN" w:bidi="hi-IN"/>
    </w:rPr>
  </w:style>
  <w:style w:type="character" w:styleId="CommentReference">
    <w:name w:val="annotation reference"/>
    <w:uiPriority w:val="99"/>
    <w:rsid w:val="00A13170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uiPriority w:val="99"/>
    <w:rsid w:val="00A13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170"/>
    <w:rPr>
      <w:rFonts w:ascii="Times New Roman" w:eastAsia="Times New Roman" w:hAnsi="Times New Roman" w:cs="SimSu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A13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3170"/>
    <w:rPr>
      <w:rFonts w:ascii="Tahoma" w:eastAsia="Times New Roman" w:hAnsi="Tahoma" w:cs="Tahoma"/>
      <w:position w:val="-1"/>
      <w:sz w:val="16"/>
      <w:szCs w:val="16"/>
    </w:rPr>
  </w:style>
  <w:style w:type="character" w:customStyle="1" w:styleId="medium-bold">
    <w:name w:val="medium-bold"/>
    <w:rsid w:val="00A13170"/>
    <w:rPr>
      <w:w w:val="100"/>
      <w:position w:val="-1"/>
      <w:effect w:val="none"/>
      <w:vertAlign w:val="baseline"/>
      <w:cs w:val="0"/>
      <w:em w:val="none"/>
    </w:rPr>
  </w:style>
  <w:style w:type="paragraph" w:customStyle="1" w:styleId="EndNoteBibliographyTitle">
    <w:name w:val="EndNote Bibliography Title"/>
    <w:basedOn w:val="Normal"/>
    <w:rsid w:val="00A13170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rsid w:val="00A13170"/>
    <w:rPr>
      <w:rFonts w:ascii="Times New Roman" w:hAnsi="Times New Roman"/>
      <w:noProof/>
      <w:w w:val="100"/>
      <w:position w:val="-1"/>
      <w:sz w:val="24"/>
      <w:szCs w:val="22"/>
      <w:effect w:val="none"/>
      <w:vertAlign w:val="baseline"/>
      <w:cs w:val="0"/>
      <w:em w:val="none"/>
    </w:rPr>
  </w:style>
  <w:style w:type="paragraph" w:customStyle="1" w:styleId="EndNoteBibliography">
    <w:name w:val="EndNote Bibliography"/>
    <w:basedOn w:val="Normal"/>
    <w:rsid w:val="00A13170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rsid w:val="00A13170"/>
    <w:rPr>
      <w:rFonts w:ascii="Times New Roman" w:hAnsi="Times New Roman"/>
      <w:noProof/>
      <w:w w:val="100"/>
      <w:position w:val="-1"/>
      <w:sz w:val="24"/>
      <w:szCs w:val="22"/>
      <w:effect w:val="none"/>
      <w:vertAlign w:val="baseline"/>
      <w:cs w:val="0"/>
      <w:em w:val="none"/>
    </w:rPr>
  </w:style>
  <w:style w:type="character" w:customStyle="1" w:styleId="CommentSubjectChar">
    <w:name w:val="Comment Subject Char"/>
    <w:rsid w:val="00A13170"/>
    <w:rPr>
      <w:rFonts w:ascii="Times New Roman" w:eastAsia="Calibri" w:hAnsi="Times New Roman" w:cs="SimSu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link w:val="CommentSubjectChar1"/>
    <w:qFormat/>
    <w:rsid w:val="00A13170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rsid w:val="00A13170"/>
    <w:rPr>
      <w:rFonts w:ascii="Times New Roman" w:eastAsia="Times New Roman" w:hAnsi="Times New Roman" w:cs="SimSun"/>
      <w:b/>
      <w:bCs/>
      <w:position w:val="-1"/>
      <w:sz w:val="20"/>
      <w:szCs w:val="20"/>
    </w:rPr>
  </w:style>
  <w:style w:type="paragraph" w:styleId="Header">
    <w:name w:val="header"/>
    <w:basedOn w:val="Normal"/>
    <w:link w:val="HeaderChar"/>
    <w:qFormat/>
    <w:rsid w:val="00A13170"/>
  </w:style>
  <w:style w:type="character" w:customStyle="1" w:styleId="HeaderChar">
    <w:name w:val="Header Char"/>
    <w:basedOn w:val="DefaultParagraphFont"/>
    <w:link w:val="Header"/>
    <w:rsid w:val="00A13170"/>
    <w:rPr>
      <w:rFonts w:ascii="Times New Roman" w:eastAsia="Times New Roman" w:hAnsi="Times New Roman" w:cs="SimSun"/>
      <w:position w:val="-1"/>
      <w:sz w:val="24"/>
    </w:rPr>
  </w:style>
  <w:style w:type="character" w:customStyle="1" w:styleId="HeaderChar22160390-fe30-4dc6-bd28-caa17ea45cec">
    <w:name w:val="Header Char_22160390-fe30-4dc6-bd28-caa17ea45cec"/>
    <w:rsid w:val="00A13170"/>
    <w:rPr>
      <w:rFonts w:ascii="Times New Roman" w:eastAsia="Calibri" w:hAnsi="Times New Roman" w:cs="SimSun"/>
      <w:w w:val="100"/>
      <w:position w:val="-1"/>
      <w:sz w:val="24"/>
      <w:effect w:val="none"/>
      <w:vertAlign w:val="baseline"/>
      <w:cs w:val="0"/>
      <w:em w:val="none"/>
    </w:rPr>
  </w:style>
  <w:style w:type="paragraph" w:styleId="Footer">
    <w:name w:val="footer"/>
    <w:basedOn w:val="Normal"/>
    <w:link w:val="FooterChar"/>
    <w:qFormat/>
    <w:rsid w:val="00A13170"/>
  </w:style>
  <w:style w:type="character" w:customStyle="1" w:styleId="FooterChar">
    <w:name w:val="Footer Char"/>
    <w:basedOn w:val="DefaultParagraphFont"/>
    <w:link w:val="Footer"/>
    <w:rsid w:val="00A13170"/>
    <w:rPr>
      <w:rFonts w:ascii="Times New Roman" w:eastAsia="Times New Roman" w:hAnsi="Times New Roman" w:cs="SimSun"/>
      <w:position w:val="-1"/>
      <w:sz w:val="24"/>
    </w:rPr>
  </w:style>
  <w:style w:type="character" w:customStyle="1" w:styleId="FooterChar4e92b914-2004-4df5-a0c0-f7c1a1e060d8">
    <w:name w:val="Footer Char_4e92b914-2004-4df5-a0c0-f7c1a1e060d8"/>
    <w:rsid w:val="00A13170"/>
    <w:rPr>
      <w:rFonts w:ascii="Times New Roman" w:eastAsia="Calibri" w:hAnsi="Times New Roman" w:cs="SimSun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pple-tab-span">
    <w:name w:val="apple-tab-span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sid w:val="00A13170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1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13170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Revision">
    <w:name w:val="Revision"/>
    <w:uiPriority w:val="99"/>
    <w:rsid w:val="00A13170"/>
    <w:pPr>
      <w:spacing w:after="0" w:line="240" w:lineRule="auto"/>
    </w:pPr>
    <w:rPr>
      <w:rFonts w:ascii="Times New Roman" w:eastAsia="Times New Roman" w:hAnsi="Times New Roman" w:cs="SimSun"/>
      <w:position w:val="-1"/>
      <w:sz w:val="24"/>
    </w:rPr>
  </w:style>
  <w:style w:type="character" w:styleId="LineNumber">
    <w:name w:val="line number"/>
    <w:basedOn w:val="DefaultParagraphFont"/>
    <w:uiPriority w:val="99"/>
    <w:rsid w:val="00A13170"/>
  </w:style>
  <w:style w:type="character" w:customStyle="1" w:styleId="UnresolvedMention">
    <w:name w:val="Unresolved Mention"/>
    <w:basedOn w:val="DefaultParagraphFont"/>
    <w:uiPriority w:val="99"/>
    <w:rsid w:val="00A131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70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SimSun"/>
      <w:position w:val="-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70"/>
    <w:pPr>
      <w:keepNext/>
      <w:keepLines/>
      <w:spacing w:before="240" w:after="0"/>
    </w:pPr>
    <w:rPr>
      <w:rFonts w:ascii="Cambria" w:eastAsia="SimSu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13170"/>
    <w:pPr>
      <w:keepNext/>
      <w:keepLines/>
      <w:spacing w:before="40" w:after="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13170"/>
    <w:pPr>
      <w:keepNext/>
      <w:keepLines/>
      <w:spacing w:before="200" w:after="0"/>
      <w:outlineLvl w:val="2"/>
    </w:pPr>
    <w:rPr>
      <w:rFonts w:ascii="Calibri Light" w:hAnsi="Calibri Light" w:cs="Times New Roman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"/>
    <w:qFormat/>
    <w:rsid w:val="00A13170"/>
    <w:pPr>
      <w:keepNext/>
      <w:keepLines/>
      <w:spacing w:before="40" w:after="0"/>
      <w:outlineLvl w:val="3"/>
    </w:pPr>
    <w:rPr>
      <w:rFonts w:ascii="Calibri Light" w:hAnsi="Calibri Light" w:cs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A13170"/>
    <w:pPr>
      <w:keepNext/>
      <w:keepLines/>
      <w:spacing w:before="40" w:after="0"/>
      <w:outlineLvl w:val="4"/>
    </w:pPr>
    <w:rPr>
      <w:rFonts w:ascii="Calibri Light" w:hAnsi="Calibri Light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A131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70"/>
    <w:rPr>
      <w:rFonts w:ascii="Cambria" w:eastAsia="SimSun" w:hAnsi="Cambria" w:cs="SimSun"/>
      <w:color w:val="365F91"/>
      <w:position w:val="-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170"/>
    <w:rPr>
      <w:rFonts w:ascii="Calibri Light" w:eastAsia="Times New Roman" w:hAnsi="Calibri Light" w:cs="Times New Roman"/>
      <w:color w:val="2F5496"/>
      <w:position w:val="-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3170"/>
    <w:rPr>
      <w:rFonts w:ascii="Calibri Light" w:eastAsia="Times New Roman" w:hAnsi="Calibri Light" w:cs="Times New Roman"/>
      <w:b/>
      <w:bCs/>
      <w:color w:val="4472C4"/>
      <w:position w:val="-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3170"/>
    <w:rPr>
      <w:rFonts w:ascii="Calibri Light" w:eastAsia="Times New Roman" w:hAnsi="Calibri Light" w:cs="Times New Roman"/>
      <w:i/>
      <w:iCs/>
      <w:color w:val="2F5496"/>
      <w:position w:val="-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13170"/>
    <w:rPr>
      <w:rFonts w:ascii="Calibri Light" w:eastAsia="Times New Roman" w:hAnsi="Calibri Light" w:cs="Times New Roman"/>
      <w:color w:val="2F5496"/>
      <w:position w:val="-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3170"/>
    <w:rPr>
      <w:rFonts w:ascii="Times New Roman" w:eastAsia="Times New Roman" w:hAnsi="Times New Roman" w:cs="SimSun"/>
      <w:b/>
      <w:position w:val="-1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1317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13170"/>
    <w:rPr>
      <w:rFonts w:ascii="Times New Roman" w:eastAsia="Times New Roman" w:hAnsi="Times New Roman" w:cs="SimSun"/>
      <w:b/>
      <w:position w:val="-1"/>
      <w:sz w:val="72"/>
      <w:szCs w:val="72"/>
    </w:rPr>
  </w:style>
  <w:style w:type="character" w:customStyle="1" w:styleId="Heading1Char7434f71b-8cd0-4864-bed1-d43db1d07496">
    <w:name w:val="Heading 1 Char_7434f71b-8cd0-4864-bed1-d43db1d07496"/>
    <w:rsid w:val="00A13170"/>
    <w:rPr>
      <w:rFonts w:ascii="Cambria" w:eastAsia="SimSun" w:hAnsi="Cambria" w:cs="SimSun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3ba13ebc-c687-4d61-a84f-b8b4f61fd363">
    <w:name w:val="Heading 2 Char_3ba13ebc-c687-4d61-a84f-b8b4f61fd363"/>
    <w:rsid w:val="00A13170"/>
    <w:rPr>
      <w:rFonts w:ascii="Calibri Light" w:eastAsia="Times New Roman" w:hAnsi="Calibri Light" w:cs="Times New Roman"/>
      <w:color w:val="2F5496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har26bd2a61-bf96-4222-b941-4c2e1bcbd71e">
    <w:name w:val="Heading 3 Char_26bd2a61-bf96-4222-b941-4c2e1bcbd71e"/>
    <w:rsid w:val="00A13170"/>
    <w:rPr>
      <w:rFonts w:ascii="Calibri Light" w:eastAsia="Times New Roman" w:hAnsi="Calibri Light" w:cs="Times New Roman"/>
      <w:b/>
      <w:bCs/>
      <w:color w:val="4472C4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Heading4Charc5fabffc-602c-4be6-9aaf-cad7d5fca3e9">
    <w:name w:val="Heading 4 Char_c5fabffc-602c-4be6-9aaf-cad7d5fca3e9"/>
    <w:rsid w:val="00A13170"/>
    <w:rPr>
      <w:rFonts w:ascii="Calibri Light" w:eastAsia="Times New Roman" w:hAnsi="Calibri Light" w:cs="Times New Roman"/>
      <w:i/>
      <w:iCs/>
      <w:color w:val="2F5496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Heading5Char24d57c85-6405-4975-be19-10c5e81f6966">
    <w:name w:val="Heading 5 Char_24d57c85-6405-4975-be19-10c5e81f6966"/>
    <w:rsid w:val="00A13170"/>
    <w:rPr>
      <w:rFonts w:ascii="Calibri Light" w:eastAsia="Times New Roman" w:hAnsi="Calibri Light" w:cs="Times New Roman"/>
      <w:color w:val="2F5496"/>
      <w:w w:val="100"/>
      <w:position w:val="-1"/>
      <w:sz w:val="24"/>
      <w:effect w:val="none"/>
      <w:vertAlign w:val="baseline"/>
      <w:cs w:val="0"/>
      <w:em w:val="none"/>
    </w:rPr>
  </w:style>
  <w:style w:type="character" w:styleId="Hyperlink">
    <w:name w:val="Hyperlink"/>
    <w:rsid w:val="00A131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rsid w:val="00A13170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Emphasis">
    <w:name w:val="Emphasis"/>
    <w:rsid w:val="00A13170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journalname">
    <w:name w:val="journalname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year">
    <w:name w:val="year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volume">
    <w:name w:val="volume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issue">
    <w:name w:val="issue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page">
    <w:name w:val="page"/>
    <w:rsid w:val="00A13170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A13170"/>
    <w:pPr>
      <w:ind w:left="720"/>
      <w:contextualSpacing/>
    </w:pPr>
  </w:style>
  <w:style w:type="character" w:customStyle="1" w:styleId="ref-journal">
    <w:name w:val="ref-journal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-vol">
    <w:name w:val="ref-vol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medium-normal">
    <w:name w:val="medium-normal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sid w:val="00A13170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ableContents">
    <w:name w:val="Table Contents"/>
    <w:basedOn w:val="Normal"/>
    <w:qFormat/>
    <w:rsid w:val="00A13170"/>
    <w:pPr>
      <w:widowControl w:val="0"/>
      <w:suppressLineNumbers/>
      <w:suppressAutoHyphens w:val="0"/>
      <w:overflowPunct w:val="0"/>
      <w:spacing w:after="0" w:line="240" w:lineRule="auto"/>
    </w:pPr>
    <w:rPr>
      <w:rFonts w:ascii="Liberation Serif" w:eastAsia="SimSun" w:hAnsi="Liberation Serif" w:cs="Mangal"/>
      <w:kern w:val="2"/>
      <w:szCs w:val="24"/>
      <w:lang w:eastAsia="zh-CN" w:bidi="hi-IN"/>
    </w:rPr>
  </w:style>
  <w:style w:type="character" w:styleId="CommentReference">
    <w:name w:val="annotation reference"/>
    <w:uiPriority w:val="99"/>
    <w:rsid w:val="00A13170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uiPriority w:val="99"/>
    <w:rsid w:val="00A13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170"/>
    <w:rPr>
      <w:rFonts w:ascii="Times New Roman" w:eastAsia="Times New Roman" w:hAnsi="Times New Roman" w:cs="SimSu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A13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3170"/>
    <w:rPr>
      <w:rFonts w:ascii="Tahoma" w:eastAsia="Times New Roman" w:hAnsi="Tahoma" w:cs="Tahoma"/>
      <w:position w:val="-1"/>
      <w:sz w:val="16"/>
      <w:szCs w:val="16"/>
    </w:rPr>
  </w:style>
  <w:style w:type="character" w:customStyle="1" w:styleId="medium-bold">
    <w:name w:val="medium-bold"/>
    <w:rsid w:val="00A13170"/>
    <w:rPr>
      <w:w w:val="100"/>
      <w:position w:val="-1"/>
      <w:effect w:val="none"/>
      <w:vertAlign w:val="baseline"/>
      <w:cs w:val="0"/>
      <w:em w:val="none"/>
    </w:rPr>
  </w:style>
  <w:style w:type="paragraph" w:customStyle="1" w:styleId="EndNoteBibliographyTitle">
    <w:name w:val="EndNote Bibliography Title"/>
    <w:basedOn w:val="Normal"/>
    <w:rsid w:val="00A13170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rsid w:val="00A13170"/>
    <w:rPr>
      <w:rFonts w:ascii="Times New Roman" w:hAnsi="Times New Roman"/>
      <w:noProof/>
      <w:w w:val="100"/>
      <w:position w:val="-1"/>
      <w:sz w:val="24"/>
      <w:szCs w:val="22"/>
      <w:effect w:val="none"/>
      <w:vertAlign w:val="baseline"/>
      <w:cs w:val="0"/>
      <w:em w:val="none"/>
    </w:rPr>
  </w:style>
  <w:style w:type="paragraph" w:customStyle="1" w:styleId="EndNoteBibliography">
    <w:name w:val="EndNote Bibliography"/>
    <w:basedOn w:val="Normal"/>
    <w:rsid w:val="00A13170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rsid w:val="00A13170"/>
    <w:rPr>
      <w:rFonts w:ascii="Times New Roman" w:hAnsi="Times New Roman"/>
      <w:noProof/>
      <w:w w:val="100"/>
      <w:position w:val="-1"/>
      <w:sz w:val="24"/>
      <w:szCs w:val="22"/>
      <w:effect w:val="none"/>
      <w:vertAlign w:val="baseline"/>
      <w:cs w:val="0"/>
      <w:em w:val="none"/>
    </w:rPr>
  </w:style>
  <w:style w:type="character" w:customStyle="1" w:styleId="CommentSubjectChar">
    <w:name w:val="Comment Subject Char"/>
    <w:rsid w:val="00A13170"/>
    <w:rPr>
      <w:rFonts w:ascii="Times New Roman" w:eastAsia="Calibri" w:hAnsi="Times New Roman" w:cs="SimSu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link w:val="CommentSubjectChar1"/>
    <w:qFormat/>
    <w:rsid w:val="00A13170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rsid w:val="00A13170"/>
    <w:rPr>
      <w:rFonts w:ascii="Times New Roman" w:eastAsia="Times New Roman" w:hAnsi="Times New Roman" w:cs="SimSun"/>
      <w:b/>
      <w:bCs/>
      <w:position w:val="-1"/>
      <w:sz w:val="20"/>
      <w:szCs w:val="20"/>
    </w:rPr>
  </w:style>
  <w:style w:type="paragraph" w:styleId="Header">
    <w:name w:val="header"/>
    <w:basedOn w:val="Normal"/>
    <w:link w:val="HeaderChar"/>
    <w:qFormat/>
    <w:rsid w:val="00A13170"/>
  </w:style>
  <w:style w:type="character" w:customStyle="1" w:styleId="HeaderChar">
    <w:name w:val="Header Char"/>
    <w:basedOn w:val="DefaultParagraphFont"/>
    <w:link w:val="Header"/>
    <w:rsid w:val="00A13170"/>
    <w:rPr>
      <w:rFonts w:ascii="Times New Roman" w:eastAsia="Times New Roman" w:hAnsi="Times New Roman" w:cs="SimSun"/>
      <w:position w:val="-1"/>
      <w:sz w:val="24"/>
    </w:rPr>
  </w:style>
  <w:style w:type="character" w:customStyle="1" w:styleId="HeaderChar22160390-fe30-4dc6-bd28-caa17ea45cec">
    <w:name w:val="Header Char_22160390-fe30-4dc6-bd28-caa17ea45cec"/>
    <w:rsid w:val="00A13170"/>
    <w:rPr>
      <w:rFonts w:ascii="Times New Roman" w:eastAsia="Calibri" w:hAnsi="Times New Roman" w:cs="SimSun"/>
      <w:w w:val="100"/>
      <w:position w:val="-1"/>
      <w:sz w:val="24"/>
      <w:effect w:val="none"/>
      <w:vertAlign w:val="baseline"/>
      <w:cs w:val="0"/>
      <w:em w:val="none"/>
    </w:rPr>
  </w:style>
  <w:style w:type="paragraph" w:styleId="Footer">
    <w:name w:val="footer"/>
    <w:basedOn w:val="Normal"/>
    <w:link w:val="FooterChar"/>
    <w:qFormat/>
    <w:rsid w:val="00A13170"/>
  </w:style>
  <w:style w:type="character" w:customStyle="1" w:styleId="FooterChar">
    <w:name w:val="Footer Char"/>
    <w:basedOn w:val="DefaultParagraphFont"/>
    <w:link w:val="Footer"/>
    <w:rsid w:val="00A13170"/>
    <w:rPr>
      <w:rFonts w:ascii="Times New Roman" w:eastAsia="Times New Roman" w:hAnsi="Times New Roman" w:cs="SimSun"/>
      <w:position w:val="-1"/>
      <w:sz w:val="24"/>
    </w:rPr>
  </w:style>
  <w:style w:type="character" w:customStyle="1" w:styleId="FooterChar4e92b914-2004-4df5-a0c0-f7c1a1e060d8">
    <w:name w:val="Footer Char_4e92b914-2004-4df5-a0c0-f7c1a1e060d8"/>
    <w:rsid w:val="00A13170"/>
    <w:rPr>
      <w:rFonts w:ascii="Times New Roman" w:eastAsia="Calibri" w:hAnsi="Times New Roman" w:cs="SimSun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pple-tab-span">
    <w:name w:val="apple-tab-span"/>
    <w:rsid w:val="00A13170"/>
    <w:rPr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sid w:val="00A13170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1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13170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Revision">
    <w:name w:val="Revision"/>
    <w:uiPriority w:val="99"/>
    <w:rsid w:val="00A13170"/>
    <w:pPr>
      <w:spacing w:after="0" w:line="240" w:lineRule="auto"/>
    </w:pPr>
    <w:rPr>
      <w:rFonts w:ascii="Times New Roman" w:eastAsia="Times New Roman" w:hAnsi="Times New Roman" w:cs="SimSun"/>
      <w:position w:val="-1"/>
      <w:sz w:val="24"/>
    </w:rPr>
  </w:style>
  <w:style w:type="character" w:styleId="LineNumber">
    <w:name w:val="line number"/>
    <w:basedOn w:val="DefaultParagraphFont"/>
    <w:uiPriority w:val="99"/>
    <w:rsid w:val="00A13170"/>
  </w:style>
  <w:style w:type="character" w:customStyle="1" w:styleId="UnresolvedMention">
    <w:name w:val="Unresolved Mention"/>
    <w:basedOn w:val="DefaultParagraphFont"/>
    <w:uiPriority w:val="99"/>
    <w:rsid w:val="00A13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woscc/summary/9dda0471-d5b9-4d1f-952b-1126b3f3e6f1-3bf9aef2/relevance/1" TargetMode="External"/><Relationship Id="rId13" Type="http://schemas.openxmlformats.org/officeDocument/2006/relationships/hyperlink" Target="https://www.webofscience.com/wos/woscc/summary/79dbdc6f-2b2c-4da8-bf32-91cca713ba0c-3bfa476f/relevance/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hyperlink" Target="https://www.webofscience.com/wos/woscc/summary/5b8af2c2-3a21-4295-924f-a6a94ed3a133-3bfa2f6f/relevance/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www.webofscience.com/wos/woscc/summary/079dc55d-93a7-430c-8b3d-d088f8bc0c8b-3bf9c39e/relevance/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ebofscience.com/wos/woscc/summary/914d8ffc-fa8d-4382-a5db-b4de59cfbbba-3bf9c08f/relevance/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ofscience.com/wos/woscc/summary/f98a779f-4294-4016-8641-f0d14e99d26d-3bf9bcb3/relevance/1" TargetMode="External"/><Relationship Id="rId14" Type="http://schemas.openxmlformats.org/officeDocument/2006/relationships/hyperlink" Target="https://www.webofscience.com/wos/woscc/summary/b5d6f249-c49d-4d69-b038-bc49d0e5b901-3bfa4985/relevance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6086</Words>
  <Characters>34695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SALAMI</dc:creator>
  <cp:lastModifiedBy>SALAMI</cp:lastModifiedBy>
  <cp:revision>1</cp:revision>
  <dcterms:created xsi:type="dcterms:W3CDTF">2023-03-12T13:42:00Z</dcterms:created>
  <dcterms:modified xsi:type="dcterms:W3CDTF">2023-03-12T13:54:00Z</dcterms:modified>
</cp:coreProperties>
</file>