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DCE" w:rsidRDefault="004F4DCE" w:rsidP="004F4DCE">
      <w:pPr>
        <w:jc w:val="left"/>
        <w:rPr>
          <w:b/>
          <w:sz w:val="32"/>
        </w:rPr>
      </w:pPr>
      <w:r w:rsidRPr="00504F9D">
        <w:rPr>
          <w:rFonts w:hint="eastAsia"/>
          <w:b/>
          <w:sz w:val="32"/>
        </w:rPr>
        <w:t>Suppleme</w:t>
      </w:r>
      <w:bookmarkStart w:id="0" w:name="_GoBack"/>
      <w:bookmarkEnd w:id="0"/>
      <w:r w:rsidRPr="00504F9D">
        <w:rPr>
          <w:rFonts w:hint="eastAsia"/>
          <w:b/>
          <w:sz w:val="32"/>
        </w:rPr>
        <w:t xml:space="preserve">ntary material </w:t>
      </w:r>
      <w:r>
        <w:rPr>
          <w:rFonts w:hint="eastAsia"/>
          <w:b/>
          <w:sz w:val="32"/>
        </w:rPr>
        <w:t>1</w:t>
      </w:r>
      <w:r>
        <w:rPr>
          <w:rFonts w:hint="eastAsia"/>
          <w:b/>
          <w:sz w:val="32"/>
        </w:rPr>
        <w:t>：</w:t>
      </w:r>
    </w:p>
    <w:p w:rsidR="007559EC" w:rsidRPr="0061559D" w:rsidRDefault="004F4DCE" w:rsidP="0061559D">
      <w:pPr>
        <w:rPr>
          <w:b/>
          <w:sz w:val="28"/>
        </w:rPr>
      </w:pPr>
      <w:r w:rsidRPr="0061559D">
        <w:rPr>
          <w:b/>
          <w:sz w:val="28"/>
        </w:rPr>
        <w:t>Model used for flux calculations</w:t>
      </w:r>
      <w:r w:rsidRPr="0061559D">
        <w:rPr>
          <w:rFonts w:hint="eastAsia"/>
          <w:b/>
          <w:sz w:val="28"/>
        </w:rPr>
        <w:t>：</w:t>
      </w:r>
      <w:r w:rsidRPr="0061559D">
        <w:rPr>
          <w:rFonts w:hint="eastAsia"/>
          <w:b/>
          <w:sz w:val="28"/>
        </w:rPr>
        <w:t>T</w:t>
      </w:r>
      <w:r w:rsidRPr="0061559D">
        <w:rPr>
          <w:b/>
          <w:sz w:val="28"/>
        </w:rPr>
        <w:t>he C atom transitions</w:t>
      </w:r>
    </w:p>
    <w:tbl>
      <w:tblPr>
        <w:tblW w:w="7920" w:type="dxa"/>
        <w:jc w:val="center"/>
        <w:tblInd w:w="93" w:type="dxa"/>
        <w:tblLook w:val="04A0" w:firstRow="1" w:lastRow="0" w:firstColumn="1" w:lastColumn="0" w:noHBand="0" w:noVBand="1"/>
      </w:tblPr>
      <w:tblGrid>
        <w:gridCol w:w="3540"/>
        <w:gridCol w:w="4380"/>
      </w:tblGrid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proofErr w:type="spellStart"/>
            <w:r w:rsidRPr="0061559D">
              <w:rPr>
                <w:rFonts w:hint="eastAsia"/>
                <w:szCs w:val="21"/>
              </w:rPr>
              <w:t>Rxns</w:t>
            </w:r>
            <w:proofErr w:type="spellEnd"/>
            <w:r w:rsidRPr="0061559D">
              <w:rPr>
                <w:rFonts w:hint="eastAsia"/>
                <w:szCs w:val="21"/>
              </w:rPr>
              <w:t>: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Carbon transitions: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proofErr w:type="spellStart"/>
            <w:r w:rsidRPr="0061559D">
              <w:rPr>
                <w:rFonts w:hint="eastAsia"/>
                <w:szCs w:val="21"/>
              </w:rPr>
              <w:t>Subs_Gluc</w:t>
            </w:r>
            <w:proofErr w:type="spellEnd"/>
            <w:r w:rsidRPr="0061559D">
              <w:rPr>
                <w:rFonts w:hint="eastAsia"/>
                <w:szCs w:val="21"/>
              </w:rPr>
              <w:t xml:space="preserve"> --&gt; G6P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ABCDEF --&gt; ABCDEF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G6P --&gt; F6P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ABCDEF --&gt; ABCDEF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F6P --&gt; FBP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ABCDEF --&gt; ABCDEF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FBP --&gt; DHAP + GAP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ABCDEF --&gt; CBA + DEF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DHAP --&gt; GAP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--&gt; ABC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GAP --&gt; 3PG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--&gt; ABC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3PG --&gt; PEP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--&gt; ABC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 xml:space="preserve">PEP --&gt; </w:t>
            </w:r>
            <w:proofErr w:type="spellStart"/>
            <w:r w:rsidRPr="0061559D">
              <w:rPr>
                <w:rFonts w:hint="eastAsia"/>
                <w:szCs w:val="21"/>
              </w:rPr>
              <w:t>Pyr</w:t>
            </w:r>
            <w:proofErr w:type="spellEnd"/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--&gt; ABC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proofErr w:type="spellStart"/>
            <w:r w:rsidRPr="0061559D">
              <w:rPr>
                <w:rFonts w:hint="eastAsia"/>
                <w:szCs w:val="21"/>
              </w:rPr>
              <w:t>Pyr</w:t>
            </w:r>
            <w:proofErr w:type="spellEnd"/>
            <w:r w:rsidRPr="0061559D">
              <w:rPr>
                <w:rFonts w:hint="eastAsia"/>
                <w:szCs w:val="21"/>
              </w:rPr>
              <w:t xml:space="preserve"> + Ind_CO2 --&gt; OAA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+ D --&gt; ABCD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G6P --&gt; 6PG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ABCDEF --&gt; ABCDEF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6PG --&gt; Ind_CO2 + R5P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ABCDEF --&gt; A + BCDEF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X5P + R5P --&gt; S7P + GAP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ABCDE + FGHIJ --&gt; ABFGHIJ + CDE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GAP + S7P --&gt; E4P + F6P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+ DEFGHIJ --&gt; GHIJ + DEFABC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GAP + F6P --&gt; X5P + E4P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CDE + ABFGHI --&gt; ABCDE + FGHI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proofErr w:type="spellStart"/>
            <w:r w:rsidRPr="0061559D">
              <w:rPr>
                <w:rFonts w:hint="eastAsia"/>
                <w:szCs w:val="21"/>
              </w:rPr>
              <w:t>Pyr</w:t>
            </w:r>
            <w:proofErr w:type="spellEnd"/>
            <w:r w:rsidRPr="0061559D">
              <w:rPr>
                <w:rFonts w:hint="eastAsia"/>
                <w:szCs w:val="21"/>
              </w:rPr>
              <w:t xml:space="preserve"> --&gt; ACCOA + Ind_CO2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--&gt; BC + A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ACCOA + OAA --&gt; CIT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 + CDEF --&gt; FEDCBA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CIT --&gt; AKG + Ind_CO2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ABCDEF --&gt; ABCDE + F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 xml:space="preserve">AKG --&gt; </w:t>
            </w:r>
            <w:proofErr w:type="spellStart"/>
            <w:r w:rsidRPr="0061559D">
              <w:rPr>
                <w:rFonts w:hint="eastAsia"/>
                <w:szCs w:val="21"/>
              </w:rPr>
              <w:t>Sym_SUC</w:t>
            </w:r>
            <w:proofErr w:type="spellEnd"/>
            <w:r w:rsidRPr="0061559D">
              <w:rPr>
                <w:rFonts w:hint="eastAsia"/>
                <w:szCs w:val="21"/>
              </w:rPr>
              <w:t xml:space="preserve"> + Ind_CO2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ABCDE --&gt; BCDE + A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proofErr w:type="spellStart"/>
            <w:r w:rsidRPr="0061559D">
              <w:rPr>
                <w:rFonts w:hint="eastAsia"/>
                <w:szCs w:val="21"/>
              </w:rPr>
              <w:t>Sym_SUC</w:t>
            </w:r>
            <w:proofErr w:type="spellEnd"/>
            <w:r w:rsidRPr="0061559D">
              <w:rPr>
                <w:rFonts w:hint="eastAsia"/>
                <w:szCs w:val="21"/>
              </w:rPr>
              <w:t xml:space="preserve"> --&gt; </w:t>
            </w:r>
            <w:proofErr w:type="spellStart"/>
            <w:r w:rsidRPr="0061559D">
              <w:rPr>
                <w:rFonts w:hint="eastAsia"/>
                <w:szCs w:val="21"/>
              </w:rPr>
              <w:t>Sym_FUM</w:t>
            </w:r>
            <w:proofErr w:type="spellEnd"/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 --&gt; ABCD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proofErr w:type="spellStart"/>
            <w:r w:rsidRPr="0061559D">
              <w:rPr>
                <w:rFonts w:hint="eastAsia"/>
                <w:szCs w:val="21"/>
              </w:rPr>
              <w:t>Sym_FUM</w:t>
            </w:r>
            <w:proofErr w:type="spellEnd"/>
            <w:r w:rsidRPr="0061559D">
              <w:rPr>
                <w:rFonts w:hint="eastAsia"/>
                <w:szCs w:val="21"/>
              </w:rPr>
              <w:t xml:space="preserve"> --&gt; MAL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 --&gt; ABCD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MAL --&gt; OAA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ABCD --&gt; ABCD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GAP --&gt; [GLY]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--&gt; ABC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proofErr w:type="spellStart"/>
            <w:r w:rsidRPr="0061559D">
              <w:rPr>
                <w:rFonts w:hint="eastAsia"/>
                <w:szCs w:val="21"/>
              </w:rPr>
              <w:t>Pyr</w:t>
            </w:r>
            <w:proofErr w:type="spellEnd"/>
            <w:r w:rsidRPr="0061559D">
              <w:rPr>
                <w:rFonts w:hint="eastAsia"/>
                <w:szCs w:val="21"/>
              </w:rPr>
              <w:t xml:space="preserve"> --&gt; [ACE] + Ind_CO2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--&gt; AB + C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proofErr w:type="spellStart"/>
            <w:r w:rsidRPr="0061559D">
              <w:rPr>
                <w:rFonts w:hint="eastAsia"/>
                <w:szCs w:val="21"/>
              </w:rPr>
              <w:t>Pyr</w:t>
            </w:r>
            <w:proofErr w:type="spellEnd"/>
            <w:r w:rsidRPr="0061559D">
              <w:rPr>
                <w:rFonts w:hint="eastAsia"/>
                <w:szCs w:val="21"/>
              </w:rPr>
              <w:t xml:space="preserve"> --&gt; [ETH] + Ind_CO2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ABC --&gt; AB + C</w:t>
            </w: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G6P --&gt; [Biomass]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R5P --&gt; [Biomass]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proofErr w:type="spellStart"/>
            <w:r w:rsidRPr="0061559D">
              <w:rPr>
                <w:rFonts w:hint="eastAsia"/>
                <w:szCs w:val="21"/>
              </w:rPr>
              <w:t>Pyr</w:t>
            </w:r>
            <w:proofErr w:type="spellEnd"/>
            <w:r w:rsidRPr="0061559D">
              <w:rPr>
                <w:rFonts w:hint="eastAsia"/>
                <w:szCs w:val="21"/>
              </w:rPr>
              <w:t xml:space="preserve"> --&gt; [Biomass]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ACCOA --&gt; [Biomass]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OAA --&gt; [Biomass]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3PG --&gt; [Biomass]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PEP --&gt; [Biomass]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F6P --&gt; [Biomass]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</w:p>
        </w:tc>
      </w:tr>
      <w:tr w:rsidR="00106E04" w:rsidRPr="0061559D" w:rsidTr="00106E04">
        <w:trPr>
          <w:trHeight w:val="270"/>
          <w:jc w:val="center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  <w:r w:rsidRPr="0061559D">
              <w:rPr>
                <w:rFonts w:hint="eastAsia"/>
                <w:szCs w:val="21"/>
              </w:rPr>
              <w:t>E4P --&gt; [Biomass]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E04" w:rsidRPr="0061559D" w:rsidRDefault="00106E04" w:rsidP="00106E04">
            <w:pPr>
              <w:widowControl/>
              <w:jc w:val="left"/>
              <w:rPr>
                <w:szCs w:val="21"/>
              </w:rPr>
            </w:pPr>
          </w:p>
        </w:tc>
      </w:tr>
    </w:tbl>
    <w:p w:rsidR="007559EC" w:rsidRDefault="007559EC" w:rsidP="004F4DCE">
      <w:pPr>
        <w:rPr>
          <w:rFonts w:hint="eastAsia"/>
        </w:rPr>
      </w:pPr>
    </w:p>
    <w:p w:rsidR="007559EC" w:rsidRPr="007559EC" w:rsidRDefault="007559EC" w:rsidP="00B639B8">
      <w:pPr>
        <w:spacing w:line="500" w:lineRule="exact"/>
        <w:rPr>
          <w:rFonts w:hint="eastAsia"/>
          <w:b/>
          <w:sz w:val="28"/>
        </w:rPr>
      </w:pPr>
      <w:r w:rsidRPr="007559EC">
        <w:rPr>
          <w:rFonts w:hint="eastAsia"/>
          <w:b/>
          <w:sz w:val="28"/>
        </w:rPr>
        <w:t>Table</w:t>
      </w:r>
      <w:r w:rsidR="00FF3954">
        <w:rPr>
          <w:rFonts w:hint="eastAsia"/>
          <w:b/>
          <w:sz w:val="28"/>
        </w:rPr>
        <w:t xml:space="preserve"> 1</w:t>
      </w:r>
      <w:r w:rsidRPr="007559EC">
        <w:rPr>
          <w:rFonts w:hint="eastAsia"/>
          <w:b/>
          <w:sz w:val="28"/>
        </w:rPr>
        <w:t xml:space="preserve">: Description rules for metabolite identifiers in the </w:t>
      </w:r>
      <w:proofErr w:type="spellStart"/>
      <w:r w:rsidRPr="007559EC">
        <w:rPr>
          <w:rFonts w:hint="eastAsia"/>
          <w:b/>
          <w:sz w:val="28"/>
        </w:rPr>
        <w:t>Rxns</w:t>
      </w:r>
      <w:proofErr w:type="spellEnd"/>
      <w:r w:rsidRPr="007559EC">
        <w:rPr>
          <w:rFonts w:hint="eastAsia"/>
          <w:b/>
          <w:sz w:val="28"/>
        </w:rPr>
        <w:t xml:space="preserve"> column</w:t>
      </w:r>
      <w:r w:rsidR="00B639B8">
        <w:rPr>
          <w:b/>
          <w:sz w:val="28"/>
        </w:rPr>
        <w:fldChar w:fldCharType="begin"/>
      </w:r>
      <w:r w:rsidR="00B639B8">
        <w:rPr>
          <w:b/>
          <w:sz w:val="28"/>
        </w:rPr>
        <w:instrText xml:space="preserve"> ADDIN EN.CITE &lt;EndNote&gt;&lt;Cite&gt;&lt;Author&gt;Kajihata&lt;/Author&gt;&lt;Year&gt;2014&lt;/Year&gt;&lt;RecNum&gt;331&lt;/RecNum&gt;&lt;DisplayText&gt;(Kajihata et al. 2014)&lt;/DisplayText&gt;&lt;record&gt;&lt;rec-number&gt;331&lt;/rec-number&gt;&lt;foreign-keys&gt;&lt;key app="EN" db-id="fzx00vwarvfde1er0aap5zfdwrx2x9w2a500" timestamp="1561428546"&gt;331&lt;/key&gt;&lt;/foreign-keys&gt;&lt;ref-type name="Journal Article"&gt;17&lt;/ref-type&gt;&lt;contributors&gt;&lt;authors&gt;&lt;author&gt;Kajihata, S.&lt;/author&gt;&lt;author&gt;Furusawa, C.&lt;/author&gt;&lt;author&gt;Matsuda, F.&lt;/author&gt;&lt;author&gt;Shimizu, H.&lt;/author&gt;&lt;/authors&gt;&lt;/contributors&gt;&lt;auth-address&gt;Department of Bioinformatic Engineering, Graduate School of Information Science and Technology, Osaka University, 1-5 Yamadaoka, Suita, Osaka 565-0871, Japan.&amp;#xD;Department of Bioinformatic Engineering, Graduate School of Information Science and Technology, Osaka University, 1-5 Yamadaoka, Suita, Osaka 565-0871, Japan ; Quantitative Biology Center, RIKEN, 6-2-3 Furuedai, Suita, Osaka 565-0874, Japan.&lt;/auth-address&gt;&lt;titles&gt;&lt;title&gt;OpenMebius: an open source software for isotopically nonstationary 13C-based metabolic flux analysis&lt;/title&gt;&lt;secondary-title&gt;Biomed Res Int&lt;/secondary-title&gt;&lt;/titles&gt;&lt;periodical&gt;&lt;full-title&gt;Biomed Res Int&lt;/full-title&gt;&lt;/periodical&gt;&lt;pages&gt;627014&lt;/pages&gt;&lt;volume&gt;2014&lt;/volume&gt;&lt;edition&gt;2014/07/10&lt;/edition&gt;&lt;keywords&gt;&lt;keyword&gt;Carbon Isotopes&lt;/keyword&gt;&lt;keyword&gt;Citric Acid Cycle&lt;/keyword&gt;&lt;keyword&gt;Escherichia coli/metabolism&lt;/keyword&gt;&lt;keyword&gt;*Metabolic Flux Analysis&lt;/keyword&gt;&lt;keyword&gt;Models, Biological&lt;/keyword&gt;&lt;keyword&gt;*Software&lt;/keyword&gt;&lt;/keywords&gt;&lt;dates&gt;&lt;year&gt;2014&lt;/year&gt;&lt;/dates&gt;&lt;isbn&gt;2314-6141 (Electronic)&lt;/isbn&gt;&lt;accession-num&gt;25006579&lt;/accession-num&gt;&lt;urls&gt;&lt;related-urls&gt;&lt;url&gt;https://www.ncbi.nlm.nih.gov/pubmed/25006579&lt;/url&gt;&lt;url&gt;https://www.ncbi.nlm.nih.gov/pmc/articles/PMC4071984/pdf/BMRI2014-627014.pdf&lt;/url&gt;&lt;/related-urls&gt;&lt;/urls&gt;&lt;custom2&gt;PMC4071984&lt;/custom2&gt;&lt;electronic-resource-num&gt;10.1155/2014/627014&lt;/electronic-resource-num&gt;&lt;/record&gt;&lt;/Cite&gt;&lt;/EndNote&gt;</w:instrText>
      </w:r>
      <w:r w:rsidR="00B639B8">
        <w:rPr>
          <w:b/>
          <w:sz w:val="28"/>
        </w:rPr>
        <w:fldChar w:fldCharType="separate"/>
      </w:r>
      <w:r w:rsidR="00B639B8">
        <w:rPr>
          <w:b/>
          <w:noProof/>
          <w:sz w:val="28"/>
        </w:rPr>
        <w:t>(</w:t>
      </w:r>
      <w:proofErr w:type="spellStart"/>
      <w:r w:rsidR="00B639B8">
        <w:rPr>
          <w:b/>
          <w:noProof/>
          <w:sz w:val="28"/>
        </w:rPr>
        <w:t>Kajihata</w:t>
      </w:r>
      <w:proofErr w:type="spellEnd"/>
      <w:r w:rsidR="00B639B8">
        <w:rPr>
          <w:b/>
          <w:noProof/>
          <w:sz w:val="28"/>
        </w:rPr>
        <w:t xml:space="preserve"> et al. 2014)</w:t>
      </w:r>
      <w:r w:rsidR="00B639B8">
        <w:rPr>
          <w:b/>
          <w:sz w:val="28"/>
        </w:rPr>
        <w:fldChar w:fldCharType="end"/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48"/>
        <w:gridCol w:w="6974"/>
      </w:tblGrid>
      <w:tr w:rsidR="007559EC" w:rsidRPr="0061559D" w:rsidTr="00B639B8">
        <w:tc>
          <w:tcPr>
            <w:tcW w:w="1548" w:type="dxa"/>
          </w:tcPr>
          <w:p w:rsidR="007559EC" w:rsidRPr="0061559D" w:rsidRDefault="00B639B8" w:rsidP="00B639B8">
            <w:pPr>
              <w:jc w:val="left"/>
              <w:rPr>
                <w:rFonts w:ascii="Calibri" w:hAnsi="Calibri" w:cs="Calibri"/>
                <w:b/>
              </w:rPr>
            </w:pPr>
            <w:r w:rsidRPr="0061559D">
              <w:rPr>
                <w:rFonts w:ascii="Calibri" w:hAnsi="Calibri" w:cs="Calibri"/>
                <w:b/>
              </w:rPr>
              <w:t>Tag</w:t>
            </w:r>
          </w:p>
        </w:tc>
        <w:tc>
          <w:tcPr>
            <w:tcW w:w="6974" w:type="dxa"/>
          </w:tcPr>
          <w:p w:rsidR="007559EC" w:rsidRPr="0061559D" w:rsidRDefault="00B639B8" w:rsidP="00B639B8">
            <w:pPr>
              <w:rPr>
                <w:rFonts w:ascii="Calibri" w:hAnsi="Calibri" w:cs="Calibri"/>
                <w:b/>
              </w:rPr>
            </w:pPr>
            <w:r w:rsidRPr="0061559D">
              <w:rPr>
                <w:rFonts w:ascii="Calibri" w:hAnsi="Calibri" w:cs="Calibri"/>
                <w:b/>
              </w:rPr>
              <w:t>Description</w:t>
            </w:r>
          </w:p>
        </w:tc>
      </w:tr>
      <w:tr w:rsidR="007559EC" w:rsidRPr="0061559D" w:rsidTr="00B639B8">
        <w:tc>
          <w:tcPr>
            <w:tcW w:w="1548" w:type="dxa"/>
          </w:tcPr>
          <w:p w:rsidR="007559EC" w:rsidRPr="0061559D" w:rsidRDefault="00B639B8" w:rsidP="00B639B8">
            <w:pPr>
              <w:rPr>
                <w:rFonts w:ascii="Calibri" w:hAnsi="Calibri" w:cs="Calibri"/>
              </w:rPr>
            </w:pPr>
            <w:r w:rsidRPr="0061559D">
              <w:rPr>
                <w:rFonts w:ascii="Calibri" w:hAnsi="Calibri" w:cs="Calibri"/>
              </w:rPr>
              <w:t>Subs_</w:t>
            </w:r>
          </w:p>
        </w:tc>
        <w:tc>
          <w:tcPr>
            <w:tcW w:w="6974" w:type="dxa"/>
          </w:tcPr>
          <w:p w:rsidR="007559EC" w:rsidRPr="0061559D" w:rsidRDefault="00B639B8" w:rsidP="00B639B8">
            <w:pPr>
              <w:rPr>
                <w:rFonts w:ascii="Calibri" w:hAnsi="Calibri" w:cs="Calibri"/>
              </w:rPr>
            </w:pPr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>Prefix for carbon sources such as glucose and glutamine</w:t>
            </w:r>
          </w:p>
        </w:tc>
      </w:tr>
      <w:tr w:rsidR="007559EC" w:rsidRPr="0061559D" w:rsidTr="00B639B8">
        <w:tc>
          <w:tcPr>
            <w:tcW w:w="1548" w:type="dxa"/>
          </w:tcPr>
          <w:p w:rsidR="007559EC" w:rsidRPr="0061559D" w:rsidRDefault="00B639B8" w:rsidP="00B639B8">
            <w:pPr>
              <w:rPr>
                <w:rFonts w:ascii="Calibri" w:hAnsi="Calibri" w:cs="Calibri"/>
              </w:rPr>
            </w:pPr>
            <w:proofErr w:type="spellStart"/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lastRenderedPageBreak/>
              <w:t>Sym</w:t>
            </w:r>
            <w:proofErr w:type="spellEnd"/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>_</w:t>
            </w:r>
          </w:p>
        </w:tc>
        <w:tc>
          <w:tcPr>
            <w:tcW w:w="6974" w:type="dxa"/>
          </w:tcPr>
          <w:p w:rsidR="007559EC" w:rsidRPr="0061559D" w:rsidRDefault="00B639B8" w:rsidP="00B639B8">
            <w:pPr>
              <w:rPr>
                <w:rFonts w:ascii="Calibri" w:hAnsi="Calibri" w:cs="Calibri"/>
              </w:rPr>
            </w:pPr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>Prefix for metabolites with symmetric structures such as succinate and fumarate</w:t>
            </w:r>
          </w:p>
        </w:tc>
      </w:tr>
      <w:tr w:rsidR="007559EC" w:rsidRPr="0061559D" w:rsidTr="00B639B8">
        <w:tc>
          <w:tcPr>
            <w:tcW w:w="1548" w:type="dxa"/>
          </w:tcPr>
          <w:p w:rsidR="007559EC" w:rsidRPr="0061559D" w:rsidRDefault="00B639B8" w:rsidP="00B639B8">
            <w:pPr>
              <w:rPr>
                <w:rFonts w:ascii="Calibri" w:hAnsi="Calibri" w:cs="Calibri"/>
              </w:rPr>
            </w:pPr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>Ind_CO2</w:t>
            </w:r>
          </w:p>
        </w:tc>
        <w:tc>
          <w:tcPr>
            <w:tcW w:w="6974" w:type="dxa"/>
          </w:tcPr>
          <w:p w:rsidR="007559EC" w:rsidRPr="0061559D" w:rsidRDefault="00B639B8" w:rsidP="00B639B8">
            <w:pPr>
              <w:rPr>
                <w:rFonts w:ascii="Calibri" w:hAnsi="Calibri" w:cs="Calibri"/>
              </w:rPr>
            </w:pPr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>Reserved word for CO</w:t>
            </w:r>
            <w:r w:rsidRPr="0061559D">
              <w:rPr>
                <w:rFonts w:ascii="Calibri" w:eastAsia="Meiryo" w:hAnsi="Calibri" w:cs="Calibri"/>
                <w:color w:val="000000"/>
                <w:szCs w:val="15"/>
                <w:shd w:val="clear" w:color="auto" w:fill="FFFFFF"/>
                <w:vertAlign w:val="subscript"/>
              </w:rPr>
              <w:t>2</w:t>
            </w:r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 xml:space="preserve">. </w:t>
            </w:r>
            <w:proofErr w:type="spellStart"/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>OpenMebius</w:t>
            </w:r>
            <w:proofErr w:type="spellEnd"/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 xml:space="preserve"> determines the isotopic labeling enrichment of CO</w:t>
            </w:r>
            <w:r w:rsidRPr="0061559D">
              <w:rPr>
                <w:rFonts w:ascii="Calibri" w:eastAsia="Meiryo" w:hAnsi="Calibri" w:cs="Calibri"/>
                <w:color w:val="000000"/>
                <w:szCs w:val="15"/>
                <w:shd w:val="clear" w:color="auto" w:fill="FFFFFF"/>
                <w:vertAlign w:val="subscript"/>
              </w:rPr>
              <w:t>2</w:t>
            </w:r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> as an independent variable.</w:t>
            </w:r>
          </w:p>
        </w:tc>
      </w:tr>
      <w:tr w:rsidR="007559EC" w:rsidRPr="0061559D" w:rsidTr="00B639B8">
        <w:tc>
          <w:tcPr>
            <w:tcW w:w="1548" w:type="dxa"/>
          </w:tcPr>
          <w:p w:rsidR="007559EC" w:rsidRPr="0061559D" w:rsidRDefault="00B639B8" w:rsidP="00B639B8">
            <w:pPr>
              <w:rPr>
                <w:rFonts w:ascii="Calibri" w:hAnsi="Calibri" w:cs="Calibri"/>
              </w:rPr>
            </w:pPr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>[ ]</w:t>
            </w:r>
          </w:p>
        </w:tc>
        <w:tc>
          <w:tcPr>
            <w:tcW w:w="6974" w:type="dxa"/>
          </w:tcPr>
          <w:p w:rsidR="007559EC" w:rsidRPr="0061559D" w:rsidRDefault="00B639B8" w:rsidP="00B639B8">
            <w:pPr>
              <w:rPr>
                <w:rFonts w:ascii="Calibri" w:hAnsi="Calibri" w:cs="Calibri"/>
              </w:rPr>
            </w:pPr>
            <w:r w:rsidRPr="0061559D">
              <w:rPr>
                <w:rFonts w:ascii="Calibri" w:eastAsia="Meiryo" w:hAnsi="Calibri" w:cs="Calibri"/>
                <w:color w:val="000000"/>
                <w:szCs w:val="20"/>
                <w:shd w:val="clear" w:color="auto" w:fill="FFFFFF"/>
              </w:rPr>
              <w:t>Metabolic identifiers in square brackets are considered to be outside the metabolic systems (such as products excreted to the medium and those that are used for biomass formation)</w:t>
            </w:r>
          </w:p>
        </w:tc>
      </w:tr>
    </w:tbl>
    <w:p w:rsidR="007559EC" w:rsidRDefault="007559EC" w:rsidP="004F4DCE">
      <w:pPr>
        <w:rPr>
          <w:rFonts w:hint="eastAsia"/>
        </w:rPr>
      </w:pPr>
    </w:p>
    <w:p w:rsidR="00B639B8" w:rsidRDefault="00B639B8" w:rsidP="004F4DCE"/>
    <w:p w:rsidR="00B639B8" w:rsidRPr="00FF3954" w:rsidRDefault="00FF3954" w:rsidP="00FF3954">
      <w:pPr>
        <w:autoSpaceDE w:val="0"/>
        <w:autoSpaceDN w:val="0"/>
        <w:adjustRightInd w:val="0"/>
        <w:rPr>
          <w:rFonts w:hint="eastAsia"/>
          <w:b/>
          <w:sz w:val="28"/>
        </w:rPr>
      </w:pPr>
      <w:r w:rsidRPr="00FF3954">
        <w:rPr>
          <w:rFonts w:hint="eastAsia"/>
          <w:b/>
          <w:sz w:val="28"/>
        </w:rPr>
        <w:t>Table 2:</w:t>
      </w:r>
      <w:r w:rsidRPr="00FF3954">
        <w:rPr>
          <w:rFonts w:ascii="Calibri" w:hAnsi="Calibri" w:cs="Calibri"/>
          <w:kern w:val="0"/>
          <w:sz w:val="20"/>
          <w:szCs w:val="20"/>
        </w:rPr>
        <w:t xml:space="preserve"> </w:t>
      </w:r>
      <w:r w:rsidRPr="00FF3954">
        <w:rPr>
          <w:b/>
          <w:sz w:val="28"/>
        </w:rPr>
        <w:t>Precursor requirements for biomass formation (</w:t>
      </w:r>
      <w:r>
        <w:rPr>
          <w:rFonts w:hint="eastAsia"/>
          <w:b/>
          <w:sz w:val="28"/>
        </w:rPr>
        <w:t>μ</w:t>
      </w:r>
      <w:proofErr w:type="spellStart"/>
      <w:r w:rsidRPr="00FF3954">
        <w:rPr>
          <w:b/>
          <w:sz w:val="28"/>
        </w:rPr>
        <w:t>mol</w:t>
      </w:r>
      <w:proofErr w:type="spellEnd"/>
      <w:r w:rsidRPr="00FF3954">
        <w:rPr>
          <w:b/>
          <w:sz w:val="28"/>
        </w:rPr>
        <w:t>/</w:t>
      </w:r>
      <w:proofErr w:type="spellStart"/>
      <w:r w:rsidRPr="00FF3954">
        <w:rPr>
          <w:b/>
          <w:sz w:val="28"/>
        </w:rPr>
        <w:t>gDW</w:t>
      </w:r>
      <w:proofErr w:type="spellEnd"/>
      <w:r w:rsidRPr="00FF3954">
        <w:rPr>
          <w:b/>
          <w:sz w:val="28"/>
        </w:rPr>
        <w:t>) were calculated b</w:t>
      </w:r>
      <w:r w:rsidRPr="00FF3954">
        <w:rPr>
          <w:b/>
          <w:sz w:val="28"/>
        </w:rPr>
        <w:t>ased on the biomass composition</w:t>
      </w:r>
      <w:r w:rsidRPr="00FF3954">
        <w:rPr>
          <w:rFonts w:hint="eastAsia"/>
          <w:b/>
          <w:sz w:val="28"/>
        </w:rPr>
        <w:t xml:space="preserve"> </w:t>
      </w:r>
      <w:r w:rsidRPr="00FF3954">
        <w:rPr>
          <w:b/>
          <w:sz w:val="28"/>
        </w:rPr>
        <w:t xml:space="preserve">reported in </w:t>
      </w:r>
      <w:r>
        <w:rPr>
          <w:b/>
          <w:sz w:val="28"/>
        </w:rPr>
        <w:t>the</w:t>
      </w:r>
      <w:r>
        <w:rPr>
          <w:rFonts w:hint="eastAsia"/>
          <w:b/>
          <w:sz w:val="28"/>
        </w:rPr>
        <w:t xml:space="preserve"> paper </w:t>
      </w:r>
      <w:r>
        <w:rPr>
          <w:b/>
          <w:sz w:val="28"/>
        </w:rPr>
        <w:fldChar w:fldCharType="begin"/>
      </w:r>
      <w:r>
        <w:rPr>
          <w:b/>
          <w:sz w:val="28"/>
        </w:rPr>
        <w:instrText xml:space="preserve"> ADDIN EN.CITE &lt;EndNote&gt;&lt;Cite&gt;&lt;Author&gt;Lange&lt;/Author&gt;&lt;Year&gt;2001&lt;/Year&gt;&lt;RecNum&gt;358&lt;/RecNum&gt;&lt;DisplayText&gt;(Lange and Heijnen 2001)&lt;/DisplayText&gt;&lt;record&gt;&lt;rec-number&gt;358&lt;/rec-number&gt;&lt;foreign-keys&gt;&lt;key app="EN" db-id="fzx00vwarvfde1er0aap5zfdwrx2x9w2a500" timestamp="1562121613"&gt;358&lt;/key&gt;&lt;/foreign-keys&gt;&lt;ref-type name="Journal Article"&gt;17&lt;/ref-type&gt;&lt;contributors&gt;&lt;authors&gt;&lt;author&gt;Lange, H. C.&lt;/author&gt;&lt;author&gt;Heijnen, J. J.&lt;/author&gt;&lt;/authors&gt;&lt;/contributors&gt;&lt;auth-address&gt;Delft University of Technology, Kluyver Laboratory for Biotechnology, Delft, The Netherlands. h.c.lange@stm.tudelft.nl&lt;/auth-address&gt;&lt;titles&gt;&lt;title&gt;Statistical reconciliation of the elemental and molecular biomass composition of Saccharomyces cerevisiae&lt;/title&gt;&lt;secondary-title&gt;Biotechnol Bioeng&lt;/secondary-title&gt;&lt;/titles&gt;&lt;periodical&gt;&lt;full-title&gt;Biotechnol Bioeng&lt;/full-title&gt;&lt;/periodical&gt;&lt;pages&gt;334-44&lt;/pages&gt;&lt;volume&gt;75&lt;/volume&gt;&lt;number&gt;3&lt;/number&gt;&lt;edition&gt;2001/10/09&lt;/edition&gt;&lt;keywords&gt;&lt;keyword&gt;*Biomass&lt;/keyword&gt;&lt;keyword&gt;Saccharomyces cerevisiae/*chemistry&lt;/keyword&gt;&lt;keyword&gt;Water/analysis&lt;/keyword&gt;&lt;/keywords&gt;&lt;dates&gt;&lt;year&gt;2001&lt;/year&gt;&lt;pub-dates&gt;&lt;date&gt;Nov 5&lt;/date&gt;&lt;/pub-dates&gt;&lt;/dates&gt;&lt;isbn&gt;0006-3592 (Print)&amp;#xD;0006-3592 (Linking)&lt;/isbn&gt;&lt;accession-num&gt;11590606&lt;/accession-num&gt;&lt;urls&gt;&lt;related-urls&gt;&lt;url&gt;https://www.ncbi.nlm.nih.gov/pubmed/11590606&lt;/url&gt;&lt;/related-urls&gt;&lt;/urls&gt;&lt;/record&gt;&lt;/Cite&gt;&lt;/EndNote&gt;</w:instrText>
      </w:r>
      <w:r>
        <w:rPr>
          <w:b/>
          <w:sz w:val="28"/>
        </w:rPr>
        <w:fldChar w:fldCharType="separate"/>
      </w:r>
      <w:r>
        <w:rPr>
          <w:b/>
          <w:noProof/>
          <w:sz w:val="28"/>
        </w:rPr>
        <w:t>(Lange and Heijnen 2001)</w:t>
      </w:r>
      <w:r>
        <w:rPr>
          <w:b/>
          <w:sz w:val="28"/>
        </w:rPr>
        <w:fldChar w:fldCharType="end"/>
      </w:r>
      <w:r>
        <w:rPr>
          <w:rFonts w:hint="eastAsia"/>
          <w:b/>
          <w:sz w:val="28"/>
        </w:rPr>
        <w:t xml:space="preserve">. </w:t>
      </w:r>
      <w:r w:rsidRPr="00FF3954">
        <w:rPr>
          <w:b/>
          <w:sz w:val="28"/>
        </w:rPr>
        <w:t>Unfortunately there are no measurements available for D = 0.3 h</w:t>
      </w:r>
      <w:r w:rsidRPr="00FF3954">
        <w:rPr>
          <w:b/>
          <w:sz w:val="28"/>
          <w:vertAlign w:val="superscript"/>
        </w:rPr>
        <w:t>-1</w:t>
      </w:r>
      <w:r w:rsidRPr="00FF3954">
        <w:rPr>
          <w:b/>
          <w:sz w:val="28"/>
        </w:rPr>
        <w:t>, we assumed that the</w:t>
      </w:r>
      <w:r w:rsidRPr="00FF3954">
        <w:rPr>
          <w:rFonts w:hint="eastAsia"/>
          <w:b/>
          <w:sz w:val="28"/>
        </w:rPr>
        <w:t xml:space="preserve"> </w:t>
      </w:r>
      <w:r w:rsidRPr="00FF3954">
        <w:rPr>
          <w:b/>
          <w:sz w:val="28"/>
        </w:rPr>
        <w:t>biomass composition is comparable to D = 0.211 h</w:t>
      </w:r>
      <w:r w:rsidRPr="00FF3954">
        <w:rPr>
          <w:b/>
          <w:sz w:val="28"/>
          <w:vertAlign w:val="superscript"/>
        </w:rPr>
        <w:t>-1</w:t>
      </w:r>
      <w:r w:rsidRPr="00FF3954">
        <w:rPr>
          <w:b/>
          <w:sz w:val="28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BB46F1" w:rsidRPr="0061559D" w:rsidTr="00692C99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</w:p>
        </w:tc>
        <w:tc>
          <w:tcPr>
            <w:tcW w:w="6392" w:type="dxa"/>
            <w:gridSpan w:val="3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Dilution rate (D)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Precursor metabolites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0.052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0.107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0.211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Alanine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-422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-446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-480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Glutamate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-805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-850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-915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proofErr w:type="spellStart"/>
            <w:r w:rsidRPr="0061559D">
              <w:rPr>
                <w:rFonts w:hint="eastAsia"/>
              </w:rPr>
              <w:t>Asparate</w:t>
            </w:r>
            <w:proofErr w:type="spellEnd"/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-826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-873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-936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Valine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-241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-255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-274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Pyruvate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-643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-680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-732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PG3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-716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-780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-833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R5P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-792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-889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-941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proofErr w:type="spellStart"/>
            <w:r w:rsidRPr="0061559D">
              <w:rPr>
                <w:rFonts w:hint="eastAsia"/>
              </w:rPr>
              <w:t>AcCOA</w:t>
            </w:r>
            <w:proofErr w:type="spellEnd"/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-2616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-2158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-2361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PEP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-271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-286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-308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E4P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-142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-150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-161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OAA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-76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-109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-109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G3P</w:t>
            </w:r>
          </w:p>
        </w:tc>
        <w:tc>
          <w:tcPr>
            <w:tcW w:w="2130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-92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-72</w:t>
            </w:r>
          </w:p>
        </w:tc>
        <w:tc>
          <w:tcPr>
            <w:tcW w:w="2131" w:type="dxa"/>
          </w:tcPr>
          <w:p w:rsidR="00BB46F1" w:rsidRPr="0061559D" w:rsidRDefault="00BB46F1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-79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G6P</w:t>
            </w:r>
          </w:p>
        </w:tc>
        <w:tc>
          <w:tcPr>
            <w:tcW w:w="2130" w:type="dxa"/>
          </w:tcPr>
          <w:p w:rsidR="00BB46F1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-1037</w:t>
            </w:r>
          </w:p>
        </w:tc>
        <w:tc>
          <w:tcPr>
            <w:tcW w:w="2131" w:type="dxa"/>
          </w:tcPr>
          <w:p w:rsidR="00BB46F1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-872</w:t>
            </w:r>
          </w:p>
        </w:tc>
        <w:tc>
          <w:tcPr>
            <w:tcW w:w="2131" w:type="dxa"/>
          </w:tcPr>
          <w:p w:rsidR="00BB46F1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-1216</w:t>
            </w:r>
          </w:p>
        </w:tc>
      </w:tr>
      <w:tr w:rsidR="00BB46F1" w:rsidRPr="0061559D" w:rsidTr="00BB46F1">
        <w:tc>
          <w:tcPr>
            <w:tcW w:w="2130" w:type="dxa"/>
          </w:tcPr>
          <w:p w:rsidR="00BB46F1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F6P</w:t>
            </w:r>
          </w:p>
        </w:tc>
        <w:tc>
          <w:tcPr>
            <w:tcW w:w="2130" w:type="dxa"/>
          </w:tcPr>
          <w:p w:rsidR="00BB46F1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-519</w:t>
            </w:r>
          </w:p>
        </w:tc>
        <w:tc>
          <w:tcPr>
            <w:tcW w:w="2131" w:type="dxa"/>
          </w:tcPr>
          <w:p w:rsidR="00BB46F1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-436</w:t>
            </w:r>
          </w:p>
        </w:tc>
        <w:tc>
          <w:tcPr>
            <w:tcW w:w="2131" w:type="dxa"/>
          </w:tcPr>
          <w:p w:rsidR="00BB46F1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-608</w:t>
            </w:r>
          </w:p>
        </w:tc>
      </w:tr>
      <w:tr w:rsidR="0061559D" w:rsidRPr="0061559D" w:rsidTr="00BB46F1">
        <w:tc>
          <w:tcPr>
            <w:tcW w:w="2130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CO2</w:t>
            </w:r>
          </w:p>
        </w:tc>
        <w:tc>
          <w:tcPr>
            <w:tcW w:w="2130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864</w:t>
            </w:r>
          </w:p>
        </w:tc>
        <w:tc>
          <w:tcPr>
            <w:tcW w:w="2131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936</w:t>
            </w:r>
          </w:p>
        </w:tc>
        <w:tc>
          <w:tcPr>
            <w:tcW w:w="2131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1001</w:t>
            </w:r>
          </w:p>
        </w:tc>
      </w:tr>
      <w:tr w:rsidR="0061559D" w:rsidRPr="0061559D" w:rsidTr="00BB46F1">
        <w:tc>
          <w:tcPr>
            <w:tcW w:w="2130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NADH</w:t>
            </w:r>
          </w:p>
        </w:tc>
        <w:tc>
          <w:tcPr>
            <w:tcW w:w="2130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1240</w:t>
            </w:r>
          </w:p>
        </w:tc>
        <w:tc>
          <w:tcPr>
            <w:tcW w:w="2131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1338</w:t>
            </w:r>
          </w:p>
        </w:tc>
        <w:tc>
          <w:tcPr>
            <w:tcW w:w="2131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1432</w:t>
            </w:r>
          </w:p>
        </w:tc>
      </w:tr>
      <w:tr w:rsidR="0061559D" w:rsidRPr="0061559D" w:rsidTr="00BB46F1">
        <w:tc>
          <w:tcPr>
            <w:tcW w:w="2130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NADPH</w:t>
            </w:r>
          </w:p>
        </w:tc>
        <w:tc>
          <w:tcPr>
            <w:tcW w:w="2130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-10548</w:t>
            </w:r>
          </w:p>
        </w:tc>
        <w:tc>
          <w:tcPr>
            <w:tcW w:w="2131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-10098</w:t>
            </w:r>
          </w:p>
        </w:tc>
        <w:tc>
          <w:tcPr>
            <w:tcW w:w="2131" w:type="dxa"/>
          </w:tcPr>
          <w:p w:rsidR="0061559D" w:rsidRPr="0061559D" w:rsidRDefault="0061559D" w:rsidP="0061559D">
            <w:pPr>
              <w:jc w:val="center"/>
              <w:rPr>
                <w:rFonts w:hint="eastAsia"/>
              </w:rPr>
            </w:pPr>
            <w:r w:rsidRPr="0061559D">
              <w:rPr>
                <w:rFonts w:hint="eastAsia"/>
              </w:rPr>
              <w:t>-10914</w:t>
            </w:r>
          </w:p>
        </w:tc>
      </w:tr>
    </w:tbl>
    <w:p w:rsidR="00B639B8" w:rsidRPr="00FF3954" w:rsidRDefault="00B639B8" w:rsidP="004F4DCE">
      <w:pPr>
        <w:rPr>
          <w:rFonts w:hint="eastAsia"/>
          <w:b/>
          <w:sz w:val="28"/>
        </w:rPr>
      </w:pPr>
    </w:p>
    <w:p w:rsidR="00B639B8" w:rsidRDefault="00B639B8" w:rsidP="004F4DCE">
      <w:pPr>
        <w:rPr>
          <w:rFonts w:hint="eastAsia"/>
        </w:rPr>
      </w:pPr>
    </w:p>
    <w:p w:rsidR="00B639B8" w:rsidRDefault="00B639B8" w:rsidP="004F4DCE">
      <w:pPr>
        <w:rPr>
          <w:rFonts w:hint="eastAsia"/>
        </w:rPr>
      </w:pPr>
    </w:p>
    <w:p w:rsidR="00B639B8" w:rsidRPr="00FF3954" w:rsidRDefault="00B639B8" w:rsidP="004F4DCE">
      <w:pPr>
        <w:rPr>
          <w:rFonts w:hint="eastAsia"/>
        </w:rPr>
      </w:pPr>
    </w:p>
    <w:p w:rsidR="00B639B8" w:rsidRDefault="00B639B8" w:rsidP="004F4DCE">
      <w:pPr>
        <w:rPr>
          <w:rFonts w:hint="eastAsia"/>
        </w:rPr>
      </w:pPr>
    </w:p>
    <w:p w:rsidR="00B639B8" w:rsidRPr="0061559D" w:rsidRDefault="0061559D" w:rsidP="0061559D">
      <w:pPr>
        <w:autoSpaceDE w:val="0"/>
        <w:autoSpaceDN w:val="0"/>
        <w:adjustRightInd w:val="0"/>
        <w:rPr>
          <w:b/>
          <w:sz w:val="32"/>
        </w:rPr>
      </w:pPr>
      <w:r w:rsidRPr="00BD6C16">
        <w:rPr>
          <w:b/>
          <w:sz w:val="32"/>
        </w:rPr>
        <w:lastRenderedPageBreak/>
        <w:t>References</w:t>
      </w:r>
    </w:p>
    <w:p w:rsidR="00FF3954" w:rsidRPr="00FF3954" w:rsidRDefault="00B639B8" w:rsidP="00FF3954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FF3954" w:rsidRPr="00FF3954">
        <w:t xml:space="preserve">Kajihata, S., C. Furusawa, F. Matsuda, and H. Shimizu. 2014. 'OpenMebius: an open source software for isotopically nonstationary 13C-based metabolic flux analysis', </w:t>
      </w:r>
      <w:r w:rsidR="00FF3954" w:rsidRPr="00FF3954">
        <w:rPr>
          <w:i/>
        </w:rPr>
        <w:t>Biomed Res Int</w:t>
      </w:r>
      <w:r w:rsidR="00FF3954" w:rsidRPr="00FF3954">
        <w:t>, 2014: 627014.</w:t>
      </w:r>
    </w:p>
    <w:p w:rsidR="00FF3954" w:rsidRPr="00FF3954" w:rsidRDefault="00FF3954" w:rsidP="00FF3954">
      <w:pPr>
        <w:pStyle w:val="EndNoteBibliography"/>
        <w:ind w:left="720" w:hanging="720"/>
      </w:pPr>
      <w:r w:rsidRPr="00FF3954">
        <w:t xml:space="preserve">Lange, H. C., and J. J. Heijnen. 2001. 'Statistical reconciliation of the elemental and molecular biomass composition of Saccharomyces cerevisiae', </w:t>
      </w:r>
      <w:r w:rsidRPr="00FF3954">
        <w:rPr>
          <w:i/>
        </w:rPr>
        <w:t>Biotechnol Bioeng</w:t>
      </w:r>
      <w:r w:rsidRPr="00FF3954">
        <w:t>, 75: 334-44.</w:t>
      </w:r>
    </w:p>
    <w:p w:rsidR="007559EC" w:rsidRDefault="00B639B8" w:rsidP="004F4DCE">
      <w:r>
        <w:fldChar w:fldCharType="end"/>
      </w:r>
    </w:p>
    <w:sectPr w:rsidR="007559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62D" w:rsidRDefault="00CA462D" w:rsidP="004F4DCE">
      <w:r>
        <w:separator/>
      </w:r>
    </w:p>
  </w:endnote>
  <w:endnote w:type="continuationSeparator" w:id="0">
    <w:p w:rsidR="00CA462D" w:rsidRDefault="00CA462D" w:rsidP="004F4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62D" w:rsidRDefault="00CA462D" w:rsidP="004F4DCE">
      <w:r>
        <w:separator/>
      </w:r>
    </w:p>
  </w:footnote>
  <w:footnote w:type="continuationSeparator" w:id="0">
    <w:p w:rsidR="00CA462D" w:rsidRDefault="00CA462D" w:rsidP="004F4D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HRA (Author-Date)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x00vwarvfde1er0aap5zfdwrx2x9w2a500&quot;&gt;My EndNote Library-Saved&lt;record-ids&gt;&lt;item&gt;331&lt;/item&gt;&lt;item&gt;358&lt;/item&gt;&lt;/record-ids&gt;&lt;/item&gt;&lt;/Libraries&gt;"/>
  </w:docVars>
  <w:rsids>
    <w:rsidRoot w:val="003C431C"/>
    <w:rsid w:val="000A5B97"/>
    <w:rsid w:val="00106E04"/>
    <w:rsid w:val="003C431C"/>
    <w:rsid w:val="004F4DCE"/>
    <w:rsid w:val="0061559D"/>
    <w:rsid w:val="007559EC"/>
    <w:rsid w:val="00B404E5"/>
    <w:rsid w:val="00B639B8"/>
    <w:rsid w:val="00BB46F1"/>
    <w:rsid w:val="00CA462D"/>
    <w:rsid w:val="00FF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D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DCE"/>
    <w:rPr>
      <w:sz w:val="18"/>
      <w:szCs w:val="18"/>
    </w:rPr>
  </w:style>
  <w:style w:type="table" w:styleId="a5">
    <w:name w:val="Table Grid"/>
    <w:basedOn w:val="a1"/>
    <w:uiPriority w:val="39"/>
    <w:rsid w:val="00755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B639B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639B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639B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639B8"/>
    <w:rPr>
      <w:rFonts w:ascii="Calibri" w:hAnsi="Calibri" w:cs="Calibri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D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DCE"/>
    <w:rPr>
      <w:sz w:val="18"/>
      <w:szCs w:val="18"/>
    </w:rPr>
  </w:style>
  <w:style w:type="table" w:styleId="a5">
    <w:name w:val="Table Grid"/>
    <w:basedOn w:val="a1"/>
    <w:uiPriority w:val="39"/>
    <w:rsid w:val="00755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B639B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639B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639B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639B8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7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923</Words>
  <Characters>5267</Characters>
  <Application>Microsoft Office Word</Application>
  <DocSecurity>0</DocSecurity>
  <Lines>43</Lines>
  <Paragraphs>12</Paragraphs>
  <ScaleCrop>false</ScaleCrop>
  <Company>Microsoft</Company>
  <LinksUpToDate>false</LinksUpToDate>
  <CharactersWithSpaces>6178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4</cp:revision>
  <dcterms:created xsi:type="dcterms:W3CDTF">2019-10-22T08:44:00Z</dcterms:created>
  <dcterms:modified xsi:type="dcterms:W3CDTF">2019-10-23T08:51:00Z</dcterms:modified>
</cp:coreProperties>
</file>