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0329" w14:textId="48A06817" w:rsidR="00F1640A" w:rsidRPr="003E60D6" w:rsidRDefault="003E60D6" w:rsidP="003E60D6">
      <w:pPr>
        <w:jc w:val="center"/>
        <w:rPr>
          <w:rFonts w:hint="eastAsia"/>
          <w:sz w:val="20"/>
          <w:szCs w:val="20"/>
        </w:rPr>
      </w:pPr>
      <w:r w:rsidRPr="003E60D6">
        <w:rPr>
          <w:noProof/>
          <w:sz w:val="20"/>
          <w:szCs w:val="20"/>
        </w:rPr>
        <w:drawing>
          <wp:inline distT="0" distB="0" distL="0" distR="0" wp14:anchorId="4CC61744" wp14:editId="1CBB9401">
            <wp:extent cx="4505260" cy="2960375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105" cy="297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290A" w14:textId="77777777" w:rsidR="003E60D6" w:rsidRPr="003E60D6" w:rsidRDefault="003E60D6" w:rsidP="003E60D6">
      <w:pPr>
        <w:rPr>
          <w:rFonts w:ascii="Times New Roman" w:hAnsi="Times New Roman" w:cs="Times New Roman"/>
          <w:b/>
          <w:sz w:val="20"/>
          <w:szCs w:val="20"/>
        </w:rPr>
      </w:pPr>
      <w:r w:rsidRPr="003E60D6">
        <w:rPr>
          <w:rFonts w:ascii="Times New Roman" w:hAnsi="Times New Roman" w:cs="Times New Roman"/>
          <w:b/>
          <w:sz w:val="20"/>
          <w:szCs w:val="20"/>
        </w:rPr>
        <w:t>Supplementary Figure 1. PKR deficiency did not alter TNF and IL-6 production from NP cells.</w:t>
      </w:r>
    </w:p>
    <w:p w14:paraId="154131A9" w14:textId="77777777" w:rsidR="003E60D6" w:rsidRPr="003E60D6" w:rsidRDefault="003E60D6" w:rsidP="003E60D6">
      <w:pPr>
        <w:rPr>
          <w:rFonts w:ascii="Times New Roman" w:hAnsi="Times New Roman" w:cs="Times New Roman"/>
          <w:sz w:val="20"/>
          <w:szCs w:val="20"/>
        </w:rPr>
      </w:pPr>
      <w:r w:rsidRPr="003E60D6">
        <w:rPr>
          <w:rFonts w:ascii="Times New Roman" w:hAnsi="Times New Roman" w:cs="Times New Roman"/>
          <w:sz w:val="20"/>
          <w:szCs w:val="20"/>
        </w:rPr>
        <w:t>Immunohistochemistry</w:t>
      </w:r>
      <w:r w:rsidRPr="003E60D6">
        <w:rPr>
          <w:rFonts w:ascii="Times New Roman" w:hAnsi="Times New Roman" w:cs="Times New Roman" w:hint="eastAsia"/>
          <w:sz w:val="20"/>
          <w:szCs w:val="20"/>
        </w:rPr>
        <w:t xml:space="preserve"> staining </w:t>
      </w:r>
      <w:r w:rsidRPr="003E60D6">
        <w:rPr>
          <w:rFonts w:ascii="Times New Roman" w:hAnsi="Times New Roman" w:cs="Times New Roman"/>
          <w:sz w:val="20"/>
          <w:szCs w:val="20"/>
        </w:rPr>
        <w:t>of NP tissue from PKR+/+ and PKR-/- mice treated with either regular diet or high-fat diet for 14 months; scale bar=50um, n=3.</w:t>
      </w:r>
    </w:p>
    <w:p w14:paraId="5F2D67A5" w14:textId="77777777" w:rsidR="003E60D6" w:rsidRPr="003E60D6" w:rsidRDefault="003E60D6">
      <w:pPr>
        <w:rPr>
          <w:rFonts w:hint="eastAsia"/>
          <w:sz w:val="20"/>
          <w:szCs w:val="20"/>
        </w:rPr>
      </w:pPr>
    </w:p>
    <w:p w14:paraId="6BEE1675" w14:textId="016C3394" w:rsidR="003E60D6" w:rsidRPr="003E60D6" w:rsidRDefault="003E60D6" w:rsidP="003E60D6">
      <w:pPr>
        <w:jc w:val="center"/>
        <w:rPr>
          <w:rFonts w:hint="eastAsia"/>
          <w:sz w:val="20"/>
          <w:szCs w:val="20"/>
        </w:rPr>
      </w:pPr>
      <w:r w:rsidRPr="003E60D6">
        <w:rPr>
          <w:rFonts w:hint="eastAsia"/>
          <w:noProof/>
          <w:sz w:val="20"/>
          <w:szCs w:val="20"/>
        </w:rPr>
        <w:drawing>
          <wp:inline distT="0" distB="0" distL="0" distR="0" wp14:anchorId="2F03694B" wp14:editId="07BB1D93">
            <wp:extent cx="4611624" cy="3203448"/>
            <wp:effectExtent l="0" t="0" r="1143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624" cy="320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0731" w14:textId="77777777" w:rsidR="003E60D6" w:rsidRPr="003E60D6" w:rsidRDefault="003E60D6" w:rsidP="003E60D6">
      <w:pPr>
        <w:rPr>
          <w:rFonts w:ascii="Times New Roman" w:hAnsi="Times New Roman" w:cs="Times New Roman"/>
          <w:b/>
          <w:sz w:val="20"/>
          <w:szCs w:val="20"/>
        </w:rPr>
      </w:pPr>
      <w:r w:rsidRPr="003E60D6">
        <w:rPr>
          <w:rFonts w:ascii="Times New Roman" w:hAnsi="Times New Roman" w:cs="Times New Roman"/>
          <w:b/>
          <w:sz w:val="20"/>
          <w:szCs w:val="20"/>
        </w:rPr>
        <w:t xml:space="preserve">Supplementary Figure 2. PKR is important for NP cells </w:t>
      </w:r>
      <w:proofErr w:type="spellStart"/>
      <w:r w:rsidRPr="003E60D6">
        <w:rPr>
          <w:rFonts w:ascii="Times New Roman" w:hAnsi="Times New Roman" w:cs="Times New Roman"/>
          <w:b/>
          <w:sz w:val="20"/>
          <w:szCs w:val="20"/>
        </w:rPr>
        <w:t>pyroptosis</w:t>
      </w:r>
      <w:proofErr w:type="spellEnd"/>
      <w:r w:rsidRPr="003E60D6">
        <w:rPr>
          <w:rFonts w:ascii="Times New Roman" w:hAnsi="Times New Roman" w:cs="Times New Roman"/>
          <w:b/>
          <w:sz w:val="20"/>
          <w:szCs w:val="20"/>
        </w:rPr>
        <w:t xml:space="preserve"> and HMGB1 release.</w:t>
      </w:r>
    </w:p>
    <w:p w14:paraId="306A3D36" w14:textId="30AFB6CC" w:rsidR="003E60D6" w:rsidRPr="003E60D6" w:rsidRDefault="003E60D6" w:rsidP="003E60D6">
      <w:pPr>
        <w:rPr>
          <w:rFonts w:hint="eastAsia"/>
          <w:sz w:val="20"/>
          <w:szCs w:val="20"/>
        </w:rPr>
      </w:pPr>
      <w:r w:rsidRPr="003E60D6">
        <w:rPr>
          <w:rFonts w:ascii="Times New Roman" w:hAnsi="Times New Roman" w:cs="Times New Roman"/>
          <w:sz w:val="20"/>
          <w:szCs w:val="20"/>
        </w:rPr>
        <w:t xml:space="preserve">(A) </w:t>
      </w:r>
      <w:bookmarkStart w:id="0" w:name="OLE_LINK210"/>
      <w:bookmarkStart w:id="1" w:name="OLE_LINK211"/>
      <w:r w:rsidRPr="003E60D6">
        <w:rPr>
          <w:rFonts w:ascii="Times New Roman" w:hAnsi="Times New Roman" w:cs="Times New Roman"/>
          <w:sz w:val="20"/>
          <w:szCs w:val="20"/>
        </w:rPr>
        <w:t xml:space="preserve">NP cells from PKR+/+ or PKR-/- mice were treat with </w:t>
      </w:r>
      <w:bookmarkEnd w:id="0"/>
      <w:bookmarkEnd w:id="1"/>
      <w:r w:rsidRPr="003E60D6">
        <w:rPr>
          <w:rFonts w:ascii="Times New Roman" w:hAnsi="Times New Roman" w:cs="Times New Roman"/>
          <w:sz w:val="20"/>
          <w:szCs w:val="20"/>
        </w:rPr>
        <w:t xml:space="preserve">palmitic acid. HMGB1 level in the supernatant was determined by ELISA; **p &lt; 0.01 by Student’s t test, n=3. (B) NP cells were treated with palmitic acid in the presence of indicated concentration of 2-AP. </w:t>
      </w:r>
      <w:bookmarkStart w:id="2" w:name="OLE_LINK208"/>
      <w:bookmarkStart w:id="3" w:name="OLE_LINK209"/>
      <w:r w:rsidRPr="003E60D6">
        <w:rPr>
          <w:rFonts w:ascii="Times New Roman" w:hAnsi="Times New Roman" w:cs="Times New Roman"/>
          <w:sz w:val="20"/>
          <w:szCs w:val="20"/>
        </w:rPr>
        <w:t xml:space="preserve">PKR phosphorylation and total PKR level in cell lysates were assessed by western-blot, n=2. </w:t>
      </w:r>
      <w:bookmarkEnd w:id="2"/>
      <w:bookmarkEnd w:id="3"/>
      <w:r w:rsidRPr="003E60D6">
        <w:rPr>
          <w:rFonts w:ascii="Times New Roman" w:hAnsi="Times New Roman" w:cs="Times New Roman"/>
          <w:sz w:val="20"/>
          <w:szCs w:val="20"/>
        </w:rPr>
        <w:t xml:space="preserve">(C) NP cells were stimulated with </w:t>
      </w:r>
      <w:bookmarkStart w:id="4" w:name="OLE_LINK212"/>
      <w:r w:rsidRPr="003E60D6">
        <w:rPr>
          <w:rFonts w:ascii="Times New Roman" w:hAnsi="Times New Roman" w:cs="Times New Roman"/>
          <w:sz w:val="20"/>
          <w:szCs w:val="20"/>
        </w:rPr>
        <w:t>ATP or MSU as indicated</w:t>
      </w:r>
      <w:bookmarkEnd w:id="4"/>
      <w:r w:rsidRPr="003E60D6">
        <w:rPr>
          <w:rFonts w:ascii="Times New Roman" w:hAnsi="Times New Roman" w:cs="Times New Roman"/>
          <w:sz w:val="20"/>
          <w:szCs w:val="20"/>
        </w:rPr>
        <w:t xml:space="preserve">. </w:t>
      </w:r>
      <w:r w:rsidRPr="003E60D6">
        <w:rPr>
          <w:rFonts w:ascii="Times New Roman" w:hAnsi="Times New Roman" w:cs="Times New Roman"/>
          <w:sz w:val="20"/>
          <w:szCs w:val="20"/>
        </w:rPr>
        <w:lastRenderedPageBreak/>
        <w:t xml:space="preserve">PKR phosphorylation and total PKR level in cell lysates were assessed by western-blot, n=2. (D) </w:t>
      </w:r>
      <w:r w:rsidRPr="003E60D6">
        <w:rPr>
          <w:rFonts w:ascii="Times New Roman" w:hAnsi="Times New Roman" w:cs="Times New Roman"/>
          <w:kern w:val="0"/>
          <w:sz w:val="20"/>
          <w:szCs w:val="20"/>
        </w:rPr>
        <w:t xml:space="preserve">NP cells from PKR+/+ or PKR-/- mice were stimulated with </w:t>
      </w:r>
      <w:r w:rsidRPr="003E60D6">
        <w:rPr>
          <w:rFonts w:ascii="Times New Roman" w:hAnsi="Times New Roman" w:cs="Times New Roman"/>
          <w:sz w:val="20"/>
          <w:szCs w:val="20"/>
        </w:rPr>
        <w:t>ATP or MSU as indicated.</w:t>
      </w:r>
      <w:r w:rsidRPr="003E60D6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3E60D6">
        <w:rPr>
          <w:rFonts w:ascii="Times New Roman" w:hAnsi="Times New Roman" w:cs="Times New Roman"/>
          <w:sz w:val="20"/>
          <w:szCs w:val="20"/>
        </w:rPr>
        <w:t xml:space="preserve">HMGB1 levels in the supernatant were determined by ELISA, ***p &lt; 0.001 by Student’s t test, n=3. (E) NP cells were treated with MSU or 2-AP as indicated; Supernatant was detected by ELISA, **p &lt; 0.01, </w:t>
      </w:r>
      <w:bookmarkStart w:id="5" w:name="OLE_LINK217"/>
      <w:bookmarkStart w:id="6" w:name="OLE_LINK218"/>
      <w:r w:rsidRPr="003E60D6">
        <w:rPr>
          <w:rFonts w:ascii="Times New Roman" w:hAnsi="Times New Roman" w:cs="Times New Roman"/>
          <w:sz w:val="20"/>
          <w:szCs w:val="20"/>
        </w:rPr>
        <w:t>***p&lt;0.001 by Student’s t test, n=3.</w:t>
      </w:r>
      <w:bookmarkEnd w:id="5"/>
      <w:bookmarkEnd w:id="6"/>
    </w:p>
    <w:p w14:paraId="1F1A608D" w14:textId="04C1E7A0" w:rsidR="003E60D6" w:rsidRPr="003E60D6" w:rsidRDefault="003E60D6" w:rsidP="003E60D6">
      <w:pPr>
        <w:jc w:val="center"/>
        <w:rPr>
          <w:rFonts w:hint="eastAsia"/>
          <w:sz w:val="20"/>
          <w:szCs w:val="20"/>
        </w:rPr>
      </w:pPr>
      <w:r w:rsidRPr="003E60D6">
        <w:rPr>
          <w:rFonts w:hint="eastAsia"/>
          <w:noProof/>
          <w:sz w:val="20"/>
          <w:szCs w:val="20"/>
        </w:rPr>
        <w:drawing>
          <wp:inline distT="0" distB="0" distL="0" distR="0" wp14:anchorId="1DDF8DE3" wp14:editId="16AD8CA9">
            <wp:extent cx="5270500" cy="2868930"/>
            <wp:effectExtent l="0" t="0" r="1270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S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1A3F" w14:textId="77777777" w:rsidR="003E60D6" w:rsidRPr="003E60D6" w:rsidRDefault="003E60D6" w:rsidP="003E60D6">
      <w:pPr>
        <w:rPr>
          <w:rFonts w:ascii="Times New Roman" w:hAnsi="Times New Roman" w:cs="Times New Roman"/>
          <w:b/>
          <w:sz w:val="20"/>
          <w:szCs w:val="20"/>
        </w:rPr>
      </w:pPr>
      <w:r w:rsidRPr="003E60D6">
        <w:rPr>
          <w:rFonts w:ascii="Times New Roman" w:hAnsi="Times New Roman" w:cs="Times New Roman"/>
          <w:b/>
          <w:sz w:val="20"/>
          <w:szCs w:val="20"/>
        </w:rPr>
        <w:t xml:space="preserve">Supplementary Figure 3. PKR is important for </w:t>
      </w:r>
      <w:proofErr w:type="spellStart"/>
      <w:r w:rsidRPr="003E60D6">
        <w:rPr>
          <w:rFonts w:ascii="Times New Roman" w:hAnsi="Times New Roman" w:cs="Times New Roman"/>
          <w:b/>
          <w:sz w:val="20"/>
          <w:szCs w:val="20"/>
        </w:rPr>
        <w:t>inflammasome</w:t>
      </w:r>
      <w:proofErr w:type="spellEnd"/>
      <w:r w:rsidRPr="003E60D6">
        <w:rPr>
          <w:rFonts w:ascii="Times New Roman" w:hAnsi="Times New Roman" w:cs="Times New Roman"/>
          <w:b/>
          <w:sz w:val="20"/>
          <w:szCs w:val="20"/>
        </w:rPr>
        <w:t xml:space="preserve"> activation.</w:t>
      </w:r>
    </w:p>
    <w:p w14:paraId="1AF9F3F5" w14:textId="56BEADD0" w:rsidR="003E60D6" w:rsidRPr="003E60D6" w:rsidRDefault="003E60D6" w:rsidP="003E60D6">
      <w:pPr>
        <w:rPr>
          <w:rFonts w:hint="eastAsia"/>
          <w:sz w:val="20"/>
          <w:szCs w:val="20"/>
        </w:rPr>
      </w:pPr>
      <w:r w:rsidRPr="003E60D6">
        <w:rPr>
          <w:rFonts w:ascii="Times New Roman" w:hAnsi="Times New Roman" w:cs="Times New Roman"/>
          <w:sz w:val="20"/>
          <w:szCs w:val="20"/>
        </w:rPr>
        <w:t>(A) PKR+/+ or PKR-/- NP cells were stimulated as indicated. Caspase-1 activation and IL-1</w:t>
      </w:r>
      <w:bookmarkStart w:id="7" w:name="OLE_LINK215"/>
      <w:bookmarkStart w:id="8" w:name="OLE_LINK216"/>
      <w:r w:rsidRPr="003E60D6">
        <w:rPr>
          <w:rFonts w:ascii="Times New Roman" w:hAnsi="Times New Roman" w:cs="Times New Roman"/>
          <w:sz w:val="20"/>
          <w:szCs w:val="20"/>
        </w:rPr>
        <w:t>β</w:t>
      </w:r>
      <w:bookmarkEnd w:id="7"/>
      <w:bookmarkEnd w:id="8"/>
      <w:r w:rsidRPr="003E60D6">
        <w:rPr>
          <w:rFonts w:ascii="Times New Roman" w:hAnsi="Times New Roman" w:cs="Times New Roman"/>
          <w:sz w:val="20"/>
          <w:szCs w:val="20"/>
        </w:rPr>
        <w:t xml:space="preserve"> cleavage were assessed by Western blot, n=3. (B-C) PKR+/+ or PKR-/- NP cells were treated with palmitic acid or MSU as indicated. IL-1β, TNF, and IL-6 levels were measured in the supernatant by ELISA, ***p&lt;0.001 by Student’s t test, n=3. (E-F) NP cells were transfected as indicated. Caspase-1 activation and IL-1β cleavage were assessed by Western- blot, n=2. (G) PKR+/+ or PKR-/- NP cells were treated with palmitic acid. Cell lysis was obtained and the NLRP3 expression was assessed by Western-blot, n=3.</w:t>
      </w:r>
    </w:p>
    <w:p w14:paraId="4B3E26E4" w14:textId="455C3F6A" w:rsidR="003E60D6" w:rsidRPr="003E60D6" w:rsidRDefault="003E60D6" w:rsidP="003E60D6">
      <w:pPr>
        <w:jc w:val="center"/>
        <w:rPr>
          <w:rFonts w:hint="eastAsia"/>
          <w:sz w:val="20"/>
          <w:szCs w:val="20"/>
        </w:rPr>
      </w:pPr>
      <w:r w:rsidRPr="003E60D6">
        <w:rPr>
          <w:rFonts w:hint="eastAsia"/>
          <w:noProof/>
          <w:sz w:val="20"/>
          <w:szCs w:val="20"/>
        </w:rPr>
        <w:drawing>
          <wp:inline distT="0" distB="0" distL="0" distR="0" wp14:anchorId="7EF99F32" wp14:editId="2DBC7F0F">
            <wp:extent cx="4505260" cy="163153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S4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35" cy="164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76D8" w14:textId="77777777" w:rsidR="003E60D6" w:rsidRPr="003E60D6" w:rsidRDefault="003E60D6" w:rsidP="003E60D6">
      <w:pPr>
        <w:rPr>
          <w:rFonts w:ascii="Times New Roman" w:hAnsi="Times New Roman" w:cs="Times New Roman"/>
          <w:b/>
          <w:sz w:val="20"/>
          <w:szCs w:val="20"/>
        </w:rPr>
      </w:pPr>
      <w:r w:rsidRPr="003E60D6">
        <w:rPr>
          <w:rFonts w:ascii="Times New Roman" w:hAnsi="Times New Roman" w:cs="Times New Roman"/>
          <w:b/>
          <w:sz w:val="20"/>
          <w:szCs w:val="20"/>
        </w:rPr>
        <w:t xml:space="preserve">Supplementary Figure 4. </w:t>
      </w:r>
      <w:bookmarkStart w:id="9" w:name="OLE_LINK221"/>
      <w:r w:rsidRPr="003E60D6">
        <w:rPr>
          <w:rFonts w:ascii="Times New Roman" w:hAnsi="Times New Roman" w:cs="Times New Roman" w:hint="eastAsia"/>
          <w:b/>
          <w:sz w:val="20"/>
          <w:szCs w:val="20"/>
        </w:rPr>
        <w:t>L</w:t>
      </w:r>
      <w:r w:rsidRPr="003E60D6">
        <w:rPr>
          <w:rFonts w:ascii="Times New Roman" w:hAnsi="Times New Roman" w:cs="Times New Roman"/>
          <w:b/>
          <w:sz w:val="20"/>
          <w:szCs w:val="20"/>
        </w:rPr>
        <w:t>ocalization of dsRNA and PKR</w:t>
      </w:r>
      <w:bookmarkEnd w:id="9"/>
      <w:r w:rsidRPr="003E60D6">
        <w:rPr>
          <w:rFonts w:ascii="Times New Roman" w:hAnsi="Times New Roman" w:cs="Times New Roman"/>
          <w:b/>
          <w:sz w:val="20"/>
          <w:szCs w:val="20"/>
        </w:rPr>
        <w:t>.</w:t>
      </w:r>
    </w:p>
    <w:p w14:paraId="1B9A869F" w14:textId="001A1039" w:rsidR="003E60D6" w:rsidRPr="003E60D6" w:rsidRDefault="003E60D6" w:rsidP="003E60D6">
      <w:pPr>
        <w:rPr>
          <w:rFonts w:hint="eastAsia"/>
          <w:sz w:val="20"/>
          <w:szCs w:val="20"/>
        </w:rPr>
      </w:pPr>
      <w:bookmarkStart w:id="10" w:name="OLE_LINK220"/>
      <w:r w:rsidRPr="003E60D6">
        <w:rPr>
          <w:rFonts w:ascii="Times New Roman" w:hAnsi="Times New Roman" w:cs="Times New Roman"/>
          <w:sz w:val="20"/>
          <w:szCs w:val="20"/>
        </w:rPr>
        <w:t>Co-localization of dsRNA with PKR</w:t>
      </w:r>
      <w:bookmarkEnd w:id="10"/>
      <w:r w:rsidRPr="003E60D6">
        <w:rPr>
          <w:rFonts w:ascii="Times New Roman" w:hAnsi="Times New Roman" w:cs="Times New Roman"/>
          <w:sz w:val="20"/>
          <w:szCs w:val="20"/>
        </w:rPr>
        <w:t xml:space="preserve"> in response to palmitic acid treatment was analyzed via </w:t>
      </w:r>
      <w:bookmarkStart w:id="11" w:name="OLE_LINK193"/>
      <w:r w:rsidRPr="003E60D6">
        <w:rPr>
          <w:rFonts w:ascii="Times New Roman" w:hAnsi="Times New Roman" w:cs="Times New Roman"/>
          <w:sz w:val="20"/>
          <w:szCs w:val="20"/>
        </w:rPr>
        <w:t>immunofluorescent staining</w:t>
      </w:r>
      <w:bookmarkEnd w:id="11"/>
      <w:r w:rsidRPr="003E60D6">
        <w:rPr>
          <w:rFonts w:ascii="Times New Roman" w:hAnsi="Times New Roman" w:cs="Times New Roman"/>
          <w:sz w:val="20"/>
          <w:szCs w:val="20"/>
        </w:rPr>
        <w:t>, scale bar=20μm, n=3</w:t>
      </w:r>
    </w:p>
    <w:p w14:paraId="63B247CD" w14:textId="50B86F54" w:rsidR="003E60D6" w:rsidRPr="003E60D6" w:rsidRDefault="003E60D6" w:rsidP="003E60D6">
      <w:pPr>
        <w:jc w:val="center"/>
        <w:rPr>
          <w:rFonts w:hint="eastAsia"/>
          <w:sz w:val="20"/>
          <w:szCs w:val="20"/>
        </w:rPr>
      </w:pPr>
      <w:r w:rsidRPr="003E60D6">
        <w:rPr>
          <w:rFonts w:hint="eastAsia"/>
          <w:noProof/>
          <w:sz w:val="20"/>
          <w:szCs w:val="20"/>
        </w:rPr>
        <w:drawing>
          <wp:inline distT="0" distB="0" distL="0" distR="0" wp14:anchorId="4E93C394" wp14:editId="6F52EF2C">
            <wp:extent cx="5270500" cy="1938020"/>
            <wp:effectExtent l="0" t="0" r="1270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S5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07751" w14:textId="77777777" w:rsidR="003E60D6" w:rsidRPr="003E60D6" w:rsidRDefault="003E60D6" w:rsidP="003E60D6">
      <w:pPr>
        <w:rPr>
          <w:color w:val="000000" w:themeColor="text1"/>
          <w:sz w:val="20"/>
          <w:szCs w:val="20"/>
        </w:rPr>
      </w:pPr>
      <w:r w:rsidRPr="003E60D6">
        <w:rPr>
          <w:rFonts w:ascii="Times New Roman" w:hAnsi="Times New Roman" w:cs="Times New Roman"/>
          <w:sz w:val="20"/>
          <w:szCs w:val="20"/>
        </w:rPr>
        <w:t xml:space="preserve">Supplementary Figure 5. </w:t>
      </w:r>
      <w:r w:rsidRPr="003E60D6">
        <w:rPr>
          <w:color w:val="000000" w:themeColor="text1"/>
          <w:sz w:val="20"/>
          <w:szCs w:val="20"/>
        </w:rPr>
        <w:t xml:space="preserve">Metformin </w:t>
      </w:r>
      <w:r w:rsidRPr="003E60D6">
        <w:rPr>
          <w:rFonts w:hint="eastAsia"/>
          <w:color w:val="000000" w:themeColor="text1"/>
          <w:sz w:val="20"/>
          <w:szCs w:val="20"/>
        </w:rPr>
        <w:t>protects</w:t>
      </w:r>
      <w:r w:rsidRPr="003E60D6">
        <w:rPr>
          <w:color w:val="000000" w:themeColor="text1"/>
          <w:sz w:val="20"/>
          <w:szCs w:val="20"/>
        </w:rPr>
        <w:t xml:space="preserve"> mitochondria</w:t>
      </w:r>
    </w:p>
    <w:p w14:paraId="5BAE4CD7" w14:textId="6B094C18" w:rsidR="003E60D6" w:rsidRPr="003E60D6" w:rsidRDefault="003E60D6">
      <w:pPr>
        <w:rPr>
          <w:rFonts w:ascii="Times New Roman" w:hAnsi="Times New Roman" w:cs="Times New Roman" w:hint="eastAsia"/>
          <w:sz w:val="20"/>
          <w:szCs w:val="20"/>
        </w:rPr>
      </w:pPr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(A) </w:t>
      </w:r>
      <w:bookmarkStart w:id="12" w:name="OLE_LINK154"/>
      <w:bookmarkStart w:id="13" w:name="OLE_LINK159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>The effect of metformin on</w:t>
      </w:r>
      <w:bookmarkEnd w:id="12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mitochondrial membrane potential in </w:t>
      </w:r>
      <w:proofErr w:type="spellStart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>OligoA</w:t>
      </w:r>
      <w:proofErr w:type="spellEnd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treated NP cells, scale bar=20um, n=3.</w:t>
      </w:r>
      <w:bookmarkEnd w:id="13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(B) The effect of metformin on dsRNA expression in </w:t>
      </w:r>
      <w:proofErr w:type="spellStart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>OligoA</w:t>
      </w:r>
      <w:proofErr w:type="spellEnd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treated NP cells. Mitochondria and nuclei are stained with </w:t>
      </w:r>
      <w:proofErr w:type="spellStart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>MitoTracker</w:t>
      </w:r>
      <w:proofErr w:type="spellEnd"/>
      <w:r w:rsidRPr="003E60D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Deep Red and Hoechst, respectively, scale bars=20um, n=3.</w:t>
      </w:r>
      <w:bookmarkStart w:id="14" w:name="_GoBack"/>
      <w:bookmarkEnd w:id="14"/>
    </w:p>
    <w:sectPr w:rsidR="003E60D6" w:rsidRPr="003E60D6" w:rsidSect="0065669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0F"/>
    <w:rsid w:val="0000608E"/>
    <w:rsid w:val="00011432"/>
    <w:rsid w:val="000279FB"/>
    <w:rsid w:val="00073B05"/>
    <w:rsid w:val="00076947"/>
    <w:rsid w:val="000A713F"/>
    <w:rsid w:val="000C7C8E"/>
    <w:rsid w:val="000D652C"/>
    <w:rsid w:val="000E0E08"/>
    <w:rsid w:val="000E3622"/>
    <w:rsid w:val="000E7C2B"/>
    <w:rsid w:val="0011489A"/>
    <w:rsid w:val="00117021"/>
    <w:rsid w:val="00131332"/>
    <w:rsid w:val="00154E12"/>
    <w:rsid w:val="00156D3B"/>
    <w:rsid w:val="001605B7"/>
    <w:rsid w:val="001747AE"/>
    <w:rsid w:val="001970F9"/>
    <w:rsid w:val="001A0B40"/>
    <w:rsid w:val="001A38AE"/>
    <w:rsid w:val="001B4B42"/>
    <w:rsid w:val="001D2CEA"/>
    <w:rsid w:val="002277A2"/>
    <w:rsid w:val="00235DE4"/>
    <w:rsid w:val="00240A5B"/>
    <w:rsid w:val="00254A4B"/>
    <w:rsid w:val="00275D2F"/>
    <w:rsid w:val="002827C1"/>
    <w:rsid w:val="002A3A0C"/>
    <w:rsid w:val="002D0B85"/>
    <w:rsid w:val="002D4E5A"/>
    <w:rsid w:val="002E664E"/>
    <w:rsid w:val="002F40C3"/>
    <w:rsid w:val="002F5038"/>
    <w:rsid w:val="002F7325"/>
    <w:rsid w:val="00300359"/>
    <w:rsid w:val="00341125"/>
    <w:rsid w:val="003816E1"/>
    <w:rsid w:val="003E60D6"/>
    <w:rsid w:val="00414E4B"/>
    <w:rsid w:val="00427838"/>
    <w:rsid w:val="00446134"/>
    <w:rsid w:val="00490BA2"/>
    <w:rsid w:val="004955C9"/>
    <w:rsid w:val="004C5ABB"/>
    <w:rsid w:val="004C6975"/>
    <w:rsid w:val="004D0293"/>
    <w:rsid w:val="004D1CE4"/>
    <w:rsid w:val="004D2252"/>
    <w:rsid w:val="004F684B"/>
    <w:rsid w:val="005059C2"/>
    <w:rsid w:val="00524C1C"/>
    <w:rsid w:val="00562588"/>
    <w:rsid w:val="00567F13"/>
    <w:rsid w:val="00571DB2"/>
    <w:rsid w:val="00582A78"/>
    <w:rsid w:val="005974DD"/>
    <w:rsid w:val="005A465E"/>
    <w:rsid w:val="005A59B0"/>
    <w:rsid w:val="005B178C"/>
    <w:rsid w:val="005B2517"/>
    <w:rsid w:val="005C00B7"/>
    <w:rsid w:val="005D1EC3"/>
    <w:rsid w:val="005F3D3C"/>
    <w:rsid w:val="00656695"/>
    <w:rsid w:val="00665A25"/>
    <w:rsid w:val="00685214"/>
    <w:rsid w:val="00686B62"/>
    <w:rsid w:val="006A7C5D"/>
    <w:rsid w:val="006F22D7"/>
    <w:rsid w:val="0070206A"/>
    <w:rsid w:val="007237CA"/>
    <w:rsid w:val="00742D1F"/>
    <w:rsid w:val="007438F2"/>
    <w:rsid w:val="00743AA3"/>
    <w:rsid w:val="00746AA1"/>
    <w:rsid w:val="00746D0B"/>
    <w:rsid w:val="0075764D"/>
    <w:rsid w:val="007610A9"/>
    <w:rsid w:val="00765573"/>
    <w:rsid w:val="00785AC5"/>
    <w:rsid w:val="007876EC"/>
    <w:rsid w:val="00794E55"/>
    <w:rsid w:val="0079590C"/>
    <w:rsid w:val="007A670F"/>
    <w:rsid w:val="007B3808"/>
    <w:rsid w:val="007D2D91"/>
    <w:rsid w:val="007D58EF"/>
    <w:rsid w:val="008057F3"/>
    <w:rsid w:val="0082612D"/>
    <w:rsid w:val="0083544C"/>
    <w:rsid w:val="008421C6"/>
    <w:rsid w:val="00873F97"/>
    <w:rsid w:val="00877632"/>
    <w:rsid w:val="008E1C99"/>
    <w:rsid w:val="008E683C"/>
    <w:rsid w:val="00901724"/>
    <w:rsid w:val="0091118E"/>
    <w:rsid w:val="00923191"/>
    <w:rsid w:val="00923726"/>
    <w:rsid w:val="0092635A"/>
    <w:rsid w:val="00930847"/>
    <w:rsid w:val="0093330B"/>
    <w:rsid w:val="009564B2"/>
    <w:rsid w:val="00957DEC"/>
    <w:rsid w:val="00991F91"/>
    <w:rsid w:val="009B67B2"/>
    <w:rsid w:val="009C2E6D"/>
    <w:rsid w:val="009D044D"/>
    <w:rsid w:val="009D6664"/>
    <w:rsid w:val="009F478C"/>
    <w:rsid w:val="009F634B"/>
    <w:rsid w:val="00A112D4"/>
    <w:rsid w:val="00A131D2"/>
    <w:rsid w:val="00A144F3"/>
    <w:rsid w:val="00A17E2C"/>
    <w:rsid w:val="00A2361E"/>
    <w:rsid w:val="00A36BD7"/>
    <w:rsid w:val="00A64BAB"/>
    <w:rsid w:val="00A67857"/>
    <w:rsid w:val="00A8580B"/>
    <w:rsid w:val="00A87CE1"/>
    <w:rsid w:val="00A933FC"/>
    <w:rsid w:val="00A95A1A"/>
    <w:rsid w:val="00AB6FE8"/>
    <w:rsid w:val="00AE7A53"/>
    <w:rsid w:val="00B0078B"/>
    <w:rsid w:val="00B129D5"/>
    <w:rsid w:val="00B166C9"/>
    <w:rsid w:val="00B2776D"/>
    <w:rsid w:val="00B56F9E"/>
    <w:rsid w:val="00B65801"/>
    <w:rsid w:val="00B6592D"/>
    <w:rsid w:val="00BA2B87"/>
    <w:rsid w:val="00BB3E80"/>
    <w:rsid w:val="00BB6B7F"/>
    <w:rsid w:val="00BC27A5"/>
    <w:rsid w:val="00BE6F72"/>
    <w:rsid w:val="00BF7A85"/>
    <w:rsid w:val="00C118DF"/>
    <w:rsid w:val="00C25A0D"/>
    <w:rsid w:val="00C342CA"/>
    <w:rsid w:val="00C47614"/>
    <w:rsid w:val="00C547D6"/>
    <w:rsid w:val="00CA3B24"/>
    <w:rsid w:val="00CA630D"/>
    <w:rsid w:val="00CC0934"/>
    <w:rsid w:val="00CD1C5E"/>
    <w:rsid w:val="00D00BE3"/>
    <w:rsid w:val="00D13E7C"/>
    <w:rsid w:val="00D411BD"/>
    <w:rsid w:val="00D4315B"/>
    <w:rsid w:val="00D4680A"/>
    <w:rsid w:val="00D55398"/>
    <w:rsid w:val="00D61E69"/>
    <w:rsid w:val="00D74749"/>
    <w:rsid w:val="00D8019A"/>
    <w:rsid w:val="00D81DF8"/>
    <w:rsid w:val="00DA273A"/>
    <w:rsid w:val="00DA7EBB"/>
    <w:rsid w:val="00DE0F98"/>
    <w:rsid w:val="00DE3FEC"/>
    <w:rsid w:val="00E05896"/>
    <w:rsid w:val="00E43F5C"/>
    <w:rsid w:val="00E44305"/>
    <w:rsid w:val="00E608AE"/>
    <w:rsid w:val="00E84C46"/>
    <w:rsid w:val="00E95F10"/>
    <w:rsid w:val="00EA498D"/>
    <w:rsid w:val="00EC6044"/>
    <w:rsid w:val="00EF1F88"/>
    <w:rsid w:val="00F00A4B"/>
    <w:rsid w:val="00F1640A"/>
    <w:rsid w:val="00F2704A"/>
    <w:rsid w:val="00F4676E"/>
    <w:rsid w:val="00F6651E"/>
    <w:rsid w:val="00F84E21"/>
    <w:rsid w:val="00FA3DD6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BEB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image" Target="media/image3.tif"/><Relationship Id="rId7" Type="http://schemas.openxmlformats.org/officeDocument/2006/relationships/image" Target="media/image4.tif"/><Relationship Id="rId8" Type="http://schemas.openxmlformats.org/officeDocument/2006/relationships/image" Target="media/image5.ti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356</Words>
  <Characters>2034</Characters>
  <Application>Microsoft Macintosh Word</Application>
  <DocSecurity>0</DocSecurity>
  <Lines>16</Lines>
  <Paragraphs>4</Paragraphs>
  <ScaleCrop>false</ScaleCrop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2023-03-13T12:20:00Z</dcterms:created>
  <dcterms:modified xsi:type="dcterms:W3CDTF">2023-03-13T12:24:00Z</dcterms:modified>
</cp:coreProperties>
</file>