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6FD3" w:rsidRPr="00977DF0" w:rsidRDefault="006B6FD3" w:rsidP="006B6FD3">
      <w:pPr>
        <w:rPr>
          <w:rFonts w:ascii="Times New Roman" w:hAnsi="Times New Roman" w:cs="Times New Roman"/>
          <w:kern w:val="0"/>
          <w:szCs w:val="21"/>
        </w:rPr>
      </w:pPr>
      <w:r w:rsidRPr="00977DF0">
        <w:rPr>
          <w:rFonts w:ascii="Times New Roman" w:hAnsi="Times New Roman" w:cs="Times New Roman"/>
          <w:kern w:val="0"/>
          <w:szCs w:val="21"/>
        </w:rPr>
        <w:t xml:space="preserve">Table 1 The basic characteristics of patients with proliferative diabetic retinopathy received with an </w:t>
      </w:r>
      <w:r w:rsidRPr="00977DF0">
        <w:rPr>
          <w:rFonts w:ascii="Times New Roman" w:hAnsi="Times New Roman" w:cs="Times New Roman"/>
          <w:noProof/>
          <w:kern w:val="0"/>
          <w:szCs w:val="21"/>
        </w:rPr>
        <w:t>intravitreous</w:t>
      </w:r>
      <w:r w:rsidRPr="00977DF0">
        <w:rPr>
          <w:rFonts w:ascii="Times New Roman" w:hAnsi="Times New Roman" w:cs="Times New Roman"/>
          <w:kern w:val="0"/>
          <w:szCs w:val="21"/>
        </w:rPr>
        <w:t xml:space="preserve"> injection of ranibizumab</w:t>
      </w:r>
    </w:p>
    <w:tbl>
      <w:tblPr>
        <w:tblStyle w:val="a3"/>
        <w:tblW w:w="423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5"/>
        <w:gridCol w:w="1277"/>
        <w:gridCol w:w="1371"/>
        <w:gridCol w:w="1277"/>
        <w:gridCol w:w="1430"/>
      </w:tblGrid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Characteristics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Patients in all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Patients who developed ghost cell glaucoma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Patients failed to develop ghost cell glaucoma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Correlations with the presence of post-vitreous injection ghost cell glaucoma (p-value)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age (y, </w:t>
            </w: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mean±SD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51.46±11.26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47.85±12.05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51.92±11.11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0.34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gender (male, 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41, 57.75%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5, 62.5%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36,57.1%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0.77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duration of diabetes mellitus (y, </w:t>
            </w: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mean±SD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10.00±6.69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9.2±6.2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9.5±6.8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0.92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onset of vision </w:t>
            </w:r>
            <w:proofErr w:type="gram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decrease</w:t>
            </w:r>
            <w:proofErr w:type="gram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(m, median, 1st Qu, 3rdQu)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5.38±4.77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3.63±2.13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5.60±4.97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0.35 </w:t>
            </w:r>
            <w:r w:rsidRPr="00977DF0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use of insulin (y, 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47, 66.20%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6, 75%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41,65.1%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0.57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history of retinal photocoagulation (y, 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42, 59.15%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7, 87.5%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35, 55.5%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0.084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(7/42 vs 1/29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Laser point p &lt;0.001)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refraction error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myopia (</w:t>
            </w:r>
            <w:proofErr w:type="gram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n,%</w:t>
            </w:r>
            <w:proofErr w:type="gram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emmetropia (</w:t>
            </w:r>
            <w:proofErr w:type="gram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n,%</w:t>
            </w:r>
            <w:proofErr w:type="gram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hyperopia (</w:t>
            </w:r>
            <w:proofErr w:type="gram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n,%</w:t>
            </w:r>
            <w:proofErr w:type="gram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49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10, 14.1%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57, 80.3%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4, 5.6%</w:t>
            </w:r>
          </w:p>
        </w:tc>
        <w:tc>
          <w:tcPr>
            <w:tcW w:w="976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1,12.5%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6, 75.0%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1,12.5%</w:t>
            </w:r>
          </w:p>
        </w:tc>
        <w:tc>
          <w:tcPr>
            <w:tcW w:w="921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9, 14.2%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51, 81%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3, 4.8%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presence of iris neovascular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8, 11.3%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3, 37.5%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3, 4.8%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&lt;0.001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presence of dense vitreous hemorrhage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70, 98.59%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8, 100%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62, 98.4%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0.72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presence of tractional retinal detachment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58, 81.7%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3, 37.5%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55, 87.3%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&lt;0.001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Trd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11.3% non-</w:t>
            </w: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trd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88.7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presence of PVD </w:t>
            </w: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15, 21.1%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1, 12.5%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14, 22.2%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0.53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presence of  </w:t>
            </w: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fibromembrane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involving disk </w:t>
            </w:r>
            <w:r w:rsidRPr="00977DF0">
              <w:rPr>
                <w:rFonts w:ascii="Times New Roman" w:hAnsi="Times New Roman" w:cs="Times New Roman" w:hint="eastAsia"/>
                <w:kern w:val="0"/>
                <w:szCs w:val="21"/>
              </w:rPr>
              <w:t>（</w:t>
            </w: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n, %</w:t>
            </w:r>
            <w:r w:rsidRPr="00977DF0">
              <w:rPr>
                <w:rFonts w:ascii="Times New Roman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40, 56.3%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6, 75%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34, 54%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0.25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11.3 vs 88.7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BCVA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LP ~ &lt;=0.01 (n, %)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0.01~&lt;=0.1 (n, %)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0.1 ~&lt;=0.5 (n, %)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&gt;0.5 (n, %)</w:t>
            </w:r>
          </w:p>
        </w:tc>
        <w:tc>
          <w:tcPr>
            <w:tcW w:w="649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32, 45.07%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31, 43.66%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6, 8.45%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2, 2.82%</w:t>
            </w:r>
          </w:p>
        </w:tc>
        <w:tc>
          <w:tcPr>
            <w:tcW w:w="976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6, 75%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2, 25%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921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26, 41.3%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29, 46.0%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6, 9.5%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2, 3.2%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0.72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Pseudophakic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eye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3, 4.2%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1, 12.5%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2, 3.2%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0.22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axial length (mm, </w:t>
            </w: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mean±SD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22.89±0.75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23.09±0.52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22.88±0.78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0.46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silicon tamponade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20, 28.2%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2, 25%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18, 28.6%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0.83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photocoagulation burns during vitrectomy (points, median, 1st Qu, 3rdQu)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1046, 535, 1382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660,303,1023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1074, 588, 1382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0.18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prescence</w:t>
            </w:r>
            <w:proofErr w:type="spellEnd"/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 xml:space="preserve"> of macular edema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28, 39.4%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4, 50%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24, 38.1%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0.52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tractional retinal detachment involving macular (n, %)</w:t>
            </w:r>
          </w:p>
        </w:tc>
        <w:tc>
          <w:tcPr>
            <w:tcW w:w="649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16, 22.5%</w:t>
            </w:r>
          </w:p>
        </w:tc>
        <w:tc>
          <w:tcPr>
            <w:tcW w:w="976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1, 12.5%</w:t>
            </w:r>
          </w:p>
        </w:tc>
        <w:tc>
          <w:tcPr>
            <w:tcW w:w="92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15,23.8%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0.47</w:t>
            </w:r>
          </w:p>
        </w:tc>
      </w:tr>
      <w:tr w:rsidR="006B6FD3" w:rsidRPr="00977DF0" w:rsidTr="006B6FD3">
        <w:tc>
          <w:tcPr>
            <w:tcW w:w="1193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Interval between IVR and vitrectomy (d, median, 1st Qu, 3rdQu)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&lt;=2 d (n, %)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2~&lt;=5d (n, %)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&gt;5d (n, %)</w:t>
            </w:r>
          </w:p>
        </w:tc>
        <w:tc>
          <w:tcPr>
            <w:tcW w:w="649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3, 2,4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21, 29.58%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39, 54.93%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11, 15.49</w:t>
            </w:r>
          </w:p>
        </w:tc>
        <w:tc>
          <w:tcPr>
            <w:tcW w:w="976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4,2,6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2, 25%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3, 37.5%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3, 37.5%</w:t>
            </w:r>
          </w:p>
        </w:tc>
        <w:tc>
          <w:tcPr>
            <w:tcW w:w="921" w:type="pct"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3,2,4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19, 30.2%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36, 57.1%</w:t>
            </w:r>
          </w:p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8, 12.7%</w:t>
            </w:r>
          </w:p>
        </w:tc>
        <w:tc>
          <w:tcPr>
            <w:tcW w:w="1261" w:type="pct"/>
            <w:hideMark/>
          </w:tcPr>
          <w:p w:rsidR="006B6FD3" w:rsidRPr="00977DF0" w:rsidRDefault="006B6FD3" w:rsidP="00181881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977DF0">
              <w:rPr>
                <w:rFonts w:ascii="Times New Roman" w:hAnsi="Times New Roman" w:cs="Times New Roman"/>
                <w:kern w:val="0"/>
                <w:szCs w:val="21"/>
              </w:rPr>
              <w:t>0.36</w:t>
            </w:r>
          </w:p>
        </w:tc>
      </w:tr>
    </w:tbl>
    <w:p w:rsidR="006B6FD3" w:rsidRPr="00977DF0" w:rsidRDefault="006B6FD3" w:rsidP="006B6FD3">
      <w:pPr>
        <w:rPr>
          <w:rFonts w:ascii="Times New Roman" w:hAnsi="Times New Roman" w:cs="Times New Roman"/>
          <w:kern w:val="0"/>
          <w:szCs w:val="21"/>
        </w:rPr>
      </w:pPr>
      <w:r w:rsidRPr="00977DF0">
        <w:rPr>
          <w:rFonts w:ascii="Times New Roman" w:hAnsi="Times New Roman" w:cs="Times New Roman"/>
          <w:kern w:val="0"/>
          <w:szCs w:val="21"/>
        </w:rPr>
        <w:t>a Wilcoxon rank sum test</w:t>
      </w:r>
    </w:p>
    <w:p w:rsidR="004D7DFF" w:rsidRDefault="004D7DFF">
      <w:bookmarkStart w:id="0" w:name="_GoBack"/>
      <w:bookmarkEnd w:id="0"/>
    </w:p>
    <w:sectPr w:rsidR="004D7D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M0MzUwMLI0NTM1NbNQ0lEKTi0uzszPAykwrAUAxyiChywAAAA="/>
  </w:docVars>
  <w:rsids>
    <w:rsidRoot w:val="006B6FD3"/>
    <w:rsid w:val="004D7DFF"/>
    <w:rsid w:val="006B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2DDA71-EDE6-4138-98EC-5FD0852DF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6F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6F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萌</dc:creator>
  <cp:keywords/>
  <dc:description/>
  <cp:lastModifiedBy>赵 萌</cp:lastModifiedBy>
  <cp:revision>1</cp:revision>
  <dcterms:created xsi:type="dcterms:W3CDTF">2019-07-07T09:23:00Z</dcterms:created>
  <dcterms:modified xsi:type="dcterms:W3CDTF">2019-07-07T09:24:00Z</dcterms:modified>
</cp:coreProperties>
</file>