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6BFAA" w14:textId="03A59434" w:rsidR="00AB4FC6" w:rsidRPr="00AB4FC6" w:rsidRDefault="00AB4FC6" w:rsidP="00AB4FC6">
      <w:pPr>
        <w:rPr>
          <w:rFonts w:ascii="Times New Roman" w:hAnsi="Times New Roman" w:cs="Times New Roman"/>
          <w:b/>
          <w:bCs/>
          <w:sz w:val="24"/>
          <w:szCs w:val="24"/>
        </w:rPr>
      </w:pPr>
      <w:bookmarkStart w:id="0" w:name="_Hlk89519748"/>
      <w:r>
        <w:rPr>
          <w:rFonts w:ascii="Times New Roman" w:hAnsi="Times New Roman" w:cs="Times New Roman"/>
          <w:b/>
          <w:bCs/>
          <w:sz w:val="24"/>
          <w:szCs w:val="24"/>
        </w:rPr>
        <w:t>Supplementary data</w:t>
      </w:r>
      <w:r w:rsidRPr="00AB4FC6">
        <w:rPr>
          <w:rFonts w:ascii="Times New Roman" w:hAnsi="Times New Roman" w:cs="Times New Roman"/>
          <w:b/>
          <w:bCs/>
          <w:sz w:val="24"/>
          <w:szCs w:val="24"/>
        </w:rPr>
        <w:t xml:space="preserve"> 2.1</w:t>
      </w:r>
      <w:r>
        <w:rPr>
          <w:rFonts w:ascii="Times New Roman" w:hAnsi="Times New Roman" w:cs="Times New Roman"/>
          <w:b/>
          <w:bCs/>
          <w:sz w:val="24"/>
          <w:szCs w:val="24"/>
        </w:rPr>
        <w:t xml:space="preserve"> Methods for </w:t>
      </w:r>
      <w:r w:rsidRPr="00AB4FC6">
        <w:rPr>
          <w:rFonts w:ascii="Times New Roman" w:hAnsi="Times New Roman" w:cs="Times New Roman"/>
          <w:b/>
          <w:bCs/>
          <w:sz w:val="24"/>
          <w:szCs w:val="24"/>
        </w:rPr>
        <w:t>MCID calculation</w:t>
      </w:r>
    </w:p>
    <w:p w14:paraId="688BD62B" w14:textId="6DC8F344" w:rsidR="00AB4FC6" w:rsidRPr="00AB4FC6" w:rsidRDefault="00AB4FC6" w:rsidP="00AB4FC6">
      <w:pPr>
        <w:ind w:firstLine="720"/>
        <w:rPr>
          <w:rFonts w:ascii="Times New Roman" w:hAnsi="Times New Roman" w:cs="Times New Roman"/>
          <w:sz w:val="24"/>
          <w:szCs w:val="24"/>
        </w:rPr>
      </w:pPr>
      <w:r w:rsidRPr="00AB4FC6">
        <w:rPr>
          <w:rFonts w:ascii="Times New Roman" w:hAnsi="Times New Roman" w:cs="Times New Roman"/>
          <w:sz w:val="24"/>
          <w:szCs w:val="24"/>
        </w:rPr>
        <w:t>MCID is originally introduced in 1989 by Jaeschke et al</w:t>
      </w:r>
      <w:r>
        <w:rPr>
          <w:rFonts w:ascii="Times New Roman" w:hAnsi="Times New Roman" w:cs="Times New Roman"/>
          <w:sz w:val="24"/>
          <w:szCs w:val="24"/>
        </w:rPr>
        <w:t xml:space="preserve">. [1] </w:t>
      </w:r>
      <w:r w:rsidRPr="00AB4FC6">
        <w:rPr>
          <w:rFonts w:ascii="Times New Roman" w:hAnsi="Times New Roman" w:cs="Times New Roman"/>
          <w:sz w:val="24"/>
          <w:szCs w:val="24"/>
        </w:rPr>
        <w:t>who defined MCID as “the smallest difference in score in the domain of interest which patients perceive as beneficial and which would mandate, in the absence of troublesome side effects and excessive cost, a change in the patient’s management.” This definition was later described as “</w:t>
      </w:r>
      <w:r>
        <w:rPr>
          <w:rFonts w:ascii="Times New Roman" w:hAnsi="Times New Roman" w:cs="Times New Roman"/>
          <w:sz w:val="24"/>
          <w:szCs w:val="24"/>
        </w:rPr>
        <w:t xml:space="preserve">the </w:t>
      </w:r>
      <w:r w:rsidRPr="00AB4FC6">
        <w:rPr>
          <w:rFonts w:ascii="Times New Roman" w:hAnsi="Times New Roman" w:cs="Times New Roman"/>
          <w:sz w:val="24"/>
          <w:szCs w:val="24"/>
        </w:rPr>
        <w:t>smallest change that is meaningful to patients”</w:t>
      </w:r>
      <w:r>
        <w:rPr>
          <w:rFonts w:ascii="Times New Roman" w:hAnsi="Times New Roman" w:cs="Times New Roman"/>
          <w:sz w:val="24"/>
          <w:szCs w:val="24"/>
        </w:rPr>
        <w:t xml:space="preserve"> [2]</w:t>
      </w:r>
      <w:r w:rsidRPr="00AB4FC6">
        <w:rPr>
          <w:rFonts w:ascii="Times New Roman" w:hAnsi="Times New Roman" w:cs="Times New Roman"/>
          <w:sz w:val="24"/>
          <w:szCs w:val="24"/>
        </w:rPr>
        <w:t xml:space="preserve">. There are </w:t>
      </w:r>
      <w:r>
        <w:rPr>
          <w:rFonts w:ascii="Times New Roman" w:hAnsi="Times New Roman" w:cs="Times New Roman"/>
          <w:sz w:val="24"/>
          <w:szCs w:val="24"/>
        </w:rPr>
        <w:t>three</w:t>
      </w:r>
      <w:r w:rsidRPr="00AB4FC6">
        <w:rPr>
          <w:rFonts w:ascii="Times New Roman" w:hAnsi="Times New Roman" w:cs="Times New Roman"/>
          <w:sz w:val="24"/>
          <w:szCs w:val="24"/>
        </w:rPr>
        <w:t xml:space="preserve"> methods us</w:t>
      </w:r>
      <w:r>
        <w:rPr>
          <w:rFonts w:ascii="Times New Roman" w:hAnsi="Times New Roman" w:cs="Times New Roman"/>
          <w:sz w:val="24"/>
          <w:szCs w:val="24"/>
        </w:rPr>
        <w:t>ing</w:t>
      </w:r>
      <w:r w:rsidRPr="00AB4FC6">
        <w:rPr>
          <w:rFonts w:ascii="Times New Roman" w:hAnsi="Times New Roman" w:cs="Times New Roman"/>
          <w:sz w:val="24"/>
          <w:szCs w:val="24"/>
        </w:rPr>
        <w:t xml:space="preserve"> to calculate the MCID: anchor-based method, distribution-based method and consensus-based metho</w:t>
      </w:r>
      <w:r w:rsidR="007F356C">
        <w:rPr>
          <w:rFonts w:ascii="Times New Roman" w:hAnsi="Times New Roman" w:cs="Times New Roman"/>
          <w:sz w:val="24"/>
          <w:szCs w:val="24"/>
        </w:rPr>
        <w:t>d [3].</w:t>
      </w:r>
      <w:r w:rsidRPr="00AB4FC6">
        <w:rPr>
          <w:rFonts w:ascii="Times New Roman" w:hAnsi="Times New Roman" w:cs="Times New Roman"/>
          <w:sz w:val="24"/>
          <w:szCs w:val="24"/>
        </w:rPr>
        <w:t xml:space="preserve"> Each method has its own advantage and limitation as follows: </w:t>
      </w:r>
    </w:p>
    <w:p w14:paraId="57A4306C" w14:textId="37CB501E" w:rsidR="00AB4FC6" w:rsidRPr="00AB4FC6" w:rsidRDefault="00AB4FC6" w:rsidP="00AB4FC6">
      <w:pPr>
        <w:rPr>
          <w:rFonts w:ascii="Times New Roman" w:hAnsi="Times New Roman" w:cs="Times New Roman"/>
          <w:sz w:val="24"/>
          <w:szCs w:val="24"/>
        </w:rPr>
      </w:pPr>
      <w:r w:rsidRPr="00AB4FC6">
        <w:rPr>
          <w:rFonts w:ascii="Times New Roman" w:hAnsi="Times New Roman" w:cs="Times New Roman"/>
          <w:i/>
          <w:iCs/>
          <w:sz w:val="24"/>
          <w:szCs w:val="24"/>
        </w:rPr>
        <w:t>(1) Anchor-based method</w:t>
      </w:r>
      <w:r>
        <w:rPr>
          <w:rFonts w:ascii="Times New Roman" w:hAnsi="Times New Roman" w:cs="Times New Roman"/>
          <w:i/>
          <w:iCs/>
          <w:sz w:val="24"/>
          <w:szCs w:val="24"/>
        </w:rPr>
        <w:t xml:space="preserve"> </w:t>
      </w:r>
      <w:r>
        <w:rPr>
          <w:rFonts w:ascii="Times New Roman" w:hAnsi="Times New Roman" w:cs="Times New Roman"/>
          <w:sz w:val="24"/>
          <w:szCs w:val="24"/>
        </w:rPr>
        <w:t>is defined by using</w:t>
      </w:r>
      <w:r w:rsidRPr="00AB4FC6">
        <w:rPr>
          <w:rFonts w:ascii="Times New Roman" w:hAnsi="Times New Roman" w:cs="Times New Roman"/>
          <w:sz w:val="24"/>
          <w:szCs w:val="24"/>
        </w:rPr>
        <w:t xml:space="preserve"> questions and explicit scale for patients to rate the change in </w:t>
      </w:r>
      <w:r w:rsidR="00905C2D">
        <w:rPr>
          <w:rFonts w:ascii="Times New Roman" w:hAnsi="Times New Roman" w:cs="Times New Roman"/>
          <w:sz w:val="24"/>
          <w:szCs w:val="24"/>
        </w:rPr>
        <w:t>an o</w:t>
      </w:r>
      <w:r w:rsidRPr="00AB4FC6">
        <w:rPr>
          <w:rFonts w:ascii="Times New Roman" w:hAnsi="Times New Roman" w:cs="Times New Roman"/>
          <w:sz w:val="24"/>
          <w:szCs w:val="24"/>
        </w:rPr>
        <w:t>utcome. This explicit scale is referred to as the “anchor”</w:t>
      </w:r>
      <w:r w:rsidR="00905C2D">
        <w:rPr>
          <w:rFonts w:ascii="Times New Roman" w:hAnsi="Times New Roman" w:cs="Times New Roman"/>
          <w:sz w:val="24"/>
          <w:szCs w:val="24"/>
        </w:rPr>
        <w:t xml:space="preserve"> [2].</w:t>
      </w:r>
      <w:r w:rsidRPr="00AB4FC6">
        <w:rPr>
          <w:rFonts w:ascii="Times New Roman" w:hAnsi="Times New Roman" w:cs="Times New Roman"/>
          <w:sz w:val="24"/>
          <w:szCs w:val="24"/>
        </w:rPr>
        <w:t xml:space="preserve"> For example, patients were asked to rate their improvement in their independence in activities of daily life after they received the intervention. The improvement was rated by using the Global Rating of Change (GRC) questionnaire. The GRC range from -7 (a very great deal worse) to 0 (no change) to +7 (a very great deal better)</w:t>
      </w:r>
      <w:r w:rsidR="007F356C">
        <w:rPr>
          <w:rFonts w:ascii="Times New Roman" w:hAnsi="Times New Roman" w:cs="Times New Roman"/>
          <w:sz w:val="24"/>
          <w:szCs w:val="24"/>
        </w:rPr>
        <w:t xml:space="preserve"> [4]. </w:t>
      </w:r>
      <w:r w:rsidRPr="00AB4FC6">
        <w:rPr>
          <w:rFonts w:ascii="Times New Roman" w:hAnsi="Times New Roman" w:cs="Times New Roman"/>
          <w:sz w:val="24"/>
          <w:szCs w:val="24"/>
        </w:rPr>
        <w:t>This method represents the real change recognized by patients, but the value may depend on many factors such as patient’s perspective or recall bias.</w:t>
      </w:r>
    </w:p>
    <w:p w14:paraId="50E2824A" w14:textId="1EE0DE35" w:rsidR="00AB4FC6" w:rsidRPr="00AB4FC6" w:rsidRDefault="00AB4FC6" w:rsidP="00AB4FC6">
      <w:pPr>
        <w:rPr>
          <w:rFonts w:ascii="Times New Roman" w:hAnsi="Times New Roman" w:cs="Times New Roman"/>
          <w:b/>
          <w:bCs/>
          <w:sz w:val="24"/>
          <w:szCs w:val="24"/>
        </w:rPr>
      </w:pPr>
      <w:r w:rsidRPr="00AB4FC6">
        <w:rPr>
          <w:rFonts w:ascii="Times New Roman" w:hAnsi="Times New Roman" w:cs="Times New Roman"/>
          <w:i/>
          <w:iCs/>
          <w:sz w:val="24"/>
          <w:szCs w:val="24"/>
        </w:rPr>
        <w:t>(2) Distribution-based method</w:t>
      </w:r>
      <w:r w:rsidR="00905C2D">
        <w:rPr>
          <w:rFonts w:ascii="Times New Roman" w:hAnsi="Times New Roman" w:cs="Times New Roman"/>
          <w:sz w:val="24"/>
          <w:szCs w:val="24"/>
        </w:rPr>
        <w:t xml:space="preserve"> is </w:t>
      </w:r>
      <w:r w:rsidRPr="00AB4FC6">
        <w:rPr>
          <w:rFonts w:ascii="Times New Roman" w:hAnsi="Times New Roman" w:cs="Times New Roman"/>
          <w:sz w:val="24"/>
          <w:szCs w:val="24"/>
        </w:rPr>
        <w:t>defined based on statistical parameters reflecting statistical variation and measurement accuracy of the tool. This method is simple and can be used when anchor-based method is not available. However, distribution-based method usually uses a standard deviation (SD) of the scores at baseline and test-retest reliability (</w:t>
      </w:r>
      <w:r w:rsidRPr="00AB4FC6">
        <w:rPr>
          <w:rFonts w:ascii="Times New Roman" w:hAnsi="Times New Roman" w:cs="Times New Roman"/>
          <w:i/>
          <w:iCs/>
          <w:sz w:val="24"/>
          <w:szCs w:val="24"/>
        </w:rPr>
        <w:t>r</w:t>
      </w:r>
      <w:r w:rsidRPr="00AB4FC6">
        <w:rPr>
          <w:rFonts w:ascii="Times New Roman" w:hAnsi="Times New Roman" w:cs="Times New Roman"/>
          <w:sz w:val="24"/>
          <w:szCs w:val="24"/>
        </w:rPr>
        <w:t>) in the calculation. MCID may depend on sample population and tool’s reliability, which make the MCID value less generalizable</w:t>
      </w:r>
      <w:r w:rsidR="007F356C">
        <w:rPr>
          <w:rFonts w:ascii="Times New Roman" w:hAnsi="Times New Roman" w:cs="Times New Roman"/>
          <w:sz w:val="24"/>
          <w:szCs w:val="24"/>
        </w:rPr>
        <w:t xml:space="preserve"> [2]. </w:t>
      </w:r>
      <w:r w:rsidRPr="00AB4FC6">
        <w:rPr>
          <w:rFonts w:ascii="Times New Roman" w:hAnsi="Times New Roman" w:cs="Times New Roman"/>
          <w:sz w:val="24"/>
          <w:szCs w:val="24"/>
        </w:rPr>
        <w:t xml:space="preserve">There are many </w:t>
      </w:r>
      <w:r w:rsidR="00905C2D" w:rsidRPr="00AB4FC6">
        <w:rPr>
          <w:rFonts w:ascii="Times New Roman" w:hAnsi="Times New Roman" w:cs="Times New Roman"/>
          <w:sz w:val="24"/>
          <w:szCs w:val="24"/>
        </w:rPr>
        <w:t>variables</w:t>
      </w:r>
      <w:r w:rsidRPr="00AB4FC6">
        <w:rPr>
          <w:rFonts w:ascii="Times New Roman" w:hAnsi="Times New Roman" w:cs="Times New Roman"/>
          <w:sz w:val="24"/>
          <w:szCs w:val="24"/>
        </w:rPr>
        <w:t xml:space="preserve"> of the formula used to generate the MCID as follows:</w:t>
      </w:r>
      <w:r w:rsidRPr="00AB4FC6">
        <w:rPr>
          <w:rFonts w:ascii="Times New Roman" w:hAnsi="Times New Roman" w:cs="Times New Roman"/>
          <w:b/>
          <w:bCs/>
          <w:sz w:val="24"/>
          <w:szCs w:val="24"/>
        </w:rPr>
        <w:t xml:space="preserve"> </w:t>
      </w:r>
    </w:p>
    <w:p w14:paraId="1CAD2FAB" w14:textId="284A9B52" w:rsidR="00AB4FC6" w:rsidRPr="00AB4FC6" w:rsidRDefault="00AB4FC6" w:rsidP="00AB4FC6">
      <w:pPr>
        <w:rPr>
          <w:rFonts w:ascii="Times New Roman" w:hAnsi="Times New Roman" w:cs="Times New Roman"/>
          <w:sz w:val="24"/>
          <w:szCs w:val="24"/>
        </w:rPr>
      </w:pPr>
      <w:r w:rsidRPr="00AB4FC6">
        <w:rPr>
          <w:rFonts w:ascii="Times New Roman" w:hAnsi="Times New Roman" w:cs="Times New Roman"/>
          <w:b/>
          <w:bCs/>
          <w:sz w:val="24"/>
          <w:szCs w:val="24"/>
        </w:rPr>
        <w:lastRenderedPageBreak/>
        <w:t>Half of SD</w:t>
      </w:r>
      <w:r w:rsidRPr="00AB4FC6">
        <w:rPr>
          <w:rFonts w:ascii="Times New Roman" w:hAnsi="Times New Roman" w:cs="Times New Roman"/>
          <w:sz w:val="24"/>
          <w:szCs w:val="24"/>
        </w:rPr>
        <w:t xml:space="preserve"> is proposed in a systematic review conducted by Norman, et al</w:t>
      </w:r>
      <w:r w:rsidR="00905C2D">
        <w:rPr>
          <w:rFonts w:ascii="Times New Roman" w:hAnsi="Times New Roman" w:cs="Times New Roman"/>
          <w:sz w:val="24"/>
          <w:szCs w:val="24"/>
        </w:rPr>
        <w:t xml:space="preserve"> [3]. </w:t>
      </w:r>
      <w:r w:rsidRPr="00AB4FC6">
        <w:rPr>
          <w:rFonts w:ascii="Times New Roman" w:hAnsi="Times New Roman" w:cs="Times New Roman"/>
          <w:sz w:val="24"/>
          <w:szCs w:val="24"/>
        </w:rPr>
        <w:t>They found that MCID of patient-reported outcome measures (PROMs), calculated by anchor-based method from 6 studies, were close to half of SD of the baseline score. MCID from different methodology also resemble to roughly half of S</w:t>
      </w:r>
      <w:r w:rsidR="00905C2D">
        <w:rPr>
          <w:rFonts w:ascii="Times New Roman" w:hAnsi="Times New Roman" w:cs="Times New Roman"/>
          <w:sz w:val="24"/>
          <w:szCs w:val="24"/>
        </w:rPr>
        <w:t>D [4].</w:t>
      </w:r>
    </w:p>
    <w:p w14:paraId="3B0A8458" w14:textId="10C7E18D" w:rsidR="00AB4FC6" w:rsidRPr="00AB4FC6" w:rsidRDefault="00AB4FC6" w:rsidP="00AB4FC6">
      <w:pPr>
        <w:rPr>
          <w:rFonts w:ascii="Times New Roman" w:hAnsi="Times New Roman" w:cs="Times New Roman"/>
          <w:sz w:val="24"/>
          <w:szCs w:val="24"/>
        </w:rPr>
      </w:pPr>
      <w:r w:rsidRPr="00AB4FC6">
        <w:rPr>
          <w:rFonts w:ascii="Times New Roman" w:hAnsi="Times New Roman" w:cs="Times New Roman"/>
          <w:b/>
          <w:bCs/>
          <w:sz w:val="24"/>
          <w:szCs w:val="24"/>
        </w:rPr>
        <w:t>The standard error of measurement (SEM)</w:t>
      </w:r>
      <w:r w:rsidRPr="00AB4FC6">
        <w:rPr>
          <w:rFonts w:ascii="Times New Roman" w:hAnsi="Times New Roman" w:cs="Times New Roman"/>
          <w:sz w:val="24"/>
          <w:szCs w:val="24"/>
        </w:rPr>
        <w:t xml:space="preserve"> is variation in score due to </w:t>
      </w:r>
      <w:r w:rsidR="00905C2D">
        <w:rPr>
          <w:rFonts w:ascii="Times New Roman" w:hAnsi="Times New Roman" w:cs="Times New Roman"/>
          <w:sz w:val="24"/>
          <w:szCs w:val="24"/>
        </w:rPr>
        <w:t xml:space="preserve">the </w:t>
      </w:r>
      <w:r w:rsidRPr="00AB4FC6">
        <w:rPr>
          <w:rFonts w:ascii="Times New Roman" w:hAnsi="Times New Roman" w:cs="Times New Roman"/>
          <w:sz w:val="24"/>
          <w:szCs w:val="24"/>
        </w:rPr>
        <w:t>unreliability of the measurement. A change of score that larger than SEM is likely a true observed change rather than a tool error. The advantage of the SEM would be that it also considers about the reliability of the too</w:t>
      </w:r>
      <w:r w:rsidR="00905C2D">
        <w:rPr>
          <w:rFonts w:ascii="Times New Roman" w:hAnsi="Times New Roman" w:cs="Times New Roman"/>
          <w:sz w:val="24"/>
          <w:szCs w:val="24"/>
        </w:rPr>
        <w:t>l [</w:t>
      </w:r>
      <w:r w:rsidR="009A383B">
        <w:rPr>
          <w:rFonts w:ascii="Times New Roman" w:hAnsi="Times New Roman" w:cs="Times New Roman"/>
          <w:sz w:val="24"/>
          <w:szCs w:val="24"/>
        </w:rPr>
        <w:t>5</w:t>
      </w:r>
      <w:r w:rsidR="00905C2D">
        <w:rPr>
          <w:rFonts w:ascii="Times New Roman" w:hAnsi="Times New Roman" w:cs="Times New Roman"/>
          <w:sz w:val="24"/>
          <w:szCs w:val="24"/>
        </w:rPr>
        <w:t>]</w:t>
      </w:r>
      <w:r w:rsidRPr="00AB4FC6">
        <w:rPr>
          <w:rFonts w:ascii="Times New Roman" w:hAnsi="Times New Roman" w:cs="Times New Roman"/>
          <w:sz w:val="24"/>
          <w:szCs w:val="24"/>
        </w:rPr>
        <w:t xml:space="preserve"> and SEM is independent of sample variabilit</w:t>
      </w:r>
      <w:r w:rsidR="00905C2D">
        <w:rPr>
          <w:rFonts w:ascii="Times New Roman" w:hAnsi="Times New Roman" w:cs="Times New Roman"/>
          <w:sz w:val="24"/>
          <w:szCs w:val="24"/>
        </w:rPr>
        <w:t>y [</w:t>
      </w:r>
      <w:r w:rsidR="009A383B">
        <w:rPr>
          <w:rFonts w:ascii="Times New Roman" w:hAnsi="Times New Roman" w:cs="Times New Roman"/>
          <w:sz w:val="24"/>
          <w:szCs w:val="24"/>
        </w:rPr>
        <w:t>6</w:t>
      </w:r>
      <w:r w:rsidR="00905C2D">
        <w:rPr>
          <w:rFonts w:ascii="Times New Roman" w:hAnsi="Times New Roman" w:cs="Times New Roman"/>
          <w:sz w:val="24"/>
          <w:szCs w:val="24"/>
        </w:rPr>
        <w:t>]</w:t>
      </w:r>
      <w:r w:rsidRPr="00AB4FC6">
        <w:rPr>
          <w:rFonts w:ascii="Times New Roman" w:hAnsi="Times New Roman" w:cs="Times New Roman"/>
          <w:sz w:val="24"/>
          <w:szCs w:val="24"/>
        </w:rPr>
        <w:t>. There are several studies used 1 SEM as the MCID</w:t>
      </w:r>
      <w:r w:rsidR="00905C2D">
        <w:rPr>
          <w:rFonts w:ascii="Times New Roman" w:hAnsi="Times New Roman" w:cs="Times New Roman"/>
          <w:sz w:val="24"/>
          <w:szCs w:val="24"/>
        </w:rPr>
        <w:t xml:space="preserve"> [</w:t>
      </w:r>
      <w:r w:rsidR="009A383B">
        <w:rPr>
          <w:rFonts w:ascii="Times New Roman" w:hAnsi="Times New Roman" w:cs="Times New Roman"/>
          <w:sz w:val="24"/>
          <w:szCs w:val="24"/>
        </w:rPr>
        <w:t>6</w:t>
      </w:r>
      <w:r w:rsidR="00905C2D">
        <w:rPr>
          <w:rFonts w:ascii="Times New Roman" w:hAnsi="Times New Roman" w:cs="Times New Roman"/>
          <w:sz w:val="24"/>
          <w:szCs w:val="24"/>
        </w:rPr>
        <w:t>, 7].</w:t>
      </w:r>
    </w:p>
    <w:p w14:paraId="1D83F9EA" w14:textId="48610FAB" w:rsidR="00AB4FC6" w:rsidRPr="00AB4FC6" w:rsidRDefault="00AB4FC6" w:rsidP="00AB4FC6">
      <w:pPr>
        <w:rPr>
          <w:rFonts w:ascii="Times New Roman" w:hAnsi="Times New Roman" w:cs="Times New Roman"/>
          <w:sz w:val="24"/>
          <w:szCs w:val="24"/>
        </w:rPr>
      </w:pPr>
      <w:r w:rsidRPr="00AB4FC6">
        <w:rPr>
          <w:rFonts w:ascii="Times New Roman" w:hAnsi="Times New Roman" w:cs="Times New Roman"/>
          <w:i/>
          <w:iCs/>
          <w:sz w:val="24"/>
          <w:szCs w:val="24"/>
        </w:rPr>
        <w:t>(3) Consensus-based method</w:t>
      </w:r>
      <w:r w:rsidRPr="00AB4FC6">
        <w:rPr>
          <w:rFonts w:ascii="Times New Roman" w:hAnsi="Times New Roman" w:cs="Times New Roman"/>
          <w:sz w:val="24"/>
          <w:szCs w:val="24"/>
        </w:rPr>
        <w:t xml:space="preserve">, is created by using opinions </w:t>
      </w:r>
      <w:r w:rsidR="00905C2D">
        <w:rPr>
          <w:rFonts w:ascii="Times New Roman" w:hAnsi="Times New Roman" w:cs="Times New Roman"/>
          <w:sz w:val="24"/>
          <w:szCs w:val="24"/>
        </w:rPr>
        <w:t xml:space="preserve">of the panel </w:t>
      </w:r>
      <w:r w:rsidRPr="00AB4FC6">
        <w:rPr>
          <w:rFonts w:ascii="Times New Roman" w:hAnsi="Times New Roman" w:cs="Times New Roman"/>
          <w:sz w:val="24"/>
          <w:szCs w:val="24"/>
        </w:rPr>
        <w:t>to determine the “final” MCID value from the previously developed MCID values. The limitation is that MCID will be influenced based on individual perspective</w:t>
      </w:r>
      <w:r w:rsidR="00905C2D">
        <w:rPr>
          <w:rFonts w:ascii="Times New Roman" w:hAnsi="Times New Roman" w:cs="Times New Roman"/>
          <w:sz w:val="24"/>
          <w:szCs w:val="24"/>
        </w:rPr>
        <w:t>s</w:t>
      </w:r>
      <w:r w:rsidRPr="00AB4FC6">
        <w:rPr>
          <w:rFonts w:ascii="Times New Roman" w:hAnsi="Times New Roman" w:cs="Times New Roman"/>
          <w:sz w:val="24"/>
          <w:szCs w:val="24"/>
        </w:rPr>
        <w:t xml:space="preserve"> and experience</w:t>
      </w:r>
      <w:r w:rsidR="00905C2D">
        <w:rPr>
          <w:rFonts w:ascii="Times New Roman" w:hAnsi="Times New Roman" w:cs="Times New Roman"/>
          <w:sz w:val="24"/>
          <w:szCs w:val="24"/>
        </w:rPr>
        <w:t>s</w:t>
      </w:r>
      <w:r w:rsidRPr="00AB4FC6">
        <w:rPr>
          <w:rFonts w:ascii="Times New Roman" w:hAnsi="Times New Roman" w:cs="Times New Roman"/>
          <w:sz w:val="24"/>
          <w:szCs w:val="24"/>
        </w:rPr>
        <w:t>.</w:t>
      </w:r>
    </w:p>
    <w:bookmarkEnd w:id="0"/>
    <w:p w14:paraId="66F7C561" w14:textId="77777777" w:rsidR="00AB4FC6" w:rsidRDefault="00AB4FC6" w:rsidP="00C6765B">
      <w:pPr>
        <w:rPr>
          <w:rFonts w:ascii="Times New Roman" w:hAnsi="Times New Roman" w:cs="Times New Roman"/>
          <w:sz w:val="24"/>
          <w:szCs w:val="24"/>
        </w:rPr>
      </w:pPr>
      <w:r>
        <w:rPr>
          <w:rFonts w:ascii="Times New Roman" w:hAnsi="Times New Roman" w:cs="Times New Roman"/>
          <w:sz w:val="24"/>
          <w:szCs w:val="24"/>
        </w:rPr>
        <w:br w:type="page"/>
      </w:r>
    </w:p>
    <w:p w14:paraId="2C87AC48" w14:textId="7501F3ED" w:rsidR="00AB4FC6" w:rsidRDefault="00AB4FC6" w:rsidP="00C6765B">
      <w:pPr>
        <w:rPr>
          <w:rFonts w:ascii="Times New Roman" w:hAnsi="Times New Roman" w:cs="Times New Roman"/>
          <w:sz w:val="24"/>
          <w:szCs w:val="24"/>
        </w:rPr>
      </w:pPr>
      <w:r w:rsidRPr="00AB4FC6">
        <w:rPr>
          <w:rFonts w:ascii="Times New Roman" w:hAnsi="Times New Roman" w:cs="Times New Roman"/>
          <w:b/>
          <w:bCs/>
          <w:sz w:val="24"/>
          <w:szCs w:val="24"/>
        </w:rPr>
        <w:lastRenderedPageBreak/>
        <w:t>Supplementary Data 2.2.</w:t>
      </w:r>
      <w:r w:rsidRPr="00655F5D">
        <w:rPr>
          <w:rFonts w:ascii="Times New Roman" w:hAnsi="Times New Roman" w:cs="Times New Roman"/>
          <w:sz w:val="24"/>
          <w:szCs w:val="24"/>
        </w:rPr>
        <w:t xml:space="preserve"> The calculation of test-retest reliability of SCAR</w:t>
      </w:r>
    </w:p>
    <w:p w14:paraId="03E0C0C7" w14:textId="3BBF9774" w:rsidR="00AB4FC6" w:rsidRPr="00655F5D" w:rsidRDefault="00AB4FC6" w:rsidP="00AB4FC6">
      <w:pPr>
        <w:ind w:firstLine="720"/>
        <w:rPr>
          <w:rFonts w:ascii="Times New Roman" w:hAnsi="Times New Roman" w:cs="Times New Roman"/>
          <w:b/>
          <w:bCs/>
          <w:color w:val="000000" w:themeColor="text1"/>
          <w:sz w:val="24"/>
          <w:szCs w:val="24"/>
        </w:rPr>
      </w:pPr>
      <w:r w:rsidRPr="00655F5D">
        <w:rPr>
          <w:rFonts w:ascii="Times New Roman" w:hAnsi="Times New Roman" w:cs="Times New Roman"/>
          <w:sz w:val="24"/>
          <w:szCs w:val="24"/>
        </w:rPr>
        <w:t xml:space="preserve">To calculate </w:t>
      </w:r>
      <w:r>
        <w:rPr>
          <w:rFonts w:ascii="Times New Roman" w:hAnsi="Times New Roman" w:cs="Times New Roman"/>
          <w:sz w:val="24"/>
          <w:szCs w:val="24"/>
        </w:rPr>
        <w:t>the test-retest reliability of SCAR, t</w:t>
      </w:r>
      <w:r w:rsidRPr="00655F5D">
        <w:rPr>
          <w:rFonts w:ascii="Times New Roman" w:hAnsi="Times New Roman" w:cs="Times New Roman"/>
          <w:sz w:val="24"/>
          <w:szCs w:val="24"/>
        </w:rPr>
        <w:t>he authors</w:t>
      </w:r>
      <w:r w:rsidRPr="00655F5D">
        <w:rPr>
          <w:rFonts w:ascii="Times New Roman" w:hAnsi="Times New Roman" w:cs="Times New Roman"/>
          <w:color w:val="000000" w:themeColor="text1"/>
          <w:sz w:val="24"/>
          <w:szCs w:val="24"/>
        </w:rPr>
        <w:t xml:space="preserve"> accessed the record of 30 individuals with SCI who were admitted in the rehabilitation ward at Maharaj Nakorn Chiang Mai hospital for treating pressure ulcer complication. An onset since the injury of each individual was more than 1 year. Moreover, these individuals did not attend any rehabilitation programs intending to increase their</w:t>
      </w:r>
      <w:r w:rsidRPr="00655F5D">
        <w:rPr>
          <w:rFonts w:ascii="Times New Roman" w:hAnsi="Times New Roman" w:cs="Times New Roman"/>
          <w:color w:val="000000"/>
          <w:sz w:val="24"/>
          <w:szCs w:val="24"/>
        </w:rPr>
        <w:t xml:space="preserve"> </w:t>
      </w:r>
      <w:r w:rsidRPr="00655F5D">
        <w:rPr>
          <w:rFonts w:ascii="Times New Roman" w:hAnsi="Times New Roman" w:cs="Times New Roman"/>
          <w:color w:val="000000" w:themeColor="text1"/>
          <w:sz w:val="24"/>
          <w:szCs w:val="24"/>
        </w:rPr>
        <w:t xml:space="preserve">volitional motor function or their ability to perform basic activities of daily living, assuming that their motor scores and SCIM scores were not changed. The SCAR score on admission and the SCAR score of the same </w:t>
      </w:r>
      <w:r w:rsidRPr="00655F5D">
        <w:rPr>
          <w:rFonts w:ascii="Times New Roman" w:eastAsia="Cordia New" w:hAnsi="Times New Roman" w:cs="Times New Roman"/>
          <w:sz w:val="24"/>
          <w:szCs w:val="24"/>
        </w:rPr>
        <w:t>individual</w:t>
      </w:r>
      <w:r w:rsidRPr="00655F5D">
        <w:rPr>
          <w:rFonts w:ascii="Times New Roman" w:hAnsi="Times New Roman" w:cs="Times New Roman"/>
          <w:color w:val="000000" w:themeColor="text1"/>
          <w:sz w:val="24"/>
          <w:szCs w:val="24"/>
        </w:rPr>
        <w:t>, recorded by the same evaluator in the next two to four weeks were collected. An at least two weeks interval was chosen to confirm that the evaluator</w:t>
      </w:r>
      <w:r w:rsidRPr="00655F5D">
        <w:rPr>
          <w:rFonts w:ascii="Times New Roman" w:hAnsi="Times New Roman" w:cs="Times New Roman"/>
          <w:color w:val="000000" w:themeColor="text1"/>
          <w:sz w:val="24"/>
          <w:szCs w:val="24"/>
          <w:cs/>
        </w:rPr>
        <w:t xml:space="preserve"> </w:t>
      </w:r>
      <w:r w:rsidRPr="00655F5D">
        <w:rPr>
          <w:rFonts w:ascii="Times New Roman" w:hAnsi="Times New Roman" w:cs="Times New Roman"/>
          <w:color w:val="000000" w:themeColor="text1"/>
          <w:sz w:val="24"/>
          <w:szCs w:val="24"/>
        </w:rPr>
        <w:t>did not rate the second score based on the first score they potentially remembered. The SCAR at two different points of the time was used to calculate the test-retest reliability using intraclass correlation coefficient (ICC) method [</w:t>
      </w:r>
      <w:r w:rsidR="009A383B">
        <w:rPr>
          <w:rFonts w:ascii="Times New Roman" w:hAnsi="Times New Roman" w:cs="Times New Roman"/>
          <w:color w:val="000000" w:themeColor="text1"/>
          <w:sz w:val="24"/>
          <w:szCs w:val="24"/>
        </w:rPr>
        <w:t>6</w:t>
      </w:r>
      <w:r w:rsidRPr="00655F5D">
        <w:rPr>
          <w:rFonts w:ascii="Times New Roman" w:hAnsi="Times New Roman" w:cs="Times New Roman"/>
          <w:color w:val="000000" w:themeColor="text1"/>
          <w:sz w:val="24"/>
          <w:szCs w:val="24"/>
        </w:rPr>
        <w:t>, 7].</w:t>
      </w:r>
    </w:p>
    <w:p w14:paraId="60503416" w14:textId="77777777" w:rsidR="00AB4FC6" w:rsidRPr="00655F5D" w:rsidRDefault="00AB4FC6" w:rsidP="00855DCE">
      <w:pPr>
        <w:rPr>
          <w:rFonts w:ascii="Times New Roman" w:hAnsi="Times New Roman" w:cs="Times New Roman"/>
          <w:color w:val="000000"/>
          <w:sz w:val="24"/>
          <w:szCs w:val="24"/>
        </w:rPr>
      </w:pPr>
    </w:p>
    <w:p w14:paraId="5B57441C" w14:textId="77777777" w:rsidR="00AB4FC6" w:rsidRDefault="00AB4FC6" w:rsidP="00855DCE">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14:paraId="7FEB06C1" w14:textId="160DC491" w:rsidR="00AB4FC6" w:rsidRPr="00655F5D" w:rsidRDefault="00AB4FC6" w:rsidP="00855DCE">
      <w:pPr>
        <w:rPr>
          <w:rFonts w:ascii="Times New Roman" w:hAnsi="Times New Roman" w:cs="Times New Roman"/>
          <w:sz w:val="24"/>
          <w:szCs w:val="24"/>
        </w:rPr>
      </w:pPr>
      <w:r>
        <w:rPr>
          <w:rFonts w:ascii="Times New Roman" w:hAnsi="Times New Roman" w:cs="Times New Roman"/>
          <w:b/>
          <w:bCs/>
          <w:color w:val="000000" w:themeColor="text1"/>
          <w:sz w:val="24"/>
          <w:szCs w:val="24"/>
        </w:rPr>
        <w:lastRenderedPageBreak/>
        <w:t>Supplementary data</w:t>
      </w:r>
      <w:r w:rsidRPr="00655F5D">
        <w:rPr>
          <w:rFonts w:ascii="Times New Roman" w:hAnsi="Times New Roman" w:cs="Times New Roman"/>
          <w:b/>
          <w:bCs/>
          <w:color w:val="000000" w:themeColor="text1"/>
          <w:sz w:val="24"/>
          <w:szCs w:val="24"/>
        </w:rPr>
        <w:t xml:space="preserve"> 2.3</w:t>
      </w:r>
      <w:r>
        <w:rPr>
          <w:rFonts w:ascii="Times New Roman" w:hAnsi="Times New Roman" w:cs="Times New Roman"/>
          <w:b/>
          <w:bCs/>
          <w:color w:val="000000" w:themeColor="text1"/>
          <w:sz w:val="24"/>
          <w:szCs w:val="24"/>
        </w:rPr>
        <w:t>.</w:t>
      </w:r>
      <w:r w:rsidRPr="00655F5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C</w:t>
      </w:r>
      <w:r w:rsidRPr="00655F5D">
        <w:rPr>
          <w:rFonts w:ascii="Times New Roman" w:hAnsi="Times New Roman" w:cs="Times New Roman"/>
          <w:color w:val="000000" w:themeColor="text1"/>
          <w:sz w:val="24"/>
          <w:szCs w:val="24"/>
        </w:rPr>
        <w:t>alculation formulas</w:t>
      </w:r>
      <w:r>
        <w:rPr>
          <w:rFonts w:ascii="Times New Roman" w:hAnsi="Times New Roman" w:cs="Times New Roman"/>
          <w:color w:val="000000" w:themeColor="text1"/>
          <w:sz w:val="24"/>
          <w:szCs w:val="24"/>
        </w:rPr>
        <w:t xml:space="preserve"> for SD, SEM, and MDC95</w:t>
      </w:r>
    </w:p>
    <w:tbl>
      <w:tblPr>
        <w:tblStyle w:val="TableGrid"/>
        <w:tblW w:w="0" w:type="auto"/>
        <w:tblLook w:val="04A0" w:firstRow="1" w:lastRow="0" w:firstColumn="1" w:lastColumn="0" w:noHBand="0" w:noVBand="1"/>
      </w:tblPr>
      <w:tblGrid>
        <w:gridCol w:w="4957"/>
        <w:gridCol w:w="3260"/>
      </w:tblGrid>
      <w:tr w:rsidR="00AB4FC6" w:rsidRPr="00655F5D" w14:paraId="04CBDC65" w14:textId="77777777" w:rsidTr="00D600A1">
        <w:tc>
          <w:tcPr>
            <w:tcW w:w="4957" w:type="dxa"/>
            <w:tcBorders>
              <w:left w:val="nil"/>
              <w:right w:val="nil"/>
            </w:tcBorders>
          </w:tcPr>
          <w:p w14:paraId="766F275A" w14:textId="77777777" w:rsidR="00AB4FC6" w:rsidRPr="00655F5D" w:rsidRDefault="00AB4FC6" w:rsidP="00D600A1">
            <w:pPr>
              <w:jc w:val="center"/>
              <w:rPr>
                <w:rFonts w:ascii="Times New Roman" w:hAnsi="Times New Roman" w:cs="Times New Roman"/>
                <w:color w:val="000000" w:themeColor="text1"/>
                <w:sz w:val="24"/>
                <w:szCs w:val="24"/>
              </w:rPr>
            </w:pPr>
            <w:r w:rsidRPr="00655F5D">
              <w:rPr>
                <w:rFonts w:ascii="Times New Roman" w:hAnsi="Times New Roman" w:cs="Times New Roman"/>
                <w:color w:val="000000" w:themeColor="text1"/>
                <w:sz w:val="24"/>
                <w:szCs w:val="24"/>
              </w:rPr>
              <w:t>Name</w:t>
            </w:r>
          </w:p>
        </w:tc>
        <w:tc>
          <w:tcPr>
            <w:tcW w:w="3260" w:type="dxa"/>
            <w:tcBorders>
              <w:left w:val="nil"/>
              <w:right w:val="nil"/>
            </w:tcBorders>
          </w:tcPr>
          <w:p w14:paraId="214590AC" w14:textId="77777777" w:rsidR="00AB4FC6" w:rsidRPr="00655F5D" w:rsidRDefault="00AB4FC6" w:rsidP="00D600A1">
            <w:pPr>
              <w:jc w:val="center"/>
              <w:rPr>
                <w:rFonts w:ascii="Times New Roman" w:hAnsi="Times New Roman" w:cs="Times New Roman"/>
                <w:color w:val="000000" w:themeColor="text1"/>
                <w:sz w:val="24"/>
                <w:szCs w:val="24"/>
              </w:rPr>
            </w:pPr>
            <w:r w:rsidRPr="00655F5D">
              <w:rPr>
                <w:rFonts w:ascii="Times New Roman" w:hAnsi="Times New Roman" w:cs="Times New Roman"/>
                <w:color w:val="000000" w:themeColor="text1"/>
                <w:sz w:val="24"/>
                <w:szCs w:val="24"/>
              </w:rPr>
              <w:t>Formula</w:t>
            </w:r>
          </w:p>
        </w:tc>
      </w:tr>
      <w:tr w:rsidR="00AB4FC6" w:rsidRPr="00655F5D" w14:paraId="4D076F49" w14:textId="77777777" w:rsidTr="00D600A1">
        <w:tc>
          <w:tcPr>
            <w:tcW w:w="4957" w:type="dxa"/>
            <w:tcBorders>
              <w:left w:val="nil"/>
              <w:right w:val="nil"/>
            </w:tcBorders>
          </w:tcPr>
          <w:p w14:paraId="1BD2D43A" w14:textId="0DB4D137" w:rsidR="00AB4FC6" w:rsidRPr="00655F5D" w:rsidRDefault="00AB4FC6" w:rsidP="00D600A1">
            <w:pPr>
              <w:rPr>
                <w:rFonts w:ascii="Times New Roman" w:hAnsi="Times New Roman" w:cs="Times New Roman"/>
                <w:color w:val="000000" w:themeColor="text1"/>
                <w:sz w:val="24"/>
                <w:szCs w:val="24"/>
              </w:rPr>
            </w:pPr>
            <w:r w:rsidRPr="00655F5D">
              <w:rPr>
                <w:rFonts w:ascii="Times New Roman" w:hAnsi="Times New Roman" w:cs="Times New Roman"/>
                <w:color w:val="000000" w:themeColor="text1"/>
                <w:sz w:val="24"/>
                <w:szCs w:val="24"/>
              </w:rPr>
              <w:t>Half standard deviation (Half SD</w:t>
            </w:r>
            <w:r>
              <w:rPr>
                <w:rFonts w:ascii="Times New Roman" w:hAnsi="Times New Roman" w:cs="Times New Roman"/>
                <w:color w:val="000000" w:themeColor="text1"/>
                <w:sz w:val="24"/>
                <w:szCs w:val="24"/>
              </w:rPr>
              <w:t xml:space="preserve">) [2, </w:t>
            </w:r>
            <w:r w:rsidR="009A383B">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w:t>
            </w:r>
          </w:p>
        </w:tc>
        <w:tc>
          <w:tcPr>
            <w:tcW w:w="3260" w:type="dxa"/>
            <w:tcBorders>
              <w:left w:val="nil"/>
              <w:right w:val="nil"/>
            </w:tcBorders>
          </w:tcPr>
          <w:p w14:paraId="02247E21" w14:textId="173A9DD1" w:rsidR="00AB4FC6" w:rsidRPr="00AB4FC6" w:rsidRDefault="00AB4FC6" w:rsidP="00D600A1">
            <w:pPr>
              <w:jc w:val="center"/>
              <w:rPr>
                <w:rFonts w:ascii="Times New Roman" w:hAnsi="Times New Roman" w:cs="Times New Roman"/>
                <w:iCs/>
                <w:color w:val="000000" w:themeColor="text1"/>
                <w:sz w:val="24"/>
                <w:szCs w:val="24"/>
              </w:rPr>
            </w:pPr>
            <m:oMathPara>
              <m:oMath>
                <m:r>
                  <m:rPr>
                    <m:nor/>
                  </m:rPr>
                  <w:rPr>
                    <w:rStyle w:val="SubtleEmphasis"/>
                    <w:rFonts w:ascii="Times New Roman" w:hAnsi="Times New Roman" w:cs="Times New Roman"/>
                    <w:i w:val="0"/>
                    <w:iCs w:val="0"/>
                    <w:color w:val="000000" w:themeColor="text1"/>
                    <w:sz w:val="24"/>
                    <w:szCs w:val="24"/>
                  </w:rPr>
                  <m:t>Half SD</m:t>
                </m:r>
                <m:r>
                  <m:rPr>
                    <m:nor/>
                  </m:rPr>
                  <w:rPr>
                    <w:rStyle w:val="SubtleEmphasis"/>
                    <w:rFonts w:ascii="Cambria Math" w:hAnsi="Times New Roman" w:cs="Times New Roman"/>
                    <w:i w:val="0"/>
                    <w:iCs w:val="0"/>
                    <w:color w:val="000000" w:themeColor="text1"/>
                    <w:sz w:val="24"/>
                    <w:szCs w:val="24"/>
                  </w:rPr>
                  <m:t xml:space="preserve"> </m:t>
                </m:r>
                <m:r>
                  <m:rPr>
                    <m:nor/>
                  </m:rPr>
                  <w:rPr>
                    <w:rStyle w:val="SubtleEmphasis"/>
                    <w:rFonts w:ascii="Times New Roman" w:hAnsi="Times New Roman" w:cs="Times New Roman"/>
                    <w:i w:val="0"/>
                    <w:iCs w:val="0"/>
                    <w:color w:val="000000" w:themeColor="text1"/>
                    <w:sz w:val="24"/>
                    <w:szCs w:val="24"/>
                  </w:rPr>
                  <m:t>=</m:t>
                </m:r>
                <m:r>
                  <m:rPr>
                    <m:nor/>
                  </m:rPr>
                  <w:rPr>
                    <w:rStyle w:val="SubtleEmphasis"/>
                    <w:rFonts w:ascii="Cambria Math" w:hAnsi="Times New Roman" w:cs="Times New Roman"/>
                    <w:i w:val="0"/>
                    <w:iCs w:val="0"/>
                    <w:color w:val="000000" w:themeColor="text1"/>
                    <w:sz w:val="24"/>
                    <w:szCs w:val="24"/>
                  </w:rPr>
                  <m:t xml:space="preserve"> </m:t>
                </m:r>
                <m:r>
                  <m:rPr>
                    <m:nor/>
                  </m:rPr>
                  <w:rPr>
                    <w:rStyle w:val="SubtleEmphasis"/>
                    <w:rFonts w:ascii="Times New Roman" w:hAnsi="Times New Roman" w:cs="Times New Roman"/>
                    <w:i w:val="0"/>
                    <w:iCs w:val="0"/>
                    <w:color w:val="000000" w:themeColor="text1"/>
                    <w:sz w:val="24"/>
                    <w:szCs w:val="24"/>
                  </w:rPr>
                  <m:t>0.5×</m:t>
                </m:r>
                <m:sSub>
                  <m:sSubPr>
                    <m:ctrlPr>
                      <w:rPr>
                        <w:rStyle w:val="SubtleEmphasis"/>
                        <w:rFonts w:ascii="Cambria Math" w:hAnsi="Cambria Math" w:cs="Times New Roman"/>
                        <w:i w:val="0"/>
                        <w:iCs w:val="0"/>
                        <w:color w:val="000000" w:themeColor="text1"/>
                        <w:sz w:val="24"/>
                        <w:szCs w:val="24"/>
                      </w:rPr>
                    </m:ctrlPr>
                  </m:sSubPr>
                  <m:e>
                    <m:r>
                      <m:rPr>
                        <m:nor/>
                      </m:rPr>
                      <w:rPr>
                        <w:rStyle w:val="SubtleEmphasis"/>
                        <w:rFonts w:ascii="Times New Roman" w:hAnsi="Times New Roman" w:cs="Times New Roman"/>
                        <w:i w:val="0"/>
                        <w:iCs w:val="0"/>
                        <w:color w:val="000000" w:themeColor="text1"/>
                        <w:sz w:val="24"/>
                        <w:szCs w:val="24"/>
                      </w:rPr>
                      <m:t>SD</m:t>
                    </m:r>
                  </m:e>
                  <m:sub>
                    <m:r>
                      <m:rPr>
                        <m:nor/>
                      </m:rPr>
                      <w:rPr>
                        <w:rStyle w:val="SubtleEmphasis"/>
                        <w:rFonts w:ascii="Times New Roman" w:hAnsi="Times New Roman" w:cs="Times New Roman"/>
                        <w:i w:val="0"/>
                        <w:iCs w:val="0"/>
                        <w:color w:val="000000" w:themeColor="text1"/>
                        <w:sz w:val="24"/>
                        <w:szCs w:val="24"/>
                      </w:rPr>
                      <m:t>pre</m:t>
                    </m:r>
                  </m:sub>
                </m:sSub>
              </m:oMath>
            </m:oMathPara>
          </w:p>
        </w:tc>
      </w:tr>
      <w:tr w:rsidR="00AB4FC6" w:rsidRPr="00655F5D" w14:paraId="7602BF8F" w14:textId="77777777" w:rsidTr="00D600A1">
        <w:tc>
          <w:tcPr>
            <w:tcW w:w="4957" w:type="dxa"/>
            <w:tcBorders>
              <w:left w:val="nil"/>
              <w:right w:val="nil"/>
            </w:tcBorders>
          </w:tcPr>
          <w:p w14:paraId="31451F4F" w14:textId="603BA92D" w:rsidR="00AB4FC6" w:rsidRPr="00655F5D" w:rsidRDefault="00AB4FC6" w:rsidP="00D600A1">
            <w:pPr>
              <w:rPr>
                <w:rFonts w:ascii="Times New Roman" w:hAnsi="Times New Roman" w:cs="Times New Roman"/>
                <w:color w:val="000000" w:themeColor="text1"/>
                <w:sz w:val="24"/>
                <w:szCs w:val="24"/>
              </w:rPr>
            </w:pPr>
            <w:r w:rsidRPr="00655F5D">
              <w:rPr>
                <w:rFonts w:ascii="Times New Roman" w:hAnsi="Times New Roman" w:cs="Times New Roman"/>
                <w:color w:val="000000" w:themeColor="text1"/>
                <w:sz w:val="24"/>
                <w:szCs w:val="24"/>
              </w:rPr>
              <w:t>Standard error of measurement (SEM)</w:t>
            </w:r>
            <w:r>
              <w:rPr>
                <w:rFonts w:ascii="Times New Roman" w:hAnsi="Times New Roman" w:cs="Times New Roman"/>
                <w:color w:val="000000" w:themeColor="text1"/>
                <w:sz w:val="24"/>
                <w:szCs w:val="24"/>
              </w:rPr>
              <w:t xml:space="preserve"> [2, </w:t>
            </w:r>
            <w:r w:rsidR="009A383B">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7]</w:t>
            </w:r>
          </w:p>
        </w:tc>
        <w:tc>
          <w:tcPr>
            <w:tcW w:w="3260" w:type="dxa"/>
            <w:tcBorders>
              <w:left w:val="nil"/>
              <w:right w:val="nil"/>
            </w:tcBorders>
          </w:tcPr>
          <w:p w14:paraId="43CEF7BC" w14:textId="16904AD8" w:rsidR="00AB4FC6" w:rsidRPr="00AB4FC6" w:rsidRDefault="00AB4FC6" w:rsidP="00D600A1">
            <w:pPr>
              <w:rPr>
                <w:rStyle w:val="SubtleEmphasis"/>
                <w:rFonts w:ascii="Times New Roman" w:hAnsi="Times New Roman" w:cs="Times New Roman"/>
                <w:i w:val="0"/>
                <w:color w:val="000000" w:themeColor="text1"/>
                <w:sz w:val="24"/>
                <w:szCs w:val="24"/>
              </w:rPr>
            </w:pPr>
            <m:oMathPara>
              <m:oMath>
                <m:r>
                  <m:rPr>
                    <m:nor/>
                  </m:rPr>
                  <w:rPr>
                    <w:rStyle w:val="SubtleEmphasis"/>
                    <w:rFonts w:ascii="Times New Roman" w:hAnsi="Times New Roman" w:cs="Times New Roman"/>
                    <w:i w:val="0"/>
                    <w:iCs w:val="0"/>
                    <w:color w:val="000000" w:themeColor="text1"/>
                    <w:sz w:val="24"/>
                    <w:szCs w:val="24"/>
                  </w:rPr>
                  <m:t>SEM =</m:t>
                </m:r>
                <m:sSub>
                  <m:sSubPr>
                    <m:ctrlPr>
                      <w:rPr>
                        <w:rStyle w:val="SubtleEmphasis"/>
                        <w:rFonts w:ascii="Cambria Math" w:hAnsi="Cambria Math" w:cs="Times New Roman"/>
                        <w:i w:val="0"/>
                        <w:iCs w:val="0"/>
                        <w:color w:val="000000" w:themeColor="text1"/>
                        <w:sz w:val="24"/>
                        <w:szCs w:val="24"/>
                      </w:rPr>
                    </m:ctrlPr>
                  </m:sSubPr>
                  <m:e>
                    <m:r>
                      <m:rPr>
                        <m:nor/>
                      </m:rPr>
                      <w:rPr>
                        <w:rStyle w:val="SubtleEmphasis"/>
                        <w:rFonts w:ascii="Times New Roman" w:hAnsi="Times New Roman" w:cs="Times New Roman"/>
                        <w:i w:val="0"/>
                        <w:iCs w:val="0"/>
                        <w:color w:val="000000" w:themeColor="text1"/>
                        <w:sz w:val="24"/>
                        <w:szCs w:val="24"/>
                      </w:rPr>
                      <m:t xml:space="preserve"> SD</m:t>
                    </m:r>
                  </m:e>
                  <m:sub>
                    <m:r>
                      <m:rPr>
                        <m:nor/>
                      </m:rPr>
                      <w:rPr>
                        <w:rStyle w:val="SubtleEmphasis"/>
                        <w:rFonts w:ascii="Times New Roman" w:hAnsi="Times New Roman" w:cs="Times New Roman"/>
                        <w:i w:val="0"/>
                        <w:iCs w:val="0"/>
                        <w:color w:val="000000" w:themeColor="text1"/>
                        <w:sz w:val="24"/>
                        <w:szCs w:val="24"/>
                      </w:rPr>
                      <m:t>pre</m:t>
                    </m:r>
                  </m:sub>
                </m:sSub>
                <m:r>
                  <m:rPr>
                    <m:nor/>
                  </m:rPr>
                  <w:rPr>
                    <w:rStyle w:val="SubtleEmphasis"/>
                    <w:rFonts w:ascii="Times New Roman" w:hAnsi="Times New Roman" w:cs="Times New Roman"/>
                    <w:i w:val="0"/>
                    <w:iCs w:val="0"/>
                    <w:color w:val="000000" w:themeColor="text1"/>
                    <w:sz w:val="24"/>
                    <w:szCs w:val="24"/>
                  </w:rPr>
                  <m:t xml:space="preserve"> × </m:t>
                </m:r>
                <m:rad>
                  <m:radPr>
                    <m:degHide m:val="1"/>
                    <m:ctrlPr>
                      <w:rPr>
                        <w:rStyle w:val="SubtleEmphasis"/>
                        <w:rFonts w:ascii="Cambria Math" w:hAnsi="Cambria Math" w:cs="Times New Roman"/>
                        <w:i w:val="0"/>
                        <w:iCs w:val="0"/>
                        <w:color w:val="000000" w:themeColor="text1"/>
                        <w:sz w:val="24"/>
                        <w:szCs w:val="24"/>
                      </w:rPr>
                    </m:ctrlPr>
                  </m:radPr>
                  <m:deg/>
                  <m:e>
                    <m:r>
                      <m:rPr>
                        <m:nor/>
                      </m:rPr>
                      <w:rPr>
                        <w:rStyle w:val="SubtleEmphasis"/>
                        <w:rFonts w:ascii="Times New Roman" w:hAnsi="Times New Roman" w:cs="Times New Roman"/>
                        <w:i w:val="0"/>
                        <w:iCs w:val="0"/>
                        <w:color w:val="000000" w:themeColor="text1"/>
                        <w:sz w:val="24"/>
                        <w:szCs w:val="24"/>
                      </w:rPr>
                      <m:t>1-r</m:t>
                    </m:r>
                  </m:e>
                </m:rad>
              </m:oMath>
            </m:oMathPara>
          </w:p>
        </w:tc>
      </w:tr>
      <w:tr w:rsidR="00AB4FC6" w:rsidRPr="00655F5D" w14:paraId="753DD069" w14:textId="77777777" w:rsidTr="00AB4FC6">
        <w:trPr>
          <w:trHeight w:val="1095"/>
        </w:trPr>
        <w:tc>
          <w:tcPr>
            <w:tcW w:w="4957" w:type="dxa"/>
            <w:tcBorders>
              <w:left w:val="nil"/>
              <w:right w:val="nil"/>
            </w:tcBorders>
          </w:tcPr>
          <w:p w14:paraId="627BD01A" w14:textId="3BB06C87" w:rsidR="00AB4FC6" w:rsidRPr="00655F5D" w:rsidRDefault="00AB4FC6" w:rsidP="00D600A1">
            <w:pPr>
              <w:rPr>
                <w:rFonts w:ascii="Times New Roman" w:hAnsi="Times New Roman" w:cs="Times New Roman"/>
                <w:color w:val="000000" w:themeColor="text1"/>
                <w:sz w:val="24"/>
                <w:szCs w:val="24"/>
              </w:rPr>
            </w:pPr>
            <w:r w:rsidRPr="00655F5D">
              <w:rPr>
                <w:rFonts w:ascii="Times New Roman" w:hAnsi="Times New Roman" w:cs="Times New Roman"/>
                <w:color w:val="000000" w:themeColor="text1"/>
                <w:sz w:val="24"/>
                <w:szCs w:val="24"/>
              </w:rPr>
              <w:t>Minimal detectable change with 95% confidence interval (MDC95)</w:t>
            </w:r>
            <w:r>
              <w:rPr>
                <w:rFonts w:ascii="Times New Roman" w:hAnsi="Times New Roman" w:cs="Times New Roman"/>
                <w:color w:val="000000" w:themeColor="text1"/>
                <w:sz w:val="24"/>
                <w:szCs w:val="24"/>
              </w:rPr>
              <w:t xml:space="preserve"> [2]</w:t>
            </w:r>
          </w:p>
        </w:tc>
        <w:tc>
          <w:tcPr>
            <w:tcW w:w="3260" w:type="dxa"/>
            <w:tcBorders>
              <w:left w:val="nil"/>
              <w:right w:val="nil"/>
            </w:tcBorders>
          </w:tcPr>
          <w:p w14:paraId="59B7A4E5" w14:textId="0079CDBC" w:rsidR="00AB4FC6" w:rsidRPr="00AB4FC6" w:rsidRDefault="00AB4FC6" w:rsidP="00D600A1">
            <w:pPr>
              <w:rPr>
                <w:rFonts w:ascii="Times New Roman" w:hAnsi="Times New Roman" w:cs="Times New Roman"/>
                <w:color w:val="000000" w:themeColor="text1"/>
                <w:sz w:val="24"/>
                <w:szCs w:val="24"/>
              </w:rPr>
            </w:pPr>
            <m:oMathPara>
              <m:oMath>
                <m:r>
                  <m:rPr>
                    <m:nor/>
                  </m:rPr>
                  <w:rPr>
                    <w:rFonts w:ascii="Times New Roman" w:hAnsi="Times New Roman" w:cs="Times New Roman"/>
                    <w:color w:val="000000" w:themeColor="text1"/>
                    <w:sz w:val="24"/>
                    <w:szCs w:val="24"/>
                  </w:rPr>
                  <m:t>MDC95</m:t>
                </m:r>
                <m:r>
                  <m:rPr>
                    <m:nor/>
                  </m:rPr>
                  <w:rPr>
                    <w:rFonts w:ascii="Cambria Math" w:hAnsi="Times New Roman" w:cs="Times New Roman"/>
                    <w:color w:val="000000" w:themeColor="text1"/>
                    <w:sz w:val="24"/>
                    <w:szCs w:val="24"/>
                  </w:rPr>
                  <m:t xml:space="preserve"> </m:t>
                </m:r>
                <m:r>
                  <m:rPr>
                    <m:nor/>
                  </m:rPr>
                  <w:rPr>
                    <w:rFonts w:ascii="Times New Roman" w:hAnsi="Times New Roman" w:cs="Times New Roman"/>
                    <w:color w:val="000000" w:themeColor="text1"/>
                    <w:sz w:val="24"/>
                    <w:szCs w:val="24"/>
                  </w:rPr>
                  <m:t>=</m:t>
                </m:r>
                <m:r>
                  <m:rPr>
                    <m:nor/>
                  </m:rPr>
                  <w:rPr>
                    <w:rFonts w:ascii="Cambria Math" w:hAnsi="Times New Roman" w:cs="Times New Roman"/>
                    <w:color w:val="000000" w:themeColor="text1"/>
                    <w:sz w:val="24"/>
                    <w:szCs w:val="24"/>
                  </w:rPr>
                  <m:t xml:space="preserve"> </m:t>
                </m:r>
                <m:r>
                  <m:rPr>
                    <m:nor/>
                  </m:rPr>
                  <w:rPr>
                    <w:rFonts w:ascii="Times New Roman" w:hAnsi="Times New Roman" w:cs="Times New Roman"/>
                    <w:color w:val="000000" w:themeColor="text1"/>
                    <w:sz w:val="24"/>
                    <w:szCs w:val="24"/>
                  </w:rPr>
                  <m:t>SEM</m:t>
                </m:r>
                <m:r>
                  <m:rPr>
                    <m:nor/>
                  </m:rPr>
                  <w:rPr>
                    <w:rFonts w:ascii="Cambria Math" w:hAnsi="Times New Roman" w:cs="Times New Roman"/>
                    <w:color w:val="000000" w:themeColor="text1"/>
                    <w:sz w:val="24"/>
                    <w:szCs w:val="24"/>
                  </w:rPr>
                  <m:t xml:space="preserve"> </m:t>
                </m:r>
                <m:r>
                  <m:rPr>
                    <m:nor/>
                  </m:rPr>
                  <w:rPr>
                    <w:rFonts w:ascii="Times New Roman" w:hAnsi="Times New Roman" w:cs="Times New Roman"/>
                    <w:color w:val="000000" w:themeColor="text1"/>
                    <w:sz w:val="24"/>
                    <w:szCs w:val="24"/>
                  </w:rPr>
                  <m:t>×</m:t>
                </m:r>
                <m:r>
                  <m:rPr>
                    <m:nor/>
                  </m:rPr>
                  <w:rPr>
                    <w:rFonts w:ascii="Cambria Math" w:hAnsi="Times New Roman" w:cs="Times New Roman"/>
                    <w:color w:val="000000" w:themeColor="text1"/>
                    <w:sz w:val="24"/>
                    <w:szCs w:val="24"/>
                  </w:rPr>
                  <m:t xml:space="preserve"> </m:t>
                </m:r>
                <m:rad>
                  <m:radPr>
                    <m:degHide m:val="1"/>
                    <m:ctrlPr>
                      <w:rPr>
                        <w:rFonts w:ascii="Cambria Math" w:eastAsia="Calibri" w:hAnsi="Cambria Math" w:cs="Times New Roman"/>
                        <w:color w:val="000000" w:themeColor="text1"/>
                        <w:sz w:val="24"/>
                        <w:szCs w:val="24"/>
                      </w:rPr>
                    </m:ctrlPr>
                  </m:radPr>
                  <m:deg/>
                  <m:e>
                    <m:r>
                      <m:rPr>
                        <m:nor/>
                      </m:rPr>
                      <w:rPr>
                        <w:rFonts w:ascii="Times New Roman" w:hAnsi="Times New Roman" w:cs="Times New Roman"/>
                        <w:color w:val="000000" w:themeColor="text1"/>
                        <w:sz w:val="24"/>
                        <w:szCs w:val="24"/>
                      </w:rPr>
                      <m:t>2</m:t>
                    </m:r>
                  </m:e>
                </m:rad>
                <m:r>
                  <m:rPr>
                    <m:nor/>
                  </m:rPr>
                  <w:rPr>
                    <w:rFonts w:ascii="Cambria Math" w:hAnsi="Times New Roman" w:cs="Times New Roman"/>
                    <w:color w:val="000000" w:themeColor="text1"/>
                    <w:sz w:val="24"/>
                    <w:szCs w:val="24"/>
                  </w:rPr>
                  <m:t xml:space="preserve"> </m:t>
                </m:r>
                <m:r>
                  <m:rPr>
                    <m:nor/>
                  </m:rPr>
                  <w:rPr>
                    <w:rFonts w:ascii="Times New Roman" w:hAnsi="Times New Roman" w:cs="Times New Roman"/>
                    <w:color w:val="000000" w:themeColor="text1"/>
                    <w:sz w:val="24"/>
                    <w:szCs w:val="24"/>
                  </w:rPr>
                  <m:t>×</m:t>
                </m:r>
                <m:r>
                  <m:rPr>
                    <m:nor/>
                  </m:rPr>
                  <w:rPr>
                    <w:rFonts w:ascii="Cambria Math" w:hAnsi="Times New Roman" w:cs="Times New Roman"/>
                    <w:color w:val="000000" w:themeColor="text1"/>
                    <w:sz w:val="24"/>
                    <w:szCs w:val="24"/>
                  </w:rPr>
                  <m:t xml:space="preserve"> </m:t>
                </m:r>
                <m:r>
                  <m:rPr>
                    <m:nor/>
                  </m:rPr>
                  <w:rPr>
                    <w:rFonts w:ascii="Times New Roman" w:hAnsi="Times New Roman" w:cs="Times New Roman"/>
                    <w:color w:val="000000" w:themeColor="text1"/>
                    <w:sz w:val="24"/>
                    <w:szCs w:val="24"/>
                  </w:rPr>
                  <m:t>1.96</m:t>
                </m:r>
              </m:oMath>
            </m:oMathPara>
          </w:p>
        </w:tc>
      </w:tr>
    </w:tbl>
    <w:p w14:paraId="5F714993" w14:textId="2BFC2F84" w:rsidR="00AB4FC6" w:rsidRPr="00655F5D" w:rsidRDefault="00AB4FC6" w:rsidP="00855DC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SD, standard deviation; SEM, </w:t>
      </w:r>
      <w:r w:rsidR="00905C2D">
        <w:rPr>
          <w:rFonts w:ascii="Times New Roman" w:hAnsi="Times New Roman" w:cs="Times New Roman"/>
          <w:color w:val="000000" w:themeColor="text1"/>
          <w:sz w:val="24"/>
          <w:szCs w:val="24"/>
        </w:rPr>
        <w:t xml:space="preserve">standard </w:t>
      </w:r>
      <w:r w:rsidR="00905C2D" w:rsidRPr="00655F5D">
        <w:rPr>
          <w:rFonts w:ascii="Times New Roman" w:hAnsi="Times New Roman" w:cs="Times New Roman"/>
          <w:color w:val="000000" w:themeColor="text1"/>
          <w:sz w:val="24"/>
          <w:szCs w:val="24"/>
        </w:rPr>
        <w:t>error of measurement</w:t>
      </w:r>
      <w:r w:rsidR="00905C2D">
        <w:rPr>
          <w:rFonts w:ascii="Times New Roman" w:hAnsi="Times New Roman" w:cs="Times New Roman"/>
          <w:color w:val="000000" w:themeColor="text1"/>
          <w:sz w:val="24"/>
          <w:szCs w:val="24"/>
        </w:rPr>
        <w:t xml:space="preserve">; </w:t>
      </w:r>
      <w:r w:rsidR="00905C2D" w:rsidRPr="00655F5D">
        <w:rPr>
          <w:rFonts w:ascii="Times New Roman" w:hAnsi="Times New Roman" w:cs="Times New Roman"/>
          <w:color w:val="000000" w:themeColor="text1"/>
          <w:sz w:val="24"/>
          <w:szCs w:val="24"/>
        </w:rPr>
        <w:t>MDC95</w:t>
      </w:r>
      <w:r w:rsidR="00905C2D">
        <w:rPr>
          <w:rFonts w:ascii="Times New Roman" w:hAnsi="Times New Roman" w:cs="Times New Roman"/>
          <w:color w:val="000000" w:themeColor="text1"/>
          <w:sz w:val="24"/>
          <w:szCs w:val="24"/>
        </w:rPr>
        <w:t>, m</w:t>
      </w:r>
      <w:r w:rsidR="00905C2D" w:rsidRPr="00655F5D">
        <w:rPr>
          <w:rFonts w:ascii="Times New Roman" w:hAnsi="Times New Roman" w:cs="Times New Roman"/>
          <w:color w:val="000000" w:themeColor="text1"/>
          <w:sz w:val="24"/>
          <w:szCs w:val="24"/>
        </w:rPr>
        <w:t>inimal detectable change with 95% confidence interval</w:t>
      </w:r>
      <w:r w:rsidR="00905C2D">
        <w:rPr>
          <w:rFonts w:ascii="Times New Roman" w:hAnsi="Times New Roman" w:cs="Times New Roman"/>
          <w:color w:val="000000" w:themeColor="text1"/>
          <w:sz w:val="24"/>
          <w:szCs w:val="24"/>
        </w:rPr>
        <w:t xml:space="preserve">; </w:t>
      </w:r>
      <w:r w:rsidRPr="00655F5D">
        <w:rPr>
          <w:rFonts w:ascii="Times New Roman" w:hAnsi="Times New Roman" w:cs="Times New Roman"/>
          <w:color w:val="000000" w:themeColor="text1"/>
          <w:sz w:val="24"/>
          <w:szCs w:val="24"/>
        </w:rPr>
        <w:t>SD</w:t>
      </w:r>
      <w:r w:rsidRPr="00655F5D">
        <w:rPr>
          <w:rFonts w:ascii="Times New Roman" w:hAnsi="Times New Roman" w:cs="Times New Roman"/>
          <w:color w:val="000000" w:themeColor="text1"/>
          <w:sz w:val="24"/>
          <w:szCs w:val="24"/>
          <w:vertAlign w:val="subscript"/>
        </w:rPr>
        <w:t xml:space="preserve">pre </w:t>
      </w:r>
      <w:r w:rsidRPr="00655F5D">
        <w:rPr>
          <w:rFonts w:ascii="Times New Roman" w:hAnsi="Times New Roman" w:cs="Times New Roman"/>
          <w:color w:val="000000" w:themeColor="text1"/>
          <w:sz w:val="24"/>
          <w:szCs w:val="24"/>
        </w:rPr>
        <w:t>= standard deviation at admission, r = test-retest reliability of tool</w:t>
      </w:r>
    </w:p>
    <w:p w14:paraId="182068F1" w14:textId="77777777" w:rsidR="00AB4FC6" w:rsidRPr="00655F5D" w:rsidRDefault="00AB4FC6" w:rsidP="005C7CD4">
      <w:pPr>
        <w:spacing w:line="240" w:lineRule="auto"/>
        <w:rPr>
          <w:rFonts w:ascii="Times New Roman" w:hAnsi="Times New Roman" w:cs="Times New Roman"/>
          <w:sz w:val="24"/>
          <w:szCs w:val="24"/>
        </w:rPr>
      </w:pPr>
    </w:p>
    <w:p w14:paraId="48585D25" w14:textId="77777777" w:rsidR="00905C2D" w:rsidRDefault="00905C2D" w:rsidP="005C7CD4">
      <w:pPr>
        <w:spacing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2E66A58A" w14:textId="28D32C54" w:rsidR="00AB4FC6" w:rsidRPr="00655F5D" w:rsidRDefault="00AB4FC6" w:rsidP="005C7CD4">
      <w:pPr>
        <w:spacing w:line="240" w:lineRule="auto"/>
        <w:rPr>
          <w:rFonts w:ascii="Times New Roman" w:hAnsi="Times New Roman" w:cs="Times New Roman"/>
          <w:b/>
          <w:bCs/>
          <w:sz w:val="24"/>
          <w:szCs w:val="24"/>
        </w:rPr>
      </w:pPr>
      <w:r w:rsidRPr="00655F5D">
        <w:rPr>
          <w:rFonts w:ascii="Times New Roman" w:hAnsi="Times New Roman" w:cs="Times New Roman"/>
          <w:b/>
          <w:bCs/>
          <w:sz w:val="24"/>
          <w:szCs w:val="24"/>
        </w:rPr>
        <w:lastRenderedPageBreak/>
        <w:t>References</w:t>
      </w:r>
    </w:p>
    <w:p w14:paraId="32E97D9E" w14:textId="5B7624C5" w:rsidR="00AB4FC6" w:rsidRDefault="00AB4FC6" w:rsidP="008D5A8A">
      <w:pPr>
        <w:pStyle w:val="EndNoteBibliography"/>
        <w:spacing w:after="0"/>
        <w:rPr>
          <w:rFonts w:ascii="Times New Roman" w:hAnsi="Times New Roman" w:cs="Times New Roman"/>
          <w:sz w:val="24"/>
          <w:szCs w:val="24"/>
        </w:rPr>
      </w:pPr>
      <w:r w:rsidRPr="00655F5D">
        <w:rPr>
          <w:rFonts w:ascii="Times New Roman" w:hAnsi="Times New Roman" w:cs="Times New Roman"/>
          <w:sz w:val="24"/>
          <w:szCs w:val="24"/>
        </w:rPr>
        <w:t>1.</w:t>
      </w:r>
      <w:r w:rsidRPr="00655F5D">
        <w:rPr>
          <w:rFonts w:ascii="Times New Roman" w:hAnsi="Times New Roman" w:cs="Times New Roman"/>
          <w:sz w:val="24"/>
          <w:szCs w:val="24"/>
        </w:rPr>
        <w:tab/>
        <w:t>Jaeschke R, Singer J, Guyatt GH. Measurement of health status. Ascertaining the minimal clinically important difference. Control Clin Trials. 1989;10:407-</w:t>
      </w:r>
      <w:r w:rsidR="006F5D33">
        <w:rPr>
          <w:rFonts w:ascii="Times New Roman" w:hAnsi="Times New Roman" w:cs="Times New Roman"/>
          <w:sz w:val="24"/>
          <w:szCs w:val="24"/>
        </w:rPr>
        <w:t>4</w:t>
      </w:r>
      <w:r w:rsidRPr="00655F5D">
        <w:rPr>
          <w:rFonts w:ascii="Times New Roman" w:hAnsi="Times New Roman" w:cs="Times New Roman"/>
          <w:sz w:val="24"/>
          <w:szCs w:val="24"/>
        </w:rPr>
        <w:t>15.</w:t>
      </w:r>
    </w:p>
    <w:p w14:paraId="2B9AD58E" w14:textId="77777777" w:rsidR="00905C2D" w:rsidRPr="00655F5D" w:rsidRDefault="00905C2D" w:rsidP="008D5A8A">
      <w:pPr>
        <w:pStyle w:val="EndNoteBibliography"/>
        <w:spacing w:after="0"/>
        <w:rPr>
          <w:rFonts w:ascii="Times New Roman" w:hAnsi="Times New Roman" w:cs="Times New Roman"/>
          <w:sz w:val="24"/>
          <w:szCs w:val="24"/>
        </w:rPr>
      </w:pPr>
    </w:p>
    <w:p w14:paraId="4284F21C" w14:textId="50A1DDE7" w:rsidR="00AB4FC6" w:rsidRDefault="00AB4FC6" w:rsidP="008D5A8A">
      <w:pPr>
        <w:pStyle w:val="EndNoteBibliography"/>
        <w:spacing w:after="0"/>
        <w:rPr>
          <w:rFonts w:ascii="Times New Roman" w:hAnsi="Times New Roman" w:cs="Times New Roman"/>
          <w:sz w:val="24"/>
          <w:szCs w:val="24"/>
        </w:rPr>
      </w:pPr>
      <w:r w:rsidRPr="00655F5D">
        <w:rPr>
          <w:rFonts w:ascii="Times New Roman" w:hAnsi="Times New Roman" w:cs="Times New Roman"/>
          <w:sz w:val="24"/>
          <w:szCs w:val="24"/>
        </w:rPr>
        <w:t>2.</w:t>
      </w:r>
      <w:r w:rsidRPr="00655F5D">
        <w:rPr>
          <w:rFonts w:ascii="Times New Roman" w:hAnsi="Times New Roman" w:cs="Times New Roman"/>
          <w:sz w:val="24"/>
          <w:szCs w:val="24"/>
        </w:rPr>
        <w:tab/>
        <w:t>Sedaghat AR. Understanding the Minimal Clinically Important Difference (MCID) of Patient-Reported Outcome Measures. Otolaryngol Head Neck Surg. 2019;161:551-</w:t>
      </w:r>
      <w:r w:rsidR="006F5D33">
        <w:rPr>
          <w:rFonts w:ascii="Times New Roman" w:hAnsi="Times New Roman" w:cs="Times New Roman"/>
          <w:sz w:val="24"/>
          <w:szCs w:val="24"/>
        </w:rPr>
        <w:t>5</w:t>
      </w:r>
      <w:r w:rsidRPr="00655F5D">
        <w:rPr>
          <w:rFonts w:ascii="Times New Roman" w:hAnsi="Times New Roman" w:cs="Times New Roman"/>
          <w:sz w:val="24"/>
          <w:szCs w:val="24"/>
        </w:rPr>
        <w:t>60.</w:t>
      </w:r>
    </w:p>
    <w:p w14:paraId="7A0851A2" w14:textId="77777777" w:rsidR="00905C2D" w:rsidRPr="00655F5D" w:rsidRDefault="00905C2D" w:rsidP="008D5A8A">
      <w:pPr>
        <w:pStyle w:val="EndNoteBibliography"/>
        <w:spacing w:after="0"/>
        <w:rPr>
          <w:rFonts w:ascii="Times New Roman" w:hAnsi="Times New Roman" w:cs="Times New Roman"/>
          <w:sz w:val="24"/>
          <w:szCs w:val="24"/>
        </w:rPr>
      </w:pPr>
    </w:p>
    <w:p w14:paraId="10C889F5" w14:textId="7B6BC11E" w:rsidR="007F356C" w:rsidRDefault="00AB4FC6" w:rsidP="007F356C">
      <w:pPr>
        <w:pStyle w:val="EndNoteBibliography"/>
        <w:spacing w:after="0"/>
        <w:rPr>
          <w:rFonts w:ascii="Times New Roman" w:hAnsi="Times New Roman" w:cs="Times New Roman"/>
          <w:sz w:val="24"/>
          <w:szCs w:val="24"/>
        </w:rPr>
      </w:pPr>
      <w:r w:rsidRPr="00655F5D">
        <w:rPr>
          <w:rFonts w:ascii="Times New Roman" w:hAnsi="Times New Roman" w:cs="Times New Roman"/>
          <w:sz w:val="24"/>
          <w:szCs w:val="24"/>
        </w:rPr>
        <w:t>3.</w:t>
      </w:r>
      <w:r w:rsidRPr="00655F5D">
        <w:rPr>
          <w:rFonts w:ascii="Times New Roman" w:hAnsi="Times New Roman" w:cs="Times New Roman"/>
          <w:sz w:val="24"/>
          <w:szCs w:val="24"/>
        </w:rPr>
        <w:tab/>
      </w:r>
      <w:r w:rsidR="007F356C" w:rsidRPr="00655F5D">
        <w:rPr>
          <w:rFonts w:ascii="Times New Roman" w:hAnsi="Times New Roman" w:cs="Times New Roman"/>
          <w:sz w:val="24"/>
          <w:szCs w:val="24"/>
        </w:rPr>
        <w:t>Engel L, Beaton DE, Touma Z. Minimal Clinically Important Difference: A Review of Outcome Measure Score Interpretation. Rheum Dis Clin North Am. 2018;44:177-</w:t>
      </w:r>
      <w:r w:rsidR="006F5D33">
        <w:rPr>
          <w:rFonts w:ascii="Times New Roman" w:hAnsi="Times New Roman" w:cs="Times New Roman"/>
          <w:sz w:val="24"/>
          <w:szCs w:val="24"/>
        </w:rPr>
        <w:t>1</w:t>
      </w:r>
      <w:r w:rsidR="007F356C" w:rsidRPr="00655F5D">
        <w:rPr>
          <w:rFonts w:ascii="Times New Roman" w:hAnsi="Times New Roman" w:cs="Times New Roman"/>
          <w:sz w:val="24"/>
          <w:szCs w:val="24"/>
        </w:rPr>
        <w:t>88.</w:t>
      </w:r>
    </w:p>
    <w:p w14:paraId="7413CC32" w14:textId="77777777" w:rsidR="007F356C" w:rsidRDefault="007F356C" w:rsidP="008D5A8A">
      <w:pPr>
        <w:pStyle w:val="EndNoteBibliography"/>
        <w:spacing w:after="0"/>
        <w:rPr>
          <w:rFonts w:ascii="Times New Roman" w:hAnsi="Times New Roman" w:cs="Times New Roman"/>
          <w:sz w:val="24"/>
          <w:szCs w:val="24"/>
        </w:rPr>
      </w:pPr>
    </w:p>
    <w:p w14:paraId="1C9638DF" w14:textId="78F73638" w:rsidR="007F356C" w:rsidRDefault="007F356C" w:rsidP="008D5A8A">
      <w:pPr>
        <w:pStyle w:val="EndNoteBibliography"/>
        <w:spacing w:after="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sidRPr="00655F5D">
        <w:rPr>
          <w:rFonts w:ascii="Times New Roman" w:hAnsi="Times New Roman" w:cs="Times New Roman"/>
          <w:sz w:val="24"/>
          <w:szCs w:val="24"/>
        </w:rPr>
        <w:t>Corallo V, Torre M, Ferrara G, Guerra F, Nicosia G, Romanelli E, et al. What do spinal cord injury patients think of their improvement? A study of the minimal clinically important difference of the Spinal Cord Independence Measure III. Eur J Phys Rehabil Med. 2017;53:508-</w:t>
      </w:r>
      <w:r w:rsidR="006F5D33">
        <w:rPr>
          <w:rFonts w:ascii="Times New Roman" w:hAnsi="Times New Roman" w:cs="Times New Roman"/>
          <w:sz w:val="24"/>
          <w:szCs w:val="24"/>
        </w:rPr>
        <w:t>5</w:t>
      </w:r>
      <w:r w:rsidRPr="00655F5D">
        <w:rPr>
          <w:rFonts w:ascii="Times New Roman" w:hAnsi="Times New Roman" w:cs="Times New Roman"/>
          <w:sz w:val="24"/>
          <w:szCs w:val="24"/>
        </w:rPr>
        <w:t>15.</w:t>
      </w:r>
    </w:p>
    <w:p w14:paraId="6469C3F8" w14:textId="77777777" w:rsidR="00905C2D" w:rsidRPr="00655F5D" w:rsidRDefault="00905C2D" w:rsidP="008D5A8A">
      <w:pPr>
        <w:pStyle w:val="EndNoteBibliography"/>
        <w:spacing w:after="0"/>
        <w:rPr>
          <w:rFonts w:ascii="Times New Roman" w:hAnsi="Times New Roman" w:cs="Times New Roman"/>
          <w:sz w:val="24"/>
          <w:szCs w:val="24"/>
        </w:rPr>
      </w:pPr>
    </w:p>
    <w:p w14:paraId="52A66ACC" w14:textId="4AFD3C0F" w:rsidR="00905C2D" w:rsidRDefault="009D021C" w:rsidP="008D5A8A">
      <w:pPr>
        <w:pStyle w:val="EndNoteBibliography"/>
        <w:spacing w:after="0"/>
        <w:rPr>
          <w:rFonts w:ascii="Times New Roman" w:hAnsi="Times New Roman" w:cs="Times New Roman"/>
          <w:sz w:val="24"/>
          <w:szCs w:val="24"/>
        </w:rPr>
      </w:pPr>
      <w:r>
        <w:rPr>
          <w:rFonts w:ascii="Times New Roman" w:hAnsi="Times New Roman" w:cs="Times New Roman"/>
          <w:sz w:val="24"/>
          <w:szCs w:val="24"/>
        </w:rPr>
        <w:t>5</w:t>
      </w:r>
      <w:r w:rsidR="00AB4FC6" w:rsidRPr="00655F5D">
        <w:rPr>
          <w:rFonts w:ascii="Times New Roman" w:hAnsi="Times New Roman" w:cs="Times New Roman"/>
          <w:sz w:val="24"/>
          <w:szCs w:val="24"/>
        </w:rPr>
        <w:t>.</w:t>
      </w:r>
      <w:r w:rsidR="00AB4FC6" w:rsidRPr="00655F5D">
        <w:rPr>
          <w:rFonts w:ascii="Times New Roman" w:hAnsi="Times New Roman" w:cs="Times New Roman"/>
          <w:sz w:val="24"/>
          <w:szCs w:val="24"/>
        </w:rPr>
        <w:tab/>
      </w:r>
      <w:r w:rsidR="007F356C" w:rsidRPr="00655F5D">
        <w:rPr>
          <w:rFonts w:ascii="Times New Roman" w:hAnsi="Times New Roman" w:cs="Times New Roman"/>
          <w:sz w:val="24"/>
          <w:szCs w:val="24"/>
        </w:rPr>
        <w:t>Norman GR, Sloan JA, Wyrwich KW. Interpretation of changes in health-related quality of life: the remarkable universality of half a standard deviation. Med Care. 2003;41:582-</w:t>
      </w:r>
      <w:r w:rsidR="006F5D33">
        <w:rPr>
          <w:rFonts w:ascii="Times New Roman" w:hAnsi="Times New Roman" w:cs="Times New Roman"/>
          <w:sz w:val="24"/>
          <w:szCs w:val="24"/>
        </w:rPr>
        <w:t>5</w:t>
      </w:r>
      <w:r w:rsidR="007F356C" w:rsidRPr="00655F5D">
        <w:rPr>
          <w:rFonts w:ascii="Times New Roman" w:hAnsi="Times New Roman" w:cs="Times New Roman"/>
          <w:sz w:val="24"/>
          <w:szCs w:val="24"/>
        </w:rPr>
        <w:t>92.</w:t>
      </w:r>
    </w:p>
    <w:p w14:paraId="50B06C7F" w14:textId="77777777" w:rsidR="009D021C" w:rsidRPr="00655F5D" w:rsidRDefault="009D021C" w:rsidP="008D5A8A">
      <w:pPr>
        <w:pStyle w:val="EndNoteBibliography"/>
        <w:spacing w:after="0"/>
        <w:rPr>
          <w:rFonts w:ascii="Times New Roman" w:hAnsi="Times New Roman" w:cs="Times New Roman"/>
          <w:sz w:val="24"/>
          <w:szCs w:val="24"/>
        </w:rPr>
      </w:pPr>
    </w:p>
    <w:p w14:paraId="2F3069DD" w14:textId="53DFA933" w:rsidR="00AB4FC6" w:rsidRDefault="009D021C" w:rsidP="008D5A8A">
      <w:pPr>
        <w:pStyle w:val="EndNoteBibliography"/>
        <w:spacing w:after="0"/>
        <w:rPr>
          <w:rFonts w:ascii="Times New Roman" w:hAnsi="Times New Roman" w:cs="Times New Roman"/>
          <w:sz w:val="24"/>
          <w:szCs w:val="24"/>
        </w:rPr>
      </w:pPr>
      <w:r>
        <w:rPr>
          <w:rFonts w:ascii="Times New Roman" w:hAnsi="Times New Roman" w:cs="Times New Roman"/>
          <w:sz w:val="24"/>
          <w:szCs w:val="24"/>
        </w:rPr>
        <w:t>6</w:t>
      </w:r>
      <w:r w:rsidR="00AB4FC6" w:rsidRPr="00655F5D">
        <w:rPr>
          <w:rFonts w:ascii="Times New Roman" w:hAnsi="Times New Roman" w:cs="Times New Roman"/>
          <w:sz w:val="24"/>
          <w:szCs w:val="24"/>
        </w:rPr>
        <w:t>.</w:t>
      </w:r>
      <w:r w:rsidR="00AB4FC6" w:rsidRPr="00655F5D">
        <w:rPr>
          <w:rFonts w:ascii="Times New Roman" w:hAnsi="Times New Roman" w:cs="Times New Roman"/>
          <w:sz w:val="24"/>
          <w:szCs w:val="24"/>
        </w:rPr>
        <w:tab/>
        <w:t>Ousmen A, Touraine C, Deliu N, Cottone F, Bonnetain F, Efficace F, et al. Distribution- and anchor-based methods to determine the minimally important difference on patient-reported outcome questionnaires in oncology: a structured review. Health and quality of life outcomes. 2018;16:228.</w:t>
      </w:r>
    </w:p>
    <w:p w14:paraId="425FB97A" w14:textId="77777777" w:rsidR="00905C2D" w:rsidRPr="00655F5D" w:rsidRDefault="00905C2D" w:rsidP="008D5A8A">
      <w:pPr>
        <w:pStyle w:val="EndNoteBibliography"/>
        <w:spacing w:after="0"/>
        <w:rPr>
          <w:rFonts w:ascii="Times New Roman" w:hAnsi="Times New Roman" w:cs="Times New Roman"/>
          <w:sz w:val="24"/>
          <w:szCs w:val="24"/>
        </w:rPr>
      </w:pPr>
    </w:p>
    <w:p w14:paraId="6D057E59" w14:textId="59788229" w:rsidR="00AB4FC6" w:rsidRPr="00655F5D" w:rsidRDefault="00AB4FC6" w:rsidP="009D021C">
      <w:pPr>
        <w:pStyle w:val="EndNoteBibliography"/>
        <w:spacing w:after="0"/>
        <w:rPr>
          <w:rFonts w:ascii="Times New Roman" w:hAnsi="Times New Roman" w:cs="Times New Roman"/>
          <w:sz w:val="24"/>
          <w:szCs w:val="24"/>
        </w:rPr>
      </w:pPr>
      <w:r w:rsidRPr="00655F5D">
        <w:rPr>
          <w:rFonts w:ascii="Times New Roman" w:hAnsi="Times New Roman" w:cs="Times New Roman"/>
          <w:sz w:val="24"/>
          <w:szCs w:val="24"/>
        </w:rPr>
        <w:t>7.</w:t>
      </w:r>
      <w:r w:rsidRPr="00655F5D">
        <w:rPr>
          <w:rFonts w:ascii="Times New Roman" w:hAnsi="Times New Roman" w:cs="Times New Roman"/>
          <w:sz w:val="24"/>
          <w:szCs w:val="24"/>
        </w:rPr>
        <w:tab/>
        <w:t>Hägg O, Fritzell P, Nordwall A. The clinical importance of changes in outcome scores after treatment for chronic low back pain. Eur Spine J. 2003;12:12-20.</w:t>
      </w:r>
    </w:p>
    <w:p w14:paraId="06CD1B57" w14:textId="77777777" w:rsidR="00AB4FC6" w:rsidRPr="00655F5D" w:rsidRDefault="00AB4FC6" w:rsidP="005C7CD4">
      <w:pPr>
        <w:spacing w:line="240" w:lineRule="auto"/>
        <w:rPr>
          <w:rFonts w:ascii="Times New Roman" w:hAnsi="Times New Roman" w:cs="Times New Roman"/>
          <w:sz w:val="24"/>
          <w:szCs w:val="24"/>
        </w:rPr>
      </w:pPr>
    </w:p>
    <w:p w14:paraId="059E8797" w14:textId="77777777" w:rsidR="00FD31CF" w:rsidRDefault="00FD31CF"/>
    <w:sectPr w:rsidR="00FD31CF">
      <w:footerReference w:type="even"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15567" w14:textId="77777777" w:rsidR="00EB62C6" w:rsidRDefault="00EB62C6" w:rsidP="00AB4FC6">
      <w:pPr>
        <w:spacing w:after="0" w:line="240" w:lineRule="auto"/>
      </w:pPr>
      <w:r>
        <w:separator/>
      </w:r>
    </w:p>
  </w:endnote>
  <w:endnote w:type="continuationSeparator" w:id="0">
    <w:p w14:paraId="4E743E00" w14:textId="77777777" w:rsidR="00EB62C6" w:rsidRDefault="00EB62C6" w:rsidP="00AB4F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11162207"/>
      <w:docPartObj>
        <w:docPartGallery w:val="Page Numbers (Bottom of Page)"/>
        <w:docPartUnique/>
      </w:docPartObj>
    </w:sdtPr>
    <w:sdtContent>
      <w:p w14:paraId="05FCC795" w14:textId="748D1E83" w:rsidR="00AB4FC6" w:rsidRDefault="00AB4FC6" w:rsidP="00CE128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6D93615" w14:textId="77777777" w:rsidR="00AB4FC6" w:rsidRDefault="00AB4F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24673518"/>
      <w:docPartObj>
        <w:docPartGallery w:val="Page Numbers (Bottom of Page)"/>
        <w:docPartUnique/>
      </w:docPartObj>
    </w:sdtPr>
    <w:sdtContent>
      <w:p w14:paraId="070BCF65" w14:textId="4A5B034D" w:rsidR="00AB4FC6" w:rsidRDefault="00AB4FC6" w:rsidP="00CE128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B026C91" w14:textId="77777777" w:rsidR="00AB4FC6" w:rsidRDefault="00AB4F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36907" w14:textId="77777777" w:rsidR="00EB62C6" w:rsidRDefault="00EB62C6" w:rsidP="00AB4FC6">
      <w:pPr>
        <w:spacing w:after="0" w:line="240" w:lineRule="auto"/>
      </w:pPr>
      <w:r>
        <w:separator/>
      </w:r>
    </w:p>
  </w:footnote>
  <w:footnote w:type="continuationSeparator" w:id="0">
    <w:p w14:paraId="58074725" w14:textId="77777777" w:rsidR="00EB62C6" w:rsidRDefault="00EB62C6" w:rsidP="00AB4F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AB4FC6"/>
    <w:rsid w:val="000128CD"/>
    <w:rsid w:val="00022FDB"/>
    <w:rsid w:val="00090BEE"/>
    <w:rsid w:val="00126955"/>
    <w:rsid w:val="00184C86"/>
    <w:rsid w:val="00271A45"/>
    <w:rsid w:val="002B262A"/>
    <w:rsid w:val="003D7F83"/>
    <w:rsid w:val="00487045"/>
    <w:rsid w:val="004C55D9"/>
    <w:rsid w:val="004E7FCA"/>
    <w:rsid w:val="0054163D"/>
    <w:rsid w:val="005B000C"/>
    <w:rsid w:val="005B3C78"/>
    <w:rsid w:val="006F5D33"/>
    <w:rsid w:val="007F356C"/>
    <w:rsid w:val="008242C4"/>
    <w:rsid w:val="00836081"/>
    <w:rsid w:val="008C26BE"/>
    <w:rsid w:val="00905C2D"/>
    <w:rsid w:val="009A383B"/>
    <w:rsid w:val="009D021C"/>
    <w:rsid w:val="00AB4FC6"/>
    <w:rsid w:val="00AE2941"/>
    <w:rsid w:val="00AF316D"/>
    <w:rsid w:val="00BB222E"/>
    <w:rsid w:val="00C2333E"/>
    <w:rsid w:val="00C25729"/>
    <w:rsid w:val="00CB4069"/>
    <w:rsid w:val="00CE71B5"/>
    <w:rsid w:val="00D9795C"/>
    <w:rsid w:val="00DB280D"/>
    <w:rsid w:val="00E236C0"/>
    <w:rsid w:val="00E41AA5"/>
    <w:rsid w:val="00EB62C6"/>
    <w:rsid w:val="00F33975"/>
    <w:rsid w:val="00F33D4B"/>
    <w:rsid w:val="00FD31CF"/>
  </w:rsids>
  <m:mathPr>
    <m:mathFont m:val="Cambria Math"/>
    <m:brkBin m:val="before"/>
    <m:brkBinSub m:val="--"/>
    <m:smallFrac m:val="0"/>
    <m:dispDef/>
    <m:lMargin m:val="0"/>
    <m:rMargin m:val="0"/>
    <m:defJc m:val="centerGroup"/>
    <m:wrapIndent m:val="1440"/>
    <m:intLim m:val="subSup"/>
    <m:naryLim m:val="undOvr"/>
  </m:mathPr>
  <w:themeFontLang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A8E5D"/>
  <w15:chartTrackingRefBased/>
  <w15:docId w15:val="{8E074F41-2528-7C47-A650-D411F3CF9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30"/>
        <w:lang w:eastAsia="en-US" w:bidi="th-TH"/>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FC6"/>
    <w:rPr>
      <w:sz w:val="22"/>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AB4FC6"/>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AB4FC6"/>
    <w:rPr>
      <w:rFonts w:ascii="Calibri" w:hAnsi="Calibri" w:cs="Calibri"/>
      <w:noProof/>
      <w:sz w:val="22"/>
      <w:szCs w:val="28"/>
      <w:lang w:val="en-US"/>
    </w:rPr>
  </w:style>
  <w:style w:type="paragraph" w:customStyle="1" w:styleId="EndNoteBibliography">
    <w:name w:val="EndNote Bibliography"/>
    <w:basedOn w:val="Normal"/>
    <w:link w:val="EndNoteBibliographyChar"/>
    <w:rsid w:val="00AB4FC6"/>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AB4FC6"/>
    <w:rPr>
      <w:rFonts w:ascii="Calibri" w:hAnsi="Calibri" w:cs="Calibri"/>
      <w:noProof/>
      <w:sz w:val="22"/>
      <w:szCs w:val="28"/>
      <w:lang w:val="en-US"/>
    </w:rPr>
  </w:style>
  <w:style w:type="paragraph" w:styleId="ListParagraph">
    <w:name w:val="List Paragraph"/>
    <w:basedOn w:val="Normal"/>
    <w:uiPriority w:val="34"/>
    <w:qFormat/>
    <w:rsid w:val="00AB4FC6"/>
    <w:pPr>
      <w:ind w:left="720"/>
      <w:contextualSpacing/>
    </w:pPr>
  </w:style>
  <w:style w:type="table" w:styleId="TableGrid">
    <w:name w:val="Table Grid"/>
    <w:basedOn w:val="TableNormal"/>
    <w:uiPriority w:val="39"/>
    <w:rsid w:val="00AB4FC6"/>
    <w:rPr>
      <w:sz w:val="22"/>
      <w:szCs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AB4FC6"/>
    <w:rPr>
      <w:i/>
      <w:iCs/>
      <w:color w:val="404040" w:themeColor="text1" w:themeTint="BF"/>
    </w:rPr>
  </w:style>
  <w:style w:type="paragraph" w:styleId="Header">
    <w:name w:val="header"/>
    <w:basedOn w:val="Normal"/>
    <w:link w:val="HeaderChar"/>
    <w:uiPriority w:val="99"/>
    <w:unhideWhenUsed/>
    <w:rsid w:val="00AB4F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4FC6"/>
    <w:rPr>
      <w:sz w:val="22"/>
      <w:szCs w:val="28"/>
      <w:lang w:val="en-US"/>
    </w:rPr>
  </w:style>
  <w:style w:type="paragraph" w:styleId="Footer">
    <w:name w:val="footer"/>
    <w:basedOn w:val="Normal"/>
    <w:link w:val="FooterChar"/>
    <w:uiPriority w:val="99"/>
    <w:unhideWhenUsed/>
    <w:rsid w:val="00AB4F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4FC6"/>
    <w:rPr>
      <w:sz w:val="22"/>
      <w:szCs w:val="28"/>
      <w:lang w:val="en-US"/>
    </w:rPr>
  </w:style>
  <w:style w:type="character" w:styleId="PageNumber">
    <w:name w:val="page number"/>
    <w:basedOn w:val="DefaultParagraphFont"/>
    <w:uiPriority w:val="99"/>
    <w:semiHidden/>
    <w:unhideWhenUsed/>
    <w:rsid w:val="00AB4F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5</Pages>
  <Words>877</Words>
  <Characters>5002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Sintip Pattanakuhar</dc:creator>
  <cp:keywords/>
  <dc:description/>
  <cp:lastModifiedBy>SIAM TONGPRASERT</cp:lastModifiedBy>
  <cp:revision>4</cp:revision>
  <dcterms:created xsi:type="dcterms:W3CDTF">2023-01-02T12:35:00Z</dcterms:created>
  <dcterms:modified xsi:type="dcterms:W3CDTF">2023-03-09T16:09:00Z</dcterms:modified>
</cp:coreProperties>
</file>