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E105B" w14:textId="0DB3B369" w:rsidR="00802D04" w:rsidRDefault="00802D04" w:rsidP="00802D04">
      <w:pPr>
        <w:pStyle w:val="Heading1"/>
        <w:rPr>
          <w:lang w:val="en-US"/>
        </w:rPr>
      </w:pPr>
      <w:r>
        <w:rPr>
          <w:lang w:val="en-US"/>
        </w:rPr>
        <w:t>Supplementary Material</w:t>
      </w:r>
    </w:p>
    <w:p w14:paraId="41F68B27" w14:textId="2A452000" w:rsidR="00802D04" w:rsidRDefault="00802D04" w:rsidP="00802D04">
      <w:pPr>
        <w:rPr>
          <w:lang w:val="en-US"/>
        </w:rPr>
      </w:pPr>
    </w:p>
    <w:p w14:paraId="38E968C2" w14:textId="4B2F4EEF" w:rsidR="00802D04" w:rsidRPr="00802D04" w:rsidRDefault="00802D04" w:rsidP="00802D04">
      <w:pPr>
        <w:pStyle w:val="Heading2"/>
        <w:rPr>
          <w:lang w:val="en-US"/>
        </w:rPr>
      </w:pPr>
      <w:r>
        <w:rPr>
          <w:lang w:val="en-US"/>
        </w:rPr>
        <w:t>Supplementary figure legends</w:t>
      </w:r>
    </w:p>
    <w:p w14:paraId="3B763200" w14:textId="77777777" w:rsidR="00802D04" w:rsidRDefault="00802D04" w:rsidP="00802D04">
      <w:pPr>
        <w:rPr>
          <w:rFonts w:asciiTheme="minorHAnsi" w:hAnsiTheme="minorHAnsi" w:cstheme="minorHAnsi"/>
          <w:b/>
          <w:bCs/>
          <w:sz w:val="28"/>
          <w:szCs w:val="28"/>
          <w:lang w:val="en-US"/>
        </w:rPr>
      </w:pPr>
    </w:p>
    <w:p w14:paraId="4068F3A8" w14:textId="77777777" w:rsidR="00802D04" w:rsidRPr="00A33708" w:rsidRDefault="00802D04" w:rsidP="00802D04">
      <w:pPr>
        <w:jc w:val="both"/>
        <w:rPr>
          <w:rFonts w:asciiTheme="minorHAnsi" w:hAnsiTheme="minorHAnsi" w:cstheme="minorHAnsi"/>
          <w:i/>
          <w:iCs/>
          <w:sz w:val="22"/>
          <w:szCs w:val="22"/>
        </w:rPr>
      </w:pPr>
      <w:r w:rsidRPr="00A33708">
        <w:rPr>
          <w:rFonts w:asciiTheme="minorHAnsi" w:hAnsiTheme="minorHAnsi" w:cstheme="minorHAnsi"/>
          <w:b/>
          <w:bCs/>
          <w:i/>
          <w:iCs/>
          <w:sz w:val="22"/>
          <w:szCs w:val="22"/>
        </w:rPr>
        <w:t xml:space="preserve">Supplementary Figure S1. Irradiation alters the global DNA methylation profile of hNSPCs. </w:t>
      </w:r>
      <w:r w:rsidRPr="00A33708">
        <w:rPr>
          <w:rFonts w:asciiTheme="minorHAnsi" w:hAnsiTheme="minorHAnsi" w:cstheme="minorHAnsi"/>
          <w:i/>
          <w:iCs/>
          <w:sz w:val="22"/>
          <w:szCs w:val="22"/>
          <w:lang w:val="en-US"/>
        </w:rPr>
        <w:t>Volcano plots indicating genes with the most significant change in methylation between a) the IR only and Control, b) LiCl only and Control, c) IR only and LiCl only, d) IR + LiCl and IR only, e) IR + LiCl and Control, and f) IR + LiCl and LiCl only.</w:t>
      </w:r>
    </w:p>
    <w:p w14:paraId="751DF34C" w14:textId="77777777" w:rsidR="00802D04" w:rsidRDefault="00802D04" w:rsidP="00802D04">
      <w:pPr>
        <w:jc w:val="both"/>
        <w:rPr>
          <w:rFonts w:asciiTheme="minorHAnsi" w:hAnsiTheme="minorHAnsi" w:cstheme="minorHAnsi"/>
          <w:i/>
          <w:iCs/>
          <w:sz w:val="22"/>
          <w:szCs w:val="22"/>
        </w:rPr>
      </w:pPr>
    </w:p>
    <w:p w14:paraId="190B9B01" w14:textId="77777777" w:rsidR="00802D04" w:rsidRDefault="00802D04" w:rsidP="00802D04">
      <w:pPr>
        <w:jc w:val="both"/>
        <w:rPr>
          <w:rFonts w:asciiTheme="minorHAnsi" w:hAnsiTheme="minorHAnsi" w:cstheme="minorHAnsi"/>
          <w:i/>
          <w:iCs/>
          <w:sz w:val="22"/>
          <w:szCs w:val="22"/>
          <w:lang w:val="en-US"/>
        </w:rPr>
      </w:pPr>
      <w:r w:rsidRPr="00A33708">
        <w:rPr>
          <w:rFonts w:asciiTheme="minorHAnsi" w:hAnsiTheme="minorHAnsi" w:cstheme="minorHAnsi"/>
          <w:b/>
          <w:bCs/>
          <w:i/>
          <w:iCs/>
          <w:sz w:val="22"/>
          <w:szCs w:val="22"/>
        </w:rPr>
        <w:t xml:space="preserve">Supplementary Figure S2. Comparison of the DNA methylation status of hNSPCs in the IR + LiCl group to IR only reveals distinct biological and molecular functions. </w:t>
      </w:r>
      <w:r w:rsidRPr="00A33708">
        <w:rPr>
          <w:rFonts w:asciiTheme="minorHAnsi" w:hAnsiTheme="minorHAnsi" w:cstheme="minorHAnsi"/>
          <w:i/>
          <w:iCs/>
          <w:sz w:val="22"/>
          <w:szCs w:val="22"/>
          <w:lang w:val="en-GB"/>
        </w:rPr>
        <w:t>a</w:t>
      </w:r>
      <w:r w:rsidRPr="00A33708">
        <w:rPr>
          <w:rFonts w:asciiTheme="minorHAnsi" w:hAnsiTheme="minorHAnsi" w:cstheme="minorHAnsi"/>
          <w:i/>
          <w:iCs/>
          <w:sz w:val="22"/>
          <w:szCs w:val="22"/>
        </w:rPr>
        <w:t xml:space="preserve">) </w:t>
      </w:r>
      <w:r w:rsidRPr="00A33708">
        <w:rPr>
          <w:rFonts w:asciiTheme="minorHAnsi" w:hAnsiTheme="minorHAnsi" w:cstheme="minorHAnsi"/>
          <w:i/>
          <w:iCs/>
          <w:sz w:val="22"/>
          <w:szCs w:val="22"/>
          <w:lang w:val="en-US"/>
        </w:rPr>
        <w:t xml:space="preserve">Principal component analysis plot of the normalized beta values of the treatment groups Control, LiCl only, IR only and IR + LiCl of hNSPCs. b, c) Bar plots depicting the top enriched gene ontology terms in the category b) “Biological process” and c) “Molecular function”, for the genes with significantly hypomethylated promoter regions in the IR + LiCl group vs the IR only group (n= 510 genes, with </w:t>
      </w:r>
      <w:r w:rsidRPr="00A33708">
        <w:rPr>
          <w:rFonts w:asciiTheme="minorHAnsi" w:hAnsiTheme="minorHAnsi" w:cstheme="minorHAnsi"/>
          <w:i/>
          <w:iCs/>
          <w:sz w:val="22"/>
          <w:szCs w:val="22"/>
        </w:rPr>
        <w:t>deltaBeta &lt; -0.05, p &lt; 0.05</w:t>
      </w:r>
      <w:r w:rsidRPr="00A33708">
        <w:rPr>
          <w:rFonts w:asciiTheme="minorHAnsi" w:hAnsiTheme="minorHAnsi" w:cstheme="minorHAnsi"/>
          <w:i/>
          <w:iCs/>
          <w:sz w:val="22"/>
          <w:szCs w:val="22"/>
          <w:lang w:val="en-US"/>
        </w:rPr>
        <w:t xml:space="preserve"> </w:t>
      </w:r>
      <w:r w:rsidRPr="00906395">
        <w:rPr>
          <w:rFonts w:asciiTheme="minorHAnsi" w:hAnsiTheme="minorHAnsi" w:cstheme="minorHAnsi"/>
          <w:i/>
          <w:iCs/>
          <w:sz w:val="22"/>
          <w:szCs w:val="22"/>
          <w:lang w:val="en-US"/>
        </w:rPr>
        <w:t xml:space="preserve">in </w:t>
      </w:r>
      <w:r w:rsidRPr="00A33708">
        <w:rPr>
          <w:rFonts w:asciiTheme="minorHAnsi" w:hAnsiTheme="minorHAnsi" w:cstheme="minorHAnsi"/>
          <w:i/>
          <w:iCs/>
          <w:sz w:val="22"/>
          <w:szCs w:val="22"/>
          <w:lang w:val="en-US"/>
        </w:rPr>
        <w:t xml:space="preserve">5’ UTR region), made with </w:t>
      </w:r>
      <w:proofErr w:type="spellStart"/>
      <w:r w:rsidRPr="00A33708">
        <w:rPr>
          <w:rFonts w:asciiTheme="minorHAnsi" w:hAnsiTheme="minorHAnsi" w:cstheme="minorHAnsi"/>
          <w:i/>
          <w:iCs/>
          <w:sz w:val="22"/>
          <w:szCs w:val="22"/>
          <w:lang w:val="en-US"/>
        </w:rPr>
        <w:t>WebGestalt</w:t>
      </w:r>
      <w:proofErr w:type="spellEnd"/>
      <w:r w:rsidRPr="00A33708">
        <w:rPr>
          <w:rFonts w:asciiTheme="minorHAnsi" w:hAnsiTheme="minorHAnsi" w:cstheme="minorHAnsi"/>
          <w:i/>
          <w:iCs/>
          <w:sz w:val="22"/>
          <w:szCs w:val="22"/>
          <w:lang w:val="en-US"/>
        </w:rPr>
        <w:t xml:space="preserve"> (parameters of analysis: e</w:t>
      </w:r>
      <w:r w:rsidRPr="00A33708">
        <w:rPr>
          <w:rFonts w:asciiTheme="minorHAnsi" w:hAnsiTheme="minorHAnsi" w:cstheme="minorHAnsi"/>
          <w:i/>
          <w:iCs/>
          <w:sz w:val="22"/>
          <w:szCs w:val="22"/>
        </w:rPr>
        <w:t>nrichment method: ORA</w:t>
      </w:r>
      <w:r w:rsidRPr="00A33708">
        <w:rPr>
          <w:rFonts w:asciiTheme="minorHAnsi" w:hAnsiTheme="minorHAnsi" w:cstheme="minorHAnsi"/>
          <w:i/>
          <w:iCs/>
          <w:sz w:val="22"/>
          <w:szCs w:val="22"/>
          <w:lang w:val="en-US"/>
        </w:rPr>
        <w:t>, e</w:t>
      </w:r>
      <w:r w:rsidRPr="00A33708">
        <w:rPr>
          <w:rFonts w:asciiTheme="minorHAnsi" w:hAnsiTheme="minorHAnsi" w:cstheme="minorHAnsi"/>
          <w:i/>
          <w:iCs/>
          <w:sz w:val="22"/>
          <w:szCs w:val="22"/>
        </w:rPr>
        <w:t xml:space="preserve">nrichment </w:t>
      </w:r>
      <w:r w:rsidRPr="00A33708">
        <w:rPr>
          <w:rFonts w:asciiTheme="minorHAnsi" w:hAnsiTheme="minorHAnsi" w:cstheme="minorHAnsi"/>
          <w:i/>
          <w:iCs/>
          <w:sz w:val="22"/>
          <w:szCs w:val="22"/>
          <w:lang w:val="en-US"/>
        </w:rPr>
        <w:t>c</w:t>
      </w:r>
      <w:r w:rsidRPr="00A33708">
        <w:rPr>
          <w:rFonts w:asciiTheme="minorHAnsi" w:hAnsiTheme="minorHAnsi" w:cstheme="minorHAnsi"/>
          <w:i/>
          <w:iCs/>
          <w:sz w:val="22"/>
          <w:szCs w:val="22"/>
        </w:rPr>
        <w:t>ategor</w:t>
      </w:r>
      <w:r w:rsidRPr="00A33708">
        <w:rPr>
          <w:rFonts w:asciiTheme="minorHAnsi" w:hAnsiTheme="minorHAnsi" w:cstheme="minorHAnsi"/>
          <w:i/>
          <w:iCs/>
          <w:sz w:val="22"/>
          <w:szCs w:val="22"/>
          <w:lang w:val="en-US"/>
        </w:rPr>
        <w:t>y</w:t>
      </w:r>
      <w:r w:rsidRPr="00A33708">
        <w:rPr>
          <w:rFonts w:asciiTheme="minorHAnsi" w:hAnsiTheme="minorHAnsi" w:cstheme="minorHAnsi"/>
          <w:i/>
          <w:iCs/>
          <w:sz w:val="22"/>
          <w:szCs w:val="22"/>
        </w:rPr>
        <w:t>: geneontology</w:t>
      </w:r>
      <w:r w:rsidRPr="00A33708">
        <w:rPr>
          <w:rFonts w:asciiTheme="minorHAnsi" w:hAnsiTheme="minorHAnsi" w:cstheme="minorHAnsi"/>
          <w:i/>
          <w:iCs/>
          <w:sz w:val="22"/>
          <w:szCs w:val="22"/>
          <w:lang w:val="en-US"/>
        </w:rPr>
        <w:t xml:space="preserve">, </w:t>
      </w:r>
      <w:r w:rsidRPr="00A33708">
        <w:rPr>
          <w:rFonts w:asciiTheme="minorHAnsi" w:hAnsiTheme="minorHAnsi" w:cstheme="minorHAnsi"/>
          <w:i/>
          <w:iCs/>
          <w:sz w:val="22"/>
          <w:szCs w:val="22"/>
        </w:rPr>
        <w:t>Fisher’s exact test, FDR &lt; 0.05</w:t>
      </w:r>
      <w:r w:rsidRPr="00A33708">
        <w:rPr>
          <w:rFonts w:asciiTheme="minorHAnsi" w:hAnsiTheme="minorHAnsi" w:cstheme="minorHAnsi"/>
          <w:i/>
          <w:iCs/>
          <w:sz w:val="22"/>
          <w:szCs w:val="22"/>
          <w:lang w:val="en-US"/>
        </w:rPr>
        <w:t xml:space="preserve">). </w:t>
      </w:r>
    </w:p>
    <w:p w14:paraId="6D463A85" w14:textId="77777777" w:rsidR="00802D04" w:rsidRPr="00A33708" w:rsidRDefault="00802D04" w:rsidP="00802D04">
      <w:pPr>
        <w:jc w:val="both"/>
        <w:rPr>
          <w:rFonts w:asciiTheme="minorHAnsi" w:hAnsiTheme="minorHAnsi" w:cstheme="minorHAnsi"/>
          <w:i/>
          <w:iCs/>
          <w:sz w:val="22"/>
          <w:szCs w:val="22"/>
        </w:rPr>
      </w:pPr>
    </w:p>
    <w:p w14:paraId="24CFCA9F" w14:textId="430A3B6D" w:rsidR="00802D04" w:rsidRPr="00802D04" w:rsidRDefault="00802D04" w:rsidP="00802D04">
      <w:pPr>
        <w:jc w:val="both"/>
        <w:rPr>
          <w:rFonts w:asciiTheme="minorHAnsi" w:hAnsiTheme="minorHAnsi" w:cstheme="minorHAnsi"/>
          <w:i/>
          <w:iCs/>
          <w:sz w:val="22"/>
          <w:szCs w:val="22"/>
        </w:rPr>
      </w:pPr>
      <w:r w:rsidRPr="00A33708">
        <w:rPr>
          <w:rFonts w:asciiTheme="minorHAnsi" w:hAnsiTheme="minorHAnsi" w:cstheme="minorHAnsi"/>
          <w:b/>
          <w:bCs/>
          <w:i/>
          <w:iCs/>
          <w:sz w:val="22"/>
          <w:szCs w:val="22"/>
        </w:rPr>
        <w:t xml:space="preserve">Supplementary Table S3. </w:t>
      </w:r>
      <w:r w:rsidRPr="00A33708">
        <w:rPr>
          <w:rFonts w:asciiTheme="minorHAnsi" w:hAnsiTheme="minorHAnsi" w:cstheme="minorHAnsi"/>
          <w:b/>
          <w:bCs/>
          <w:i/>
          <w:iCs/>
          <w:sz w:val="22"/>
          <w:szCs w:val="22"/>
          <w:lang w:val="en-US"/>
        </w:rPr>
        <w:t>Table of beta value difference of the promoter regions (5’ UTR) of selected genes between the IR only group</w:t>
      </w:r>
      <w:r>
        <w:rPr>
          <w:rFonts w:asciiTheme="minorHAnsi" w:hAnsiTheme="minorHAnsi" w:cstheme="minorHAnsi"/>
          <w:b/>
          <w:bCs/>
          <w:i/>
          <w:iCs/>
          <w:sz w:val="22"/>
          <w:szCs w:val="22"/>
          <w:lang w:val="en-US"/>
        </w:rPr>
        <w:t xml:space="preserve">, </w:t>
      </w:r>
      <w:r w:rsidRPr="00A33708">
        <w:rPr>
          <w:rFonts w:asciiTheme="minorHAnsi" w:hAnsiTheme="minorHAnsi" w:cstheme="minorHAnsi"/>
          <w:b/>
          <w:bCs/>
          <w:i/>
          <w:iCs/>
          <w:sz w:val="22"/>
          <w:szCs w:val="22"/>
          <w:lang w:val="en-US"/>
        </w:rPr>
        <w:t>and the IR + LiCl group</w:t>
      </w:r>
      <w:r>
        <w:rPr>
          <w:rFonts w:asciiTheme="minorHAnsi" w:hAnsiTheme="minorHAnsi" w:cstheme="minorHAnsi"/>
          <w:b/>
          <w:bCs/>
          <w:i/>
          <w:iCs/>
          <w:sz w:val="22"/>
          <w:szCs w:val="22"/>
          <w:lang w:val="en-US"/>
        </w:rPr>
        <w:t>,</w:t>
      </w:r>
      <w:r w:rsidRPr="00A33708">
        <w:rPr>
          <w:rFonts w:asciiTheme="minorHAnsi" w:hAnsiTheme="minorHAnsi" w:cstheme="minorHAnsi"/>
          <w:b/>
          <w:bCs/>
          <w:i/>
          <w:iCs/>
          <w:sz w:val="22"/>
          <w:szCs w:val="22"/>
          <w:lang w:val="en-US"/>
        </w:rPr>
        <w:t xml:space="preserve"> compared to Control.</w:t>
      </w:r>
    </w:p>
    <w:sectPr w:rsidR="00802D04" w:rsidRPr="00802D04" w:rsidSect="00802D04">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04"/>
    <w:rsid w:val="00482FAD"/>
    <w:rsid w:val="00802D04"/>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6933B4C0"/>
  <w15:chartTrackingRefBased/>
  <w15:docId w15:val="{29FFE6EB-44D2-5648-BD94-2791D1C8A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D04"/>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02D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2D0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D04"/>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2Char">
    <w:name w:val="Heading 2 Char"/>
    <w:basedOn w:val="DefaultParagraphFont"/>
    <w:link w:val="Heading2"/>
    <w:uiPriority w:val="9"/>
    <w:rsid w:val="00802D04"/>
    <w:rPr>
      <w:rFonts w:asciiTheme="majorHAnsi" w:eastAsiaTheme="majorEastAsia" w:hAnsiTheme="majorHAnsi" w:cstheme="majorBidi"/>
      <w:color w:val="2F5496" w:themeColor="accent1" w:themeShade="BF"/>
      <w:kern w:val="0"/>
      <w:sz w:val="26"/>
      <w:szCs w:val="26"/>
      <w:lang w:eastAsia="en-GB"/>
      <w14:ligatures w14:val="none"/>
    </w:rPr>
  </w:style>
  <w:style w:type="character" w:styleId="LineNumber">
    <w:name w:val="line number"/>
    <w:basedOn w:val="DefaultParagraphFont"/>
    <w:uiPriority w:val="99"/>
    <w:semiHidden/>
    <w:unhideWhenUsed/>
    <w:rsid w:val="0080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192</Words>
  <Characters>1139</Characters>
  <Application>Microsoft Office Word</Application>
  <DocSecurity>0</DocSecurity>
  <Lines>20</Lines>
  <Paragraphs>4</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Neofytou</dc:creator>
  <cp:keywords/>
  <dc:description/>
  <cp:lastModifiedBy>Christina Neofytou</cp:lastModifiedBy>
  <cp:revision>2</cp:revision>
  <dcterms:created xsi:type="dcterms:W3CDTF">2023-03-14T12:54:00Z</dcterms:created>
  <dcterms:modified xsi:type="dcterms:W3CDTF">2023-03-14T13:03:00Z</dcterms:modified>
</cp:coreProperties>
</file>