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565A27" w14:textId="67CB4F6E" w:rsidR="006007DF" w:rsidRPr="00411C4D" w:rsidRDefault="006007DF">
      <w:pPr>
        <w:rPr>
          <w:b/>
          <w:bCs/>
          <w:sz w:val="36"/>
          <w:szCs w:val="36"/>
          <w:lang w:val="en-GB"/>
        </w:rPr>
      </w:pPr>
      <w:r w:rsidRPr="00411C4D">
        <w:rPr>
          <w:b/>
          <w:bCs/>
          <w:sz w:val="36"/>
          <w:szCs w:val="36"/>
          <w:lang w:val="en-GB"/>
        </w:rPr>
        <w:t>Supplementary Figures</w:t>
      </w:r>
    </w:p>
    <w:p w14:paraId="7DB33049" w14:textId="77777777" w:rsidR="007E579B" w:rsidRPr="00411C4D" w:rsidRDefault="007E579B">
      <w:pPr>
        <w:rPr>
          <w:b/>
          <w:bCs/>
          <w:sz w:val="36"/>
          <w:szCs w:val="36"/>
          <w:lang w:val="en-GB"/>
        </w:rPr>
      </w:pPr>
    </w:p>
    <w:p w14:paraId="2DF31900" w14:textId="22963429" w:rsidR="006007DF" w:rsidRPr="00411C4D" w:rsidRDefault="0042305D">
      <w:pPr>
        <w:rPr>
          <w:lang w:val="en-GB"/>
        </w:rPr>
      </w:pPr>
      <w:r>
        <w:rPr>
          <w:noProof/>
          <w:lang w:val="en-GB"/>
        </w:rPr>
        <w:drawing>
          <wp:inline distT="0" distB="0" distL="0" distR="0" wp14:anchorId="775BC3A3" wp14:editId="743B17A7">
            <wp:extent cx="5400040" cy="5827395"/>
            <wp:effectExtent l="0" t="0" r="0" b="1905"/>
            <wp:docPr id="7" name="Picture 7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Diagram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5827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05F81D" w14:textId="37B3FADF" w:rsidR="006007DF" w:rsidRPr="00411C4D" w:rsidRDefault="006007DF" w:rsidP="006007DF">
      <w:pPr>
        <w:spacing w:line="360" w:lineRule="auto"/>
        <w:jc w:val="both"/>
        <w:rPr>
          <w:lang w:val="en-GB"/>
        </w:rPr>
      </w:pPr>
      <w:r w:rsidRPr="00411C4D">
        <w:rPr>
          <w:b/>
          <w:bCs/>
          <w:lang w:val="en-GB"/>
        </w:rPr>
        <w:t xml:space="preserve">Supplementary Figure 1. </w:t>
      </w:r>
      <w:r w:rsidRPr="00411C4D">
        <w:rPr>
          <w:lang w:val="en-GB"/>
        </w:rPr>
        <w:t xml:space="preserve">Comparison of the flux maps of X-33 obtained in this study (green boxes), where the cells were grown in batch mode, and the results reported by </w:t>
      </w:r>
      <w:proofErr w:type="spellStart"/>
      <w:r w:rsidRPr="00411C4D">
        <w:rPr>
          <w:lang w:val="en-GB"/>
        </w:rPr>
        <w:t>Tomàs-Gamisans</w:t>
      </w:r>
      <w:proofErr w:type="spellEnd"/>
      <w:r w:rsidRPr="00411C4D">
        <w:rPr>
          <w:lang w:val="en-GB"/>
        </w:rPr>
        <w:t xml:space="preserve"> (2019), where the cells were grown in chemostat mode at D = 0.16 h</w:t>
      </w:r>
      <w:r w:rsidRPr="00411C4D">
        <w:rPr>
          <w:vertAlign w:val="superscript"/>
          <w:lang w:val="en-GB"/>
        </w:rPr>
        <w:t>-1</w:t>
      </w:r>
      <w:r w:rsidRPr="00411C4D">
        <w:rPr>
          <w:lang w:val="en-GB"/>
        </w:rPr>
        <w:t xml:space="preserve"> (yellow boxes) and </w:t>
      </w:r>
      <w:r w:rsidR="00F64408">
        <w:rPr>
          <w:lang w:val="en-GB"/>
        </w:rPr>
        <w:br/>
      </w:r>
      <w:r w:rsidRPr="00411C4D">
        <w:rPr>
          <w:lang w:val="en-GB"/>
        </w:rPr>
        <w:t>0.10 h</w:t>
      </w:r>
      <w:r w:rsidRPr="00411C4D">
        <w:rPr>
          <w:vertAlign w:val="superscript"/>
          <w:lang w:val="en-GB"/>
        </w:rPr>
        <w:t>-1</w:t>
      </w:r>
      <w:r w:rsidRPr="00411C4D">
        <w:rPr>
          <w:lang w:val="en-GB"/>
        </w:rPr>
        <w:t xml:space="preserve"> (red boxes). The abbreviation of the metabolites can be found on Figure 4. </w:t>
      </w:r>
    </w:p>
    <w:p w14:paraId="14A4F1F3" w14:textId="77777777" w:rsidR="006007DF" w:rsidRPr="00411C4D" w:rsidRDefault="006007DF">
      <w:pPr>
        <w:rPr>
          <w:lang w:val="en-GB"/>
        </w:rPr>
      </w:pPr>
      <w:r w:rsidRPr="00411C4D">
        <w:rPr>
          <w:lang w:val="en-GB"/>
        </w:rPr>
        <w:br w:type="page"/>
      </w:r>
    </w:p>
    <w:p w14:paraId="04A221F0" w14:textId="77777777" w:rsidR="006007DF" w:rsidRPr="00411C4D" w:rsidRDefault="006007DF" w:rsidP="006007DF">
      <w:pPr>
        <w:spacing w:line="360" w:lineRule="auto"/>
        <w:jc w:val="both"/>
        <w:rPr>
          <w:lang w:val="en-GB"/>
        </w:rPr>
      </w:pPr>
      <w:r w:rsidRPr="00411C4D">
        <w:rPr>
          <w:noProof/>
          <w:lang w:val="en-GB"/>
        </w:rPr>
        <w:lastRenderedPageBreak/>
        <w:drawing>
          <wp:inline distT="0" distB="0" distL="0" distR="0" wp14:anchorId="7CC9F414" wp14:editId="6C40B745">
            <wp:extent cx="5295014" cy="3476820"/>
            <wp:effectExtent l="0" t="0" r="1270" b="0"/>
            <wp:docPr id="3" name="Picture 3" descr="Chart, bar chart, line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hart, bar chart, line chart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818" t="10137" r="15307" b="4910"/>
                    <a:stretch/>
                  </pic:blipFill>
                  <pic:spPr bwMode="auto">
                    <a:xfrm>
                      <a:off x="0" y="0"/>
                      <a:ext cx="5310406" cy="34869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2C58D6D" w14:textId="4926BF7F" w:rsidR="008C712A" w:rsidRPr="00411C4D" w:rsidRDefault="006007DF" w:rsidP="006007DF">
      <w:pPr>
        <w:spacing w:line="360" w:lineRule="auto"/>
        <w:jc w:val="both"/>
        <w:rPr>
          <w:lang w:val="en-GB"/>
        </w:rPr>
      </w:pPr>
      <w:r w:rsidRPr="00411C4D">
        <w:rPr>
          <w:b/>
          <w:bCs/>
          <w:lang w:val="en-GB"/>
        </w:rPr>
        <w:t xml:space="preserve">Supplementary Figure S2. </w:t>
      </w:r>
      <w:r w:rsidRPr="00411C4D">
        <w:rPr>
          <w:lang w:val="en-GB"/>
        </w:rPr>
        <w:t>Biomass, product, and by-product yields and µ</w:t>
      </w:r>
      <w:r w:rsidRPr="00411C4D">
        <w:rPr>
          <w:vertAlign w:val="subscript"/>
          <w:lang w:val="en-GB"/>
        </w:rPr>
        <w:t>max</w:t>
      </w:r>
      <w:r w:rsidRPr="00411C4D">
        <w:rPr>
          <w:lang w:val="en-GB"/>
        </w:rPr>
        <w:t xml:space="preserve"> of the parental </w:t>
      </w:r>
      <w:r w:rsidRPr="00411C4D">
        <w:rPr>
          <w:i/>
          <w:iCs/>
          <w:lang w:val="en-GB"/>
        </w:rPr>
        <w:t>P. pastoris</w:t>
      </w:r>
      <w:r w:rsidRPr="00411C4D">
        <w:rPr>
          <w:lang w:val="en-GB"/>
        </w:rPr>
        <w:t xml:space="preserve"> strain and nine 3-HP-producing strains cultivated in glycerol batch mini bioreactor cultures at pH 5. Orange bars show the biomass yield, grey bars show the 3-HP yield, green bars show the arabitol yield, and blue diamond depict the µ</w:t>
      </w:r>
      <w:r w:rsidRPr="00411C4D">
        <w:rPr>
          <w:vertAlign w:val="subscript"/>
          <w:lang w:val="en-GB"/>
        </w:rPr>
        <w:t>max</w:t>
      </w:r>
      <w:r w:rsidRPr="00411C4D">
        <w:rPr>
          <w:lang w:val="en-GB"/>
        </w:rPr>
        <w:t>. Standard deviation of the replicates is depicted.</w:t>
      </w:r>
    </w:p>
    <w:p w14:paraId="6E8D346A" w14:textId="77777777" w:rsidR="008C712A" w:rsidRPr="00411C4D" w:rsidRDefault="008C712A">
      <w:pPr>
        <w:rPr>
          <w:lang w:val="en-GB"/>
        </w:rPr>
      </w:pPr>
      <w:r w:rsidRPr="00411C4D">
        <w:rPr>
          <w:lang w:val="en-GB"/>
        </w:rPr>
        <w:br w:type="page"/>
      </w:r>
    </w:p>
    <w:p w14:paraId="4FA921DA" w14:textId="6C797C67" w:rsidR="00267CC9" w:rsidRPr="00411C4D" w:rsidRDefault="001653C4">
      <w:pPr>
        <w:rPr>
          <w:b/>
          <w:bCs/>
          <w:lang w:val="en-GB"/>
        </w:rPr>
      </w:pPr>
      <w:r>
        <w:rPr>
          <w:noProof/>
        </w:rPr>
        <w:lastRenderedPageBreak/>
        <w:drawing>
          <wp:inline distT="0" distB="0" distL="0" distR="0" wp14:anchorId="6F69DC45" wp14:editId="0A698F69">
            <wp:extent cx="5400040" cy="5775325"/>
            <wp:effectExtent l="0" t="0" r="0" b="0"/>
            <wp:docPr id="1" name="Picture 1" descr="Diagram,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, map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563" cy="57758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59693A" w14:textId="0EAC0D90" w:rsidR="008C712A" w:rsidRPr="00411C4D" w:rsidRDefault="00267CC9" w:rsidP="00411C4D">
      <w:pPr>
        <w:spacing w:line="360" w:lineRule="auto"/>
        <w:jc w:val="both"/>
        <w:rPr>
          <w:b/>
          <w:bCs/>
          <w:lang w:val="en-GB"/>
        </w:rPr>
      </w:pPr>
      <w:r w:rsidRPr="00411C4D">
        <w:rPr>
          <w:b/>
          <w:bCs/>
          <w:lang w:val="en-GB"/>
        </w:rPr>
        <w:t xml:space="preserve">Supplementary Figure </w:t>
      </w:r>
      <w:r w:rsidR="00F64408">
        <w:rPr>
          <w:b/>
          <w:bCs/>
          <w:lang w:val="en-GB"/>
        </w:rPr>
        <w:t>S</w:t>
      </w:r>
      <w:r w:rsidRPr="00411C4D">
        <w:rPr>
          <w:b/>
          <w:bCs/>
          <w:lang w:val="en-GB"/>
        </w:rPr>
        <w:t xml:space="preserve">3. </w:t>
      </w:r>
      <w:r w:rsidR="00411C4D" w:rsidRPr="00411C4D">
        <w:rPr>
          <w:lang w:val="en-GB"/>
        </w:rPr>
        <w:t xml:space="preserve">Flux map with the relative fluxes for the </w:t>
      </w:r>
      <w:r w:rsidR="00411C4D">
        <w:rPr>
          <w:lang w:val="en-GB"/>
        </w:rPr>
        <w:t>PpHP8</w:t>
      </w:r>
      <w:r w:rsidR="00411C4D" w:rsidRPr="00411C4D">
        <w:rPr>
          <w:lang w:val="en-GB"/>
        </w:rPr>
        <w:t xml:space="preserve"> strain grown at pH 5 and pH 3.5. Metabolite abbreviations can be found in the caption of Figure 4. </w:t>
      </w:r>
      <w:r w:rsidR="008C712A" w:rsidRPr="00411C4D">
        <w:rPr>
          <w:b/>
          <w:bCs/>
          <w:lang w:val="en-GB"/>
        </w:rPr>
        <w:br w:type="page"/>
      </w:r>
    </w:p>
    <w:p w14:paraId="4DB8C767" w14:textId="658B4DC7" w:rsidR="006007DF" w:rsidRPr="00411C4D" w:rsidRDefault="002856A0" w:rsidP="006007DF">
      <w:pPr>
        <w:spacing w:line="360" w:lineRule="auto"/>
        <w:jc w:val="both"/>
        <w:rPr>
          <w:lang w:val="en-GB"/>
        </w:rPr>
      </w:pPr>
      <w:r>
        <w:rPr>
          <w:noProof/>
          <w:lang w:val="en-GB"/>
        </w:rPr>
        <w:lastRenderedPageBreak/>
        <w:drawing>
          <wp:inline distT="0" distB="0" distL="0" distR="0" wp14:anchorId="2C33AA74" wp14:editId="29E95BD7">
            <wp:extent cx="5400040" cy="3037840"/>
            <wp:effectExtent l="0" t="0" r="0" b="0"/>
            <wp:docPr id="4" name="Picture 4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Chart&#10;&#10;Description automatically generated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037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9CB89BC" w14:textId="283CB532" w:rsidR="006007DF" w:rsidRPr="00411C4D" w:rsidRDefault="006007DF" w:rsidP="006007DF">
      <w:pPr>
        <w:spacing w:line="360" w:lineRule="auto"/>
        <w:jc w:val="both"/>
        <w:rPr>
          <w:lang w:val="en-GB"/>
        </w:rPr>
      </w:pPr>
      <w:r w:rsidRPr="00411C4D">
        <w:rPr>
          <w:b/>
          <w:bCs/>
          <w:lang w:val="en-GB"/>
        </w:rPr>
        <w:t>Supplementary Figure S</w:t>
      </w:r>
      <w:r w:rsidR="008C712A" w:rsidRPr="00411C4D">
        <w:rPr>
          <w:b/>
          <w:bCs/>
          <w:lang w:val="en-GB"/>
        </w:rPr>
        <w:t>4</w:t>
      </w:r>
      <w:r w:rsidRPr="00411C4D">
        <w:rPr>
          <w:b/>
          <w:bCs/>
          <w:lang w:val="en-GB"/>
        </w:rPr>
        <w:t xml:space="preserve">. </w:t>
      </w:r>
      <w:r w:rsidRPr="00411C4D">
        <w:rPr>
          <w:bCs/>
          <w:lang w:val="en-GB"/>
        </w:rPr>
        <w:t xml:space="preserve">Production and consumption rates of </w:t>
      </w:r>
      <w:r w:rsidRPr="00411C4D">
        <w:rPr>
          <w:lang w:val="en-GB"/>
        </w:rPr>
        <w:t xml:space="preserve">NADPH (estimated from the </w:t>
      </w:r>
      <w:r w:rsidRPr="00411C4D">
        <w:rPr>
          <w:vertAlign w:val="superscript"/>
          <w:lang w:val="en-GB"/>
        </w:rPr>
        <w:t>13</w:t>
      </w:r>
      <w:r w:rsidRPr="00411C4D">
        <w:rPr>
          <w:lang w:val="en-GB"/>
        </w:rPr>
        <w:t>C-MFA results) and specific glycerol uptake rates for each strain</w:t>
      </w:r>
      <w:r w:rsidR="00B51D9D" w:rsidRPr="00411C4D">
        <w:rPr>
          <w:lang w:val="en-GB"/>
        </w:rPr>
        <w:t>.</w:t>
      </w:r>
    </w:p>
    <w:sectPr w:rsidR="006007DF" w:rsidRPr="00411C4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07DF"/>
    <w:rsid w:val="001653C4"/>
    <w:rsid w:val="00267CC9"/>
    <w:rsid w:val="002856A0"/>
    <w:rsid w:val="00411C4D"/>
    <w:rsid w:val="0042305D"/>
    <w:rsid w:val="006007DF"/>
    <w:rsid w:val="007E579B"/>
    <w:rsid w:val="008C712A"/>
    <w:rsid w:val="00B51D9D"/>
    <w:rsid w:val="00F64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a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CAB331D"/>
  <w15:chartTrackingRefBased/>
  <w15:docId w15:val="{05BECE25-7ED9-4B7D-8ADB-92A962ACC2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a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t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tiff"/><Relationship Id="rId5" Type="http://schemas.openxmlformats.org/officeDocument/2006/relationships/image" Target="media/image2.tiff"/><Relationship Id="rId4" Type="http://schemas.openxmlformats.org/officeDocument/2006/relationships/image" Target="media/image1.ti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166</Words>
  <Characters>947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Albert Fina Romero</dc:creator>
  <cp:keywords/>
  <dc:description/>
  <cp:lastModifiedBy>Albert Fina Romero</cp:lastModifiedBy>
  <cp:revision>9</cp:revision>
  <dcterms:created xsi:type="dcterms:W3CDTF">2022-10-08T11:27:00Z</dcterms:created>
  <dcterms:modified xsi:type="dcterms:W3CDTF">2023-02-23T18:38:00Z</dcterms:modified>
</cp:coreProperties>
</file>