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0DA58B" w14:textId="77777777" w:rsidR="00173AF8" w:rsidRPr="00115E34" w:rsidRDefault="00173AF8" w:rsidP="00173AF8">
      <w:pPr>
        <w:pStyle w:val="ListParagraph"/>
        <w:spacing w:after="240" w:line="480" w:lineRule="auto"/>
        <w:ind w:left="0"/>
        <w:contextualSpacing w:val="0"/>
        <w:rPr>
          <w:b/>
          <w:bCs/>
        </w:rPr>
      </w:pPr>
      <w:r w:rsidRPr="00115E34">
        <w:rPr>
          <w:b/>
          <w:bCs/>
        </w:rPr>
        <w:t>Extended data</w:t>
      </w:r>
    </w:p>
    <w:p w14:paraId="3694AE3F" w14:textId="77777777" w:rsidR="00173AF8" w:rsidRPr="00115E34" w:rsidRDefault="00173AF8" w:rsidP="00173AF8">
      <w:pPr>
        <w:pStyle w:val="ListParagraph"/>
        <w:spacing w:after="240" w:line="480" w:lineRule="auto"/>
        <w:ind w:left="0"/>
      </w:pPr>
      <w:r w:rsidRPr="00F42112">
        <w:rPr>
          <w:noProof/>
        </w:rPr>
        <w:drawing>
          <wp:inline distT="0" distB="0" distL="0" distR="0" wp14:anchorId="0E076CE2" wp14:editId="4DE8CE7A">
            <wp:extent cx="5571711" cy="2657475"/>
            <wp:effectExtent l="0" t="0" r="0" b="0"/>
            <wp:docPr id="8" name="Picture 8" descr="Chart, bar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, histo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8630" cy="266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ED7E2F" w14:textId="77777777" w:rsidR="00173AF8" w:rsidRPr="00115E34" w:rsidRDefault="00173AF8" w:rsidP="00173AF8">
      <w:pPr>
        <w:spacing w:after="240" w:line="480" w:lineRule="auto"/>
      </w:pPr>
      <w:r w:rsidRPr="00115E34">
        <w:rPr>
          <w:b/>
        </w:rPr>
        <w:t xml:space="preserve">Extended Data Fig. 1 | Levels of SHM among antibody sequences. </w:t>
      </w:r>
      <w:r w:rsidRPr="00115E34">
        <w:t xml:space="preserve">Histogram of </w:t>
      </w:r>
      <w:r>
        <w:t xml:space="preserve">the </w:t>
      </w:r>
      <w:r w:rsidRPr="00115E34">
        <w:t xml:space="preserve">number of </w:t>
      </w:r>
      <w:bookmarkStart w:id="0" w:name="OLE_LINK1"/>
      <w:r w:rsidRPr="00115E34">
        <w:t xml:space="preserve">nucleotide mutations from germline of combined IgG heavy and light chains from blood PBs </w:t>
      </w:r>
      <w:bookmarkEnd w:id="0"/>
      <w:r w:rsidRPr="00115E34">
        <w:t xml:space="preserve">collected 7 days after administration of the third dose (blue, </w:t>
      </w:r>
      <w:r w:rsidRPr="00115E34">
        <w:rPr>
          <w:i/>
        </w:rPr>
        <w:t>n = </w:t>
      </w:r>
      <w:r w:rsidRPr="00115E34">
        <w:t xml:space="preserve">22,319) or fourth dose (grey, </w:t>
      </w:r>
      <w:r w:rsidRPr="00115E34">
        <w:rPr>
          <w:i/>
        </w:rPr>
        <w:t>n = </w:t>
      </w:r>
      <w:r w:rsidRPr="00115E34">
        <w:t xml:space="preserve">10,629) of RTS,S. </w:t>
      </w:r>
    </w:p>
    <w:p w14:paraId="320E75A4" w14:textId="77777777" w:rsidR="00173AF8" w:rsidRPr="00115E34" w:rsidRDefault="00173AF8" w:rsidP="00173AF8">
      <w:pPr>
        <w:pStyle w:val="ListParagraph"/>
        <w:spacing w:after="240" w:line="480" w:lineRule="auto"/>
        <w:ind w:left="0"/>
      </w:pPr>
      <w:r w:rsidRPr="00115E34">
        <w:br w:type="page"/>
      </w:r>
    </w:p>
    <w:p w14:paraId="6FC3E0A1" w14:textId="77777777" w:rsidR="00173AF8" w:rsidRPr="00115E34" w:rsidRDefault="00173AF8" w:rsidP="00173AF8">
      <w:pPr>
        <w:spacing w:after="240" w:line="480" w:lineRule="auto"/>
        <w:rPr>
          <w:b/>
        </w:rPr>
      </w:pPr>
      <w:r w:rsidRPr="00F42112">
        <w:rPr>
          <w:b/>
          <w:noProof/>
        </w:rPr>
        <w:lastRenderedPageBreak/>
        <w:drawing>
          <wp:inline distT="0" distB="0" distL="0" distR="0" wp14:anchorId="7745F6E2" wp14:editId="521D30C4">
            <wp:extent cx="4874523" cy="6858000"/>
            <wp:effectExtent l="0" t="0" r="2540" b="0"/>
            <wp:docPr id="21" name="Picture 21" descr="Time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EE7ED7F-3882-1F46-3081-A8F5F63F98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8" descr="Timeline&#10;&#10;Description automatically generated">
                      <a:extLst>
                        <a:ext uri="{FF2B5EF4-FFF2-40B4-BE49-F238E27FC236}">
                          <a16:creationId xmlns:a16="http://schemas.microsoft.com/office/drawing/2014/main" id="{6EE7ED7F-3882-1F46-3081-A8F5F63F98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452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D73D7" w14:textId="77777777" w:rsidR="00173AF8" w:rsidRPr="00115E34" w:rsidRDefault="00173AF8" w:rsidP="00173AF8">
      <w:pPr>
        <w:spacing w:after="240" w:line="480" w:lineRule="auto"/>
        <w:rPr>
          <w:b/>
        </w:rPr>
      </w:pPr>
      <w:r w:rsidRPr="00F42112">
        <w:rPr>
          <w:b/>
          <w:noProof/>
        </w:rPr>
        <w:lastRenderedPageBreak/>
        <w:drawing>
          <wp:inline distT="0" distB="0" distL="0" distR="0" wp14:anchorId="44E4A200" wp14:editId="1227A8D4">
            <wp:extent cx="5252448" cy="6858000"/>
            <wp:effectExtent l="0" t="0" r="5715" b="0"/>
            <wp:docPr id="26" name="Picture 26" descr="Diagram, time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D6EFC2D-2AC0-955E-3148-A8253FB85F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10" descr="Diagram, timeline&#10;&#10;Description automatically generated">
                      <a:extLst>
                        <a:ext uri="{FF2B5EF4-FFF2-40B4-BE49-F238E27FC236}">
                          <a16:creationId xmlns:a16="http://schemas.microsoft.com/office/drawing/2014/main" id="{7D6EFC2D-2AC0-955E-3148-A8253FB85F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2448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1DE30" w14:textId="77777777" w:rsidR="00173AF8" w:rsidRPr="00115E34" w:rsidRDefault="00173AF8" w:rsidP="00173AF8">
      <w:pPr>
        <w:spacing w:after="240" w:line="480" w:lineRule="auto"/>
        <w:rPr>
          <w:b/>
        </w:rPr>
      </w:pPr>
    </w:p>
    <w:p w14:paraId="5DD5C488" w14:textId="77777777" w:rsidR="00173AF8" w:rsidRPr="00115E34" w:rsidRDefault="00173AF8" w:rsidP="00173AF8">
      <w:pPr>
        <w:spacing w:after="240" w:line="480" w:lineRule="auto"/>
        <w:rPr>
          <w:b/>
        </w:rPr>
      </w:pPr>
      <w:r w:rsidRPr="00F42112">
        <w:rPr>
          <w:b/>
          <w:noProof/>
        </w:rPr>
        <w:lastRenderedPageBreak/>
        <w:drawing>
          <wp:inline distT="0" distB="0" distL="0" distR="0" wp14:anchorId="168483CB" wp14:editId="74C0ADC1">
            <wp:extent cx="5040313" cy="6858000"/>
            <wp:effectExtent l="0" t="0" r="8255" b="0"/>
            <wp:docPr id="13" name="Picture 13" descr="Chart, histogram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1995914-907A-8FDC-7BEE-4208A5673A7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 descr="Chart, histogram&#10;&#10;Description automatically generated">
                      <a:extLst>
                        <a:ext uri="{FF2B5EF4-FFF2-40B4-BE49-F238E27FC236}">
                          <a16:creationId xmlns:a16="http://schemas.microsoft.com/office/drawing/2014/main" id="{61995914-907A-8FDC-7BEE-4208A5673A7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313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1813A" w14:textId="77777777" w:rsidR="00173AF8" w:rsidRDefault="00173AF8" w:rsidP="00173AF8">
      <w:pPr>
        <w:spacing w:after="240" w:line="480" w:lineRule="auto"/>
      </w:pPr>
      <w:r w:rsidRPr="00115E34">
        <w:rPr>
          <w:b/>
        </w:rPr>
        <w:t>Extended Data Fig. 2 | IgG sequence and repertoire features of the PB response after the third dose of RTS,S. a</w:t>
      </w:r>
      <w:r>
        <w:rPr>
          <w:b/>
        </w:rPr>
        <w:t>–</w:t>
      </w:r>
      <w:r w:rsidRPr="00115E34">
        <w:rPr>
          <w:b/>
        </w:rPr>
        <w:t>c</w:t>
      </w:r>
      <w:r w:rsidRPr="00115E34">
        <w:t xml:space="preserve"> Germline V-gene usage compared between protected (green, </w:t>
      </w:r>
      <w:r w:rsidRPr="00115E34">
        <w:rPr>
          <w:i/>
        </w:rPr>
        <w:t>n = </w:t>
      </w:r>
      <w:r w:rsidRPr="00115E34">
        <w:t xml:space="preserve">36) and not protected (blue, </w:t>
      </w:r>
      <w:r w:rsidRPr="00115E34">
        <w:rPr>
          <w:i/>
        </w:rPr>
        <w:t>n = </w:t>
      </w:r>
      <w:r w:rsidRPr="00115E34">
        <w:t xml:space="preserve">9) subjects and across dose groups for </w:t>
      </w:r>
      <w:r w:rsidRPr="00115E34">
        <w:rPr>
          <w:b/>
        </w:rPr>
        <w:t>a,</w:t>
      </w:r>
      <w:r w:rsidRPr="00115E34">
        <w:t xml:space="preserve"> heavy and, </w:t>
      </w:r>
      <w:r w:rsidRPr="00115E34">
        <w:rPr>
          <w:b/>
        </w:rPr>
        <w:t>b,</w:t>
      </w:r>
      <w:r w:rsidRPr="00115E34">
        <w:t xml:space="preserve"> light chains, </w:t>
      </w:r>
      <w:r w:rsidRPr="00115E34">
        <w:lastRenderedPageBreak/>
        <w:t xml:space="preserve">with IGHV3-30, IGHV3-33, KV1-5, KV3-20, and LV1-40 showing high prevalence. </w:t>
      </w:r>
      <w:r w:rsidRPr="00115E34">
        <w:rPr>
          <w:b/>
        </w:rPr>
        <w:t>c,</w:t>
      </w:r>
      <w:r w:rsidRPr="00115E34">
        <w:t xml:space="preserve"> Specific pairings of heavy and light chain genes. </w:t>
      </w:r>
      <w:r w:rsidRPr="00115E34">
        <w:rPr>
          <w:b/>
        </w:rPr>
        <w:t>d,</w:t>
      </w:r>
      <w:r w:rsidRPr="00115E34" w:rsidDel="0090347A">
        <w:rPr>
          <w:b/>
        </w:rPr>
        <w:t xml:space="preserve"> </w:t>
      </w:r>
      <w:r w:rsidRPr="00115E34">
        <w:t xml:space="preserve">Three heavy chain germline genes, </w:t>
      </w:r>
      <w:r w:rsidRPr="00302601">
        <w:t xml:space="preserve">IGHV3-73, IGHV4-61, </w:t>
      </w:r>
      <w:r>
        <w:t xml:space="preserve">and </w:t>
      </w:r>
      <w:r w:rsidRPr="00302601">
        <w:t>IGHV5-51</w:t>
      </w:r>
      <w:r w:rsidRPr="00115E34">
        <w:t xml:space="preserve">, </w:t>
      </w:r>
      <w:r>
        <w:t>were</w:t>
      </w:r>
      <w:r w:rsidRPr="00115E34">
        <w:t xml:space="preserve"> </w:t>
      </w:r>
      <w:r>
        <w:t xml:space="preserve">initially </w:t>
      </w:r>
      <w:r w:rsidRPr="00115E34">
        <w:t>associated with vaccinees</w:t>
      </w:r>
      <w:r>
        <w:t>’</w:t>
      </w:r>
      <w:r w:rsidRPr="00115E34">
        <w:t xml:space="preserve"> protection status (</w:t>
      </w:r>
      <w:r w:rsidRPr="00115E34">
        <w:rPr>
          <w:i/>
          <w:iCs/>
        </w:rPr>
        <w:t>P</w:t>
      </w:r>
      <w:r w:rsidRPr="00115E34">
        <w:t> &lt; 0.05, Wilcoxon Rank Sum test) but were not associated after correcting for multiple hypothesis testing</w:t>
      </w:r>
      <w:r>
        <w:t>. A</w:t>
      </w:r>
      <w:r w:rsidRPr="00115E34">
        <w:t xml:space="preserve">ll were </w:t>
      </w:r>
      <w:r w:rsidRPr="00115E34">
        <w:rPr>
          <w:i/>
          <w:iCs/>
        </w:rPr>
        <w:t>P</w:t>
      </w:r>
      <w:r w:rsidRPr="00115E34">
        <w:t> &gt; 0.05, Benjamini–Hochberg or Bonferroni tests. No significant associations were detected between vaccinees</w:t>
      </w:r>
      <w:r>
        <w:t>’</w:t>
      </w:r>
      <w:r w:rsidRPr="00115E34">
        <w:t xml:space="preserve"> protection status and dose groups for, </w:t>
      </w:r>
      <w:r w:rsidRPr="00115E34">
        <w:rPr>
          <w:b/>
        </w:rPr>
        <w:t>e</w:t>
      </w:r>
      <w:r>
        <w:rPr>
          <w:b/>
        </w:rPr>
        <w:t>–</w:t>
      </w:r>
      <w:r w:rsidRPr="00115E34">
        <w:rPr>
          <w:b/>
        </w:rPr>
        <w:t>f</w:t>
      </w:r>
      <w:r w:rsidRPr="00115E34">
        <w:t>, IgG heavy and light chain constant region subclass (</w:t>
      </w:r>
      <w:r w:rsidRPr="00115E34">
        <w:rPr>
          <w:i/>
          <w:iCs/>
        </w:rPr>
        <w:t>P</w:t>
      </w:r>
      <w:r w:rsidRPr="00115E34">
        <w:t xml:space="preserve"> &gt; 0.05 for all analyses, Wilcoxon Rank Sum test), </w:t>
      </w:r>
      <w:r w:rsidRPr="00115E34">
        <w:rPr>
          <w:b/>
        </w:rPr>
        <w:t>g,</w:t>
      </w:r>
      <w:r w:rsidRPr="00115E34">
        <w:t xml:space="preserve"> repertoire clonality for analyses that included the lineages that contain only one PB (Normali</w:t>
      </w:r>
      <w:r>
        <w:t>sed</w:t>
      </w:r>
      <w:r w:rsidRPr="00115E34">
        <w:t xml:space="preserve"> Shannon entropy, </w:t>
      </w:r>
      <w:r w:rsidRPr="00115E34">
        <w:rPr>
          <w:i/>
          <w:iCs/>
        </w:rPr>
        <w:t>P</w:t>
      </w:r>
      <w:r w:rsidRPr="00115E34">
        <w:t> &gt; 0.05 for all analyses, Wilcoxon rank sum test or Kolmogorov</w:t>
      </w:r>
      <w:r>
        <w:t>–</w:t>
      </w:r>
      <w:r w:rsidRPr="00115E34">
        <w:t xml:space="preserve">Smirnov test), and length of the, </w:t>
      </w:r>
      <w:r w:rsidRPr="00115E34">
        <w:rPr>
          <w:b/>
        </w:rPr>
        <w:t>h,</w:t>
      </w:r>
      <w:r w:rsidRPr="00115E34">
        <w:t xml:space="preserve"> heavy or, </w:t>
      </w:r>
      <w:r w:rsidRPr="00115E34">
        <w:rPr>
          <w:b/>
        </w:rPr>
        <w:t>i,</w:t>
      </w:r>
      <w:r w:rsidRPr="00115E34">
        <w:t xml:space="preserve"> light chain complementarity determining region 3 (CDR3, </w:t>
      </w:r>
      <w:r w:rsidRPr="00115E34">
        <w:rPr>
          <w:i/>
          <w:iCs/>
        </w:rPr>
        <w:t>P</w:t>
      </w:r>
      <w:r w:rsidRPr="00115E34">
        <w:t> &gt; 0.05 for both, Wilcoxon Rank Sum test).</w:t>
      </w:r>
      <w:r>
        <w:t xml:space="preserve"> B</w:t>
      </w:r>
      <w:r w:rsidRPr="005E535D">
        <w:t xml:space="preserve">oxes indicate interquartile ranges, lines within boxes </w:t>
      </w:r>
      <w:r>
        <w:t>are</w:t>
      </w:r>
      <w:r w:rsidRPr="005E535D">
        <w:t xml:space="preserve"> medians,</w:t>
      </w:r>
      <w:r w:rsidRPr="00115E34">
        <w:t xml:space="preserve"> whiskers </w:t>
      </w:r>
      <w:r w:rsidRPr="005E535D">
        <w:t>represent</w:t>
      </w:r>
      <w:r>
        <w:t xml:space="preserve"> farthest data points within 1.5 x the </w:t>
      </w:r>
      <w:r w:rsidRPr="00407415">
        <w:t>interquartile range</w:t>
      </w:r>
      <w:r>
        <w:t xml:space="preserve">, and points outside whiskers are plotted individually as outliers. </w:t>
      </w:r>
      <w:r w:rsidRPr="00115E34">
        <w:br w:type="page"/>
      </w:r>
    </w:p>
    <w:p w14:paraId="22277686" w14:textId="77777777" w:rsidR="00173AF8" w:rsidRPr="00115E34" w:rsidRDefault="00173AF8" w:rsidP="00173AF8">
      <w:pPr>
        <w:suppressAutoHyphens/>
        <w:spacing w:after="240" w:line="480" w:lineRule="auto"/>
      </w:pPr>
    </w:p>
    <w:p w14:paraId="5EFAAE3F" w14:textId="77777777" w:rsidR="00173AF8" w:rsidRPr="00115E34" w:rsidRDefault="00173AF8" w:rsidP="00173AF8">
      <w:pPr>
        <w:pStyle w:val="ListParagraph"/>
        <w:spacing w:after="240" w:line="480" w:lineRule="auto"/>
        <w:ind w:left="0"/>
        <w:contextualSpacing w:val="0"/>
      </w:pPr>
      <w:r>
        <w:rPr>
          <w:noProof/>
        </w:rPr>
        <w:drawing>
          <wp:inline distT="0" distB="0" distL="0" distR="0" wp14:anchorId="1ED6A8FF" wp14:editId="2C1DF70F">
            <wp:extent cx="3657600" cy="6934200"/>
            <wp:effectExtent l="0" t="0" r="0" b="0"/>
            <wp:docPr id="5" name="Picture 5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Graphical user interfac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B903C" w14:textId="77777777" w:rsidR="00173AF8" w:rsidRPr="00115E34" w:rsidRDefault="00173AF8" w:rsidP="00173AF8">
      <w:pPr>
        <w:spacing w:after="240" w:line="480" w:lineRule="auto"/>
      </w:pPr>
      <w:r w:rsidRPr="00115E34">
        <w:rPr>
          <w:b/>
        </w:rPr>
        <w:lastRenderedPageBreak/>
        <w:t>Extended Data Fig. 3 | SHM and size distribution of expanded PB IgG lineages. a</w:t>
      </w:r>
      <w:r w:rsidRPr="00115E34">
        <w:t>, Range of nucleotide mutations from germline in heavy plus light chain for antibodies in expanded lineages (&gt;1 PB) compared to antibodies in lineages that lack evidence of recent expansion (1</w:t>
      </w:r>
      <w:r>
        <w:t> </w:t>
      </w:r>
      <w:r w:rsidRPr="00115E34">
        <w:t xml:space="preserve">PB) from PBs collected 7 days after administration of the third dose (blue, </w:t>
      </w:r>
      <w:r w:rsidRPr="00115E34">
        <w:rPr>
          <w:i/>
        </w:rPr>
        <w:t>n = </w:t>
      </w:r>
      <w:r w:rsidRPr="00115E34">
        <w:t xml:space="preserve">11,478 and </w:t>
      </w:r>
      <w:r w:rsidRPr="00115E34">
        <w:rPr>
          <w:i/>
        </w:rPr>
        <w:t>n = </w:t>
      </w:r>
      <w:r w:rsidRPr="00115E34">
        <w:t xml:space="preserve">10,841, respectively) or fourth dose (grey, </w:t>
      </w:r>
      <w:r w:rsidRPr="00115E34">
        <w:rPr>
          <w:i/>
        </w:rPr>
        <w:t>n = </w:t>
      </w:r>
      <w:r w:rsidRPr="00115E34">
        <w:t xml:space="preserve">5,538 and </w:t>
      </w:r>
      <w:r w:rsidRPr="00115E34">
        <w:rPr>
          <w:i/>
        </w:rPr>
        <w:t>n = </w:t>
      </w:r>
      <w:r w:rsidRPr="00115E34">
        <w:t>5,091, respectively) of RTS,S, ***</w:t>
      </w:r>
      <w:r w:rsidRPr="00115E34">
        <w:rPr>
          <w:i/>
          <w:iCs/>
        </w:rPr>
        <w:t>P</w:t>
      </w:r>
      <w:r w:rsidRPr="00115E34">
        <w:t> &lt; 0.0001 unpaired two-tailed Mann</w:t>
      </w:r>
      <w:r>
        <w:t>–</w:t>
      </w:r>
      <w:r w:rsidRPr="00115E34">
        <w:t xml:space="preserve">Whitney test. </w:t>
      </w:r>
      <w:r w:rsidRPr="00115E34">
        <w:rPr>
          <w:b/>
        </w:rPr>
        <w:t>b</w:t>
      </w:r>
      <w:r>
        <w:rPr>
          <w:b/>
        </w:rPr>
        <w:t>–</w:t>
      </w:r>
      <w:r w:rsidRPr="00115E34">
        <w:rPr>
          <w:b/>
        </w:rPr>
        <w:t>c</w:t>
      </w:r>
      <w:r w:rsidRPr="00115E34">
        <w:t xml:space="preserve">, </w:t>
      </w:r>
      <w:r>
        <w:t>By vaccinee, the s</w:t>
      </w:r>
      <w:r w:rsidRPr="00115E34">
        <w:t xml:space="preserve">ize of </w:t>
      </w:r>
      <w:r>
        <w:t xml:space="preserve">each </w:t>
      </w:r>
      <w:r w:rsidRPr="00115E34">
        <w:t xml:space="preserve">expanded lineage </w:t>
      </w:r>
      <w:r>
        <w:t>was</w:t>
      </w:r>
      <w:r w:rsidRPr="00115E34">
        <w:t xml:space="preserve"> calculated </w:t>
      </w:r>
      <w:r>
        <w:t>by dividing</w:t>
      </w:r>
      <w:r w:rsidRPr="00115E34">
        <w:t xml:space="preserve"> the number of PBs in </w:t>
      </w:r>
      <w:r>
        <w:t>that</w:t>
      </w:r>
      <w:r w:rsidRPr="00115E34">
        <w:t xml:space="preserve"> lineage by </w:t>
      </w:r>
      <w:r>
        <w:t xml:space="preserve">the </w:t>
      </w:r>
      <w:r w:rsidRPr="00115E34">
        <w:t xml:space="preserve">number of PBs in </w:t>
      </w:r>
      <w:r>
        <w:t xml:space="preserve">all </w:t>
      </w:r>
      <w:r w:rsidRPr="00115E34">
        <w:t xml:space="preserve">expanded lineages within each repertoire and </w:t>
      </w:r>
      <w:r>
        <w:t>then assigning</w:t>
      </w:r>
      <w:r w:rsidRPr="00115E34">
        <w:t xml:space="preserve"> a rank</w:t>
      </w:r>
      <w:r>
        <w:t>-size. B</w:t>
      </w:r>
      <w:r w:rsidRPr="00115E34">
        <w:t>ox and whisker</w:t>
      </w:r>
      <w:r>
        <w:t xml:space="preserve"> plots represent</w:t>
      </w:r>
      <w:r w:rsidRPr="00115E34">
        <w:t xml:space="preserve"> the distribution of lineage sizes across vaccinees for each rank-size from, </w:t>
      </w:r>
      <w:r w:rsidRPr="00115E34">
        <w:rPr>
          <w:b/>
        </w:rPr>
        <w:t>b</w:t>
      </w:r>
      <w:r w:rsidRPr="00115E34">
        <w:t xml:space="preserve">, protected (green, </w:t>
      </w:r>
      <w:r w:rsidRPr="00115E34">
        <w:rPr>
          <w:i/>
        </w:rPr>
        <w:t>n = </w:t>
      </w:r>
      <w:r w:rsidRPr="00115E34">
        <w:t xml:space="preserve">36) versus not protected (blue, </w:t>
      </w:r>
      <w:r w:rsidRPr="00115E34">
        <w:rPr>
          <w:i/>
        </w:rPr>
        <w:t>n = </w:t>
      </w:r>
      <w:r w:rsidRPr="00115E34">
        <w:t xml:space="preserve">9) vaccinees, and, </w:t>
      </w:r>
      <w:r w:rsidRPr="00115E34">
        <w:rPr>
          <w:b/>
        </w:rPr>
        <w:t>c</w:t>
      </w:r>
      <w:r w:rsidRPr="00115E34">
        <w:t xml:space="preserve">, from vaccinees administered a third standard dose (grey, </w:t>
      </w:r>
      <w:r w:rsidRPr="00115E34">
        <w:rPr>
          <w:i/>
        </w:rPr>
        <w:t>n = </w:t>
      </w:r>
      <w:r w:rsidRPr="00115E34">
        <w:t xml:space="preserve">15) versus vaccinees administered a delayed fractional dose (blue, </w:t>
      </w:r>
      <w:r w:rsidRPr="00115E34">
        <w:rPr>
          <w:i/>
        </w:rPr>
        <w:t>n = </w:t>
      </w:r>
      <w:r w:rsidRPr="00115E34">
        <w:t>30) of RTS,S.</w:t>
      </w:r>
      <w:r>
        <w:t xml:space="preserve"> </w:t>
      </w:r>
      <w:r w:rsidRPr="00A278C6">
        <w:t>Boxes indicate interquartile ranges, lines within boxes are medians, and whiskers represent minimum and maximum across vaccinees</w:t>
      </w:r>
      <w:r>
        <w:t>.</w:t>
      </w:r>
    </w:p>
    <w:p w14:paraId="3AD93679" w14:textId="77777777" w:rsidR="00173AF8" w:rsidRPr="00115E34" w:rsidRDefault="00173AF8" w:rsidP="00173AF8">
      <w:pPr>
        <w:spacing w:after="240" w:line="480" w:lineRule="auto"/>
      </w:pPr>
      <w:r w:rsidRPr="00115E34">
        <w:br w:type="page"/>
      </w:r>
    </w:p>
    <w:p w14:paraId="3A0B9048" w14:textId="77777777" w:rsidR="00173AF8" w:rsidRPr="00115E34" w:rsidRDefault="00173AF8" w:rsidP="00173AF8">
      <w:pPr>
        <w:spacing w:after="240" w:line="480" w:lineRule="auto"/>
        <w:rPr>
          <w:b/>
        </w:rPr>
      </w:pPr>
      <w:r w:rsidRPr="00F42112">
        <w:rPr>
          <w:b/>
          <w:noProof/>
        </w:rPr>
        <w:lastRenderedPageBreak/>
        <w:drawing>
          <wp:inline distT="0" distB="0" distL="0" distR="0" wp14:anchorId="149BCBAD" wp14:editId="37E15B6E">
            <wp:extent cx="4819650" cy="6810375"/>
            <wp:effectExtent l="0" t="0" r="0" b="9525"/>
            <wp:docPr id="28" name="Picture 28" descr="Calenda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001670B-F5CB-F93B-807B-CAB7C6823E3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" descr="Calendar&#10;&#10;Description automatically generated">
                      <a:extLst>
                        <a:ext uri="{FF2B5EF4-FFF2-40B4-BE49-F238E27FC236}">
                          <a16:creationId xmlns:a16="http://schemas.microsoft.com/office/drawing/2014/main" id="{F001670B-F5CB-F93B-807B-CAB7C6823E3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681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AE934" w14:textId="77777777" w:rsidR="00173AF8" w:rsidRDefault="00173AF8" w:rsidP="00173AF8">
      <w:pPr>
        <w:spacing w:after="240" w:line="480" w:lineRule="auto"/>
      </w:pPr>
      <w:r w:rsidRPr="00115E34">
        <w:rPr>
          <w:b/>
        </w:rPr>
        <w:t>Extended Data Fig. 4 | Antibody lineages tested in binding assays and reactivity to CSP or HBsAg. a</w:t>
      </w:r>
      <w:r>
        <w:rPr>
          <w:b/>
        </w:rPr>
        <w:t>–</w:t>
      </w:r>
      <w:r w:rsidRPr="00115E34">
        <w:rPr>
          <w:b/>
        </w:rPr>
        <w:t>c</w:t>
      </w:r>
      <w:r w:rsidRPr="00115E34">
        <w:t xml:space="preserve">, Rank-size of expanded lineages in each protected and not protected vaccinee repertoire from PBs collected 7 days after </w:t>
      </w:r>
      <w:r>
        <w:t xml:space="preserve">the </w:t>
      </w:r>
      <w:r w:rsidRPr="00115E34">
        <w:t xml:space="preserve">third dose of RTS,S. </w:t>
      </w:r>
      <w:r w:rsidRPr="00115E34">
        <w:rPr>
          <w:b/>
        </w:rPr>
        <w:t>a</w:t>
      </w:r>
      <w:r w:rsidRPr="00115E34">
        <w:t xml:space="preserve">, Expanded PB antibody </w:t>
      </w:r>
      <w:r w:rsidRPr="00115E34">
        <w:lastRenderedPageBreak/>
        <w:t xml:space="preserve">lineages (circles representing </w:t>
      </w:r>
      <w:r>
        <w:t xml:space="preserve">≥1 </w:t>
      </w:r>
      <w:r w:rsidRPr="00115E34">
        <w:t>lineages) for each rank-size and vaccinee from which a mAb was selected, recombinantly expressed and screened (</w:t>
      </w:r>
      <w:r w:rsidRPr="00115E34">
        <w:rPr>
          <w:i/>
        </w:rPr>
        <w:t>n = </w:t>
      </w:r>
      <w:r w:rsidRPr="00115E34">
        <w:t xml:space="preserve">349 mAbs, 282 circles) in the CSP ELISA. Circle sizes are proportional to the fraction of lineages tested among all lineages observed at each rank-size and vaccinee. </w:t>
      </w:r>
      <w:r>
        <w:t>Lineages from a vaccinee that have the same number of PBs have the same rank-size. The l</w:t>
      </w:r>
      <w:r w:rsidRPr="00115E34">
        <w:t>argest circles indicate all lineages from the vaccinee at that rank-size were tested. The smallest circle indicates only one 1 of the 58 lineages observed from the vaccinee at that rank-size was tested.</w:t>
      </w:r>
      <w:r w:rsidRPr="00115E34" w:rsidDel="00BB713A">
        <w:t xml:space="preserve"> </w:t>
      </w:r>
      <w:r w:rsidRPr="00115E34">
        <w:t xml:space="preserve">In some cases, none of the lineages from a vaccinee at an indicated rank-size were tested (grey bars). </w:t>
      </w:r>
      <w:r w:rsidRPr="00115E34">
        <w:rPr>
          <w:b/>
        </w:rPr>
        <w:t>b</w:t>
      </w:r>
      <w:r>
        <w:rPr>
          <w:b/>
        </w:rPr>
        <w:t>–</w:t>
      </w:r>
      <w:r w:rsidRPr="00115E34">
        <w:rPr>
          <w:b/>
        </w:rPr>
        <w:t>c</w:t>
      </w:r>
      <w:r w:rsidRPr="00115E34">
        <w:t>, Expanded PB antibody lineages (circles representing 1</w:t>
      </w:r>
      <w:r>
        <w:t>–</w:t>
      </w:r>
      <w:r w:rsidRPr="00115E34">
        <w:t xml:space="preserve">5 lineages) for each rank-size and vaccinee from which a mAb was tested in, </w:t>
      </w:r>
      <w:r w:rsidRPr="00115E34">
        <w:rPr>
          <w:b/>
        </w:rPr>
        <w:t>b</w:t>
      </w:r>
      <w:r w:rsidRPr="00115E34">
        <w:t xml:space="preserve">, a CSP ELISA, reactive (green, </w:t>
      </w:r>
      <w:r w:rsidRPr="00115E34">
        <w:rPr>
          <w:i/>
        </w:rPr>
        <w:t>n = </w:t>
      </w:r>
      <w:r w:rsidRPr="00115E34">
        <w:t xml:space="preserve">135 mAbs, 94 circles), indeterminant (grey, </w:t>
      </w:r>
      <w:r w:rsidRPr="00115E34">
        <w:rPr>
          <w:i/>
        </w:rPr>
        <w:t>n = </w:t>
      </w:r>
      <w:r w:rsidRPr="00115E34">
        <w:t xml:space="preserve">29 mAbs, 14 circles), not reactive (blue, </w:t>
      </w:r>
      <w:r w:rsidRPr="00115E34">
        <w:rPr>
          <w:i/>
        </w:rPr>
        <w:t>n = </w:t>
      </w:r>
      <w:r w:rsidRPr="00115E34">
        <w:t>185 mAbs, 144 circles), or a combination of these outcomes for different mAbs from lineages of same rank-size and vaccinee (pie chart</w:t>
      </w:r>
      <w:r>
        <w:t>s</w:t>
      </w:r>
      <w:r w:rsidRPr="00115E34">
        <w:t xml:space="preserve"> of mixed colours, 30 circles), and tested in, </w:t>
      </w:r>
      <w:r w:rsidRPr="00115E34">
        <w:rPr>
          <w:b/>
        </w:rPr>
        <w:t>c</w:t>
      </w:r>
      <w:r w:rsidRPr="00115E34">
        <w:t xml:space="preserve">, an HBsAg ELISA, reactive (green, </w:t>
      </w:r>
      <w:r w:rsidRPr="00115E34">
        <w:rPr>
          <w:i/>
        </w:rPr>
        <w:t>n = </w:t>
      </w:r>
      <w:r w:rsidRPr="00115E34">
        <w:t xml:space="preserve">38 mAbs, 36 circles), indeterminant (grey, </w:t>
      </w:r>
      <w:r w:rsidRPr="00115E34">
        <w:rPr>
          <w:i/>
        </w:rPr>
        <w:t>n = </w:t>
      </w:r>
      <w:r w:rsidRPr="00115E34">
        <w:t xml:space="preserve">3 mAbs, </w:t>
      </w:r>
      <w:r>
        <w:t>three</w:t>
      </w:r>
      <w:r w:rsidRPr="00115E34">
        <w:t xml:space="preserve"> circles), not reactive (blue, </w:t>
      </w:r>
      <w:r w:rsidRPr="00115E34">
        <w:rPr>
          <w:i/>
        </w:rPr>
        <w:t>n = </w:t>
      </w:r>
      <w:r w:rsidRPr="00115E34">
        <w:t>77 mAbs, 72 circles), or a combination of these outcomes for different mAbs from lineages of same rank-size and vaccinee (pie chart</w:t>
      </w:r>
      <w:r>
        <w:t>s</w:t>
      </w:r>
      <w:r w:rsidRPr="00115E34">
        <w:t xml:space="preserve"> of mixed colours, </w:t>
      </w:r>
      <w:r>
        <w:t>two</w:t>
      </w:r>
      <w:r w:rsidRPr="00115E34">
        <w:t xml:space="preserve"> circles).</w:t>
      </w:r>
    </w:p>
    <w:p w14:paraId="7FC161EE" w14:textId="77777777" w:rsidR="00173AF8" w:rsidRPr="00115E34" w:rsidRDefault="00173AF8" w:rsidP="00173AF8">
      <w:pPr>
        <w:spacing w:after="240" w:line="480" w:lineRule="auto"/>
      </w:pPr>
    </w:p>
    <w:p w14:paraId="38D6D2D5" w14:textId="77777777" w:rsidR="00173AF8" w:rsidRPr="00115E34" w:rsidRDefault="00173AF8" w:rsidP="00173AF8">
      <w:pPr>
        <w:suppressAutoHyphens/>
        <w:spacing w:after="240" w:line="480" w:lineRule="auto"/>
        <w:rPr>
          <w:b/>
          <w:bCs/>
        </w:rPr>
      </w:pPr>
      <w:r w:rsidRPr="00115E34">
        <w:br w:type="page"/>
      </w:r>
      <w:r w:rsidRPr="00F42112">
        <w:rPr>
          <w:noProof/>
        </w:rPr>
        <w:lastRenderedPageBreak/>
        <w:drawing>
          <wp:inline distT="0" distB="0" distL="0" distR="0" wp14:anchorId="5B7D4B8C" wp14:editId="70C829BA">
            <wp:extent cx="5943600" cy="4435475"/>
            <wp:effectExtent l="0" t="0" r="0" b="3175"/>
            <wp:docPr id="29" name="Picture 29" descr="Time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074B3ED1-9CAA-F49E-3C61-91991B8C9F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" descr="Timeline&#10;&#10;Description automatically generated">
                      <a:extLst>
                        <a:ext uri="{FF2B5EF4-FFF2-40B4-BE49-F238E27FC236}">
                          <a16:creationId xmlns:a16="http://schemas.microsoft.com/office/drawing/2014/main" id="{074B3ED1-9CAA-F49E-3C61-91991B8C9FB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31A76" w14:textId="77777777" w:rsidR="00173AF8" w:rsidRPr="00115E34" w:rsidRDefault="00173AF8" w:rsidP="00173AF8">
      <w:pPr>
        <w:spacing w:after="240" w:line="480" w:lineRule="auto"/>
      </w:pPr>
      <w:r w:rsidRPr="00115E34">
        <w:rPr>
          <w:b/>
        </w:rPr>
        <w:t>Extended Data Fig. 5 | SHM and CSP-peptide binding of mAbs versus RTS,S dose group and vaccinee protection status. a</w:t>
      </w:r>
      <w:r>
        <w:rPr>
          <w:b/>
        </w:rPr>
        <w:t>–</w:t>
      </w:r>
      <w:r w:rsidRPr="00115E34">
        <w:rPr>
          <w:b/>
        </w:rPr>
        <w:t>b</w:t>
      </w:r>
      <w:r w:rsidRPr="00115E34">
        <w:t xml:space="preserve">, Distribution of SHM levels for mAbs from expanded lineages of vaccinees, </w:t>
      </w:r>
      <w:r w:rsidRPr="00115E34">
        <w:rPr>
          <w:b/>
        </w:rPr>
        <w:t>a</w:t>
      </w:r>
      <w:r w:rsidRPr="00115E34">
        <w:t xml:space="preserve">, administered a third standard dose (dark blue, </w:t>
      </w:r>
      <w:r w:rsidRPr="00115E34">
        <w:rPr>
          <w:i/>
        </w:rPr>
        <w:t>n = </w:t>
      </w:r>
      <w:r w:rsidRPr="00115E34">
        <w:t xml:space="preserve">15) or a delayed fractional dose (orange, </w:t>
      </w:r>
      <w:r w:rsidRPr="00115E34">
        <w:rPr>
          <w:i/>
        </w:rPr>
        <w:t>n = </w:t>
      </w:r>
      <w:r w:rsidRPr="00115E34">
        <w:t xml:space="preserve">30) of RTS,S with mAbs shown reactive to CSP repeat region (NANP6, </w:t>
      </w:r>
      <w:r w:rsidRPr="00115E34">
        <w:rPr>
          <w:i/>
        </w:rPr>
        <w:t>n = </w:t>
      </w:r>
      <w:r w:rsidRPr="00115E34">
        <w:t xml:space="preserve">45 and </w:t>
      </w:r>
      <w:r w:rsidRPr="00115E34">
        <w:rPr>
          <w:i/>
        </w:rPr>
        <w:t>n = </w:t>
      </w:r>
      <w:r w:rsidRPr="00115E34">
        <w:t xml:space="preserve">53, respectively), to the CSP C-terminal region (C-terminal, </w:t>
      </w:r>
      <w:r w:rsidRPr="00115E34">
        <w:rPr>
          <w:i/>
        </w:rPr>
        <w:t>n = </w:t>
      </w:r>
      <w:r w:rsidRPr="00115E34">
        <w:t xml:space="preserve">4 and </w:t>
      </w:r>
      <w:r w:rsidRPr="00115E34">
        <w:rPr>
          <w:i/>
        </w:rPr>
        <w:t>n = </w:t>
      </w:r>
      <w:r w:rsidRPr="00115E34">
        <w:t xml:space="preserve">16, respectively), or neither peptide (negative, </w:t>
      </w:r>
      <w:r w:rsidRPr="00115E34">
        <w:rPr>
          <w:i/>
        </w:rPr>
        <w:t>n = </w:t>
      </w:r>
      <w:r w:rsidRPr="00115E34">
        <w:t xml:space="preserve">5 and </w:t>
      </w:r>
      <w:r w:rsidRPr="00115E34">
        <w:rPr>
          <w:i/>
        </w:rPr>
        <w:t>n = </w:t>
      </w:r>
      <w:r w:rsidRPr="00115E34">
        <w:t>4, respectively) in comparison to mAbs not reactive in the CSP ELISA (</w:t>
      </w:r>
      <w:r w:rsidRPr="00115E34">
        <w:rPr>
          <w:i/>
        </w:rPr>
        <w:t>n = </w:t>
      </w:r>
      <w:r w:rsidRPr="00115E34">
        <w:t xml:space="preserve">72 and </w:t>
      </w:r>
      <w:r w:rsidRPr="00115E34">
        <w:rPr>
          <w:i/>
        </w:rPr>
        <w:t>n = </w:t>
      </w:r>
      <w:r w:rsidRPr="00115E34">
        <w:t xml:space="preserve">113, respectively), and, </w:t>
      </w:r>
      <w:r w:rsidRPr="00115E34">
        <w:rPr>
          <w:b/>
        </w:rPr>
        <w:t>b</w:t>
      </w:r>
      <w:r w:rsidRPr="00115E34">
        <w:t xml:space="preserve">, from vaccinees that were protected (green, </w:t>
      </w:r>
      <w:r w:rsidRPr="00115E34">
        <w:rPr>
          <w:i/>
        </w:rPr>
        <w:t>n = </w:t>
      </w:r>
      <w:r w:rsidRPr="00115E34">
        <w:t xml:space="preserve">36) or not protected (light blue, </w:t>
      </w:r>
      <w:r w:rsidRPr="00115E34">
        <w:rPr>
          <w:i/>
        </w:rPr>
        <w:t>n = </w:t>
      </w:r>
      <w:r w:rsidRPr="00115E34">
        <w:t>9) with mAbs shown reactive to CSP repeat region (</w:t>
      </w:r>
      <w:r w:rsidRPr="00115E34">
        <w:rPr>
          <w:i/>
        </w:rPr>
        <w:t>n = </w:t>
      </w:r>
      <w:r w:rsidRPr="00115E34">
        <w:t xml:space="preserve">59 and </w:t>
      </w:r>
      <w:r w:rsidRPr="00115E34">
        <w:rPr>
          <w:i/>
        </w:rPr>
        <w:t>n = </w:t>
      </w:r>
      <w:r w:rsidRPr="00115E34">
        <w:t>39, respectively)], to the CSP C</w:t>
      </w:r>
      <w:r>
        <w:noBreakHyphen/>
      </w:r>
      <w:r w:rsidRPr="00115E34">
        <w:t>terminal region (</w:t>
      </w:r>
      <w:r w:rsidRPr="00115E34">
        <w:rPr>
          <w:i/>
        </w:rPr>
        <w:t>n = </w:t>
      </w:r>
      <w:r w:rsidRPr="00115E34">
        <w:t xml:space="preserve">12 and </w:t>
      </w:r>
      <w:r w:rsidRPr="00115E34">
        <w:rPr>
          <w:i/>
        </w:rPr>
        <w:t>n = </w:t>
      </w:r>
      <w:r w:rsidRPr="00115E34">
        <w:t xml:space="preserve">8, respectively), or neither peptide (negative, </w:t>
      </w:r>
      <w:r w:rsidRPr="00115E34">
        <w:rPr>
          <w:i/>
        </w:rPr>
        <w:t>n = </w:t>
      </w:r>
      <w:r w:rsidRPr="00115E34">
        <w:t xml:space="preserve">6 and </w:t>
      </w:r>
      <w:r w:rsidRPr="00115E34">
        <w:rPr>
          <w:i/>
        </w:rPr>
        <w:t>n = </w:t>
      </w:r>
      <w:r w:rsidRPr="00115E34">
        <w:t xml:space="preserve">3, </w:t>
      </w:r>
      <w:r w:rsidRPr="00115E34">
        <w:lastRenderedPageBreak/>
        <w:t>respectively) in comparison to mAbs not reactive in CSP ELISA (</w:t>
      </w:r>
      <w:r w:rsidRPr="00115E34">
        <w:rPr>
          <w:i/>
        </w:rPr>
        <w:t>n = </w:t>
      </w:r>
      <w:r w:rsidRPr="00115E34">
        <w:t xml:space="preserve">147 and </w:t>
      </w:r>
      <w:r w:rsidRPr="00115E34">
        <w:rPr>
          <w:i/>
        </w:rPr>
        <w:t>n = </w:t>
      </w:r>
      <w:r w:rsidRPr="00115E34">
        <w:t xml:space="preserve">38, respectively), </w:t>
      </w:r>
      <w:r w:rsidRPr="004D21CA">
        <w:t xml:space="preserve">lines </w:t>
      </w:r>
      <w:r>
        <w:t>are</w:t>
      </w:r>
      <w:r w:rsidRPr="004D21CA">
        <w:t xml:space="preserve"> medians</w:t>
      </w:r>
      <w:r>
        <w:t>,</w:t>
      </w:r>
      <w:r w:rsidRPr="004D21CA">
        <w:t xml:space="preserve"> </w:t>
      </w:r>
      <w:r w:rsidRPr="00115E34">
        <w:t>***</w:t>
      </w:r>
      <w:r w:rsidRPr="00115E34">
        <w:rPr>
          <w:i/>
          <w:iCs/>
        </w:rPr>
        <w:t>P</w:t>
      </w:r>
      <w:r w:rsidRPr="00115E34">
        <w:t> &lt; 0.0001, **</w:t>
      </w:r>
      <w:r w:rsidRPr="00115E34">
        <w:rPr>
          <w:i/>
          <w:iCs/>
        </w:rPr>
        <w:t>P</w:t>
      </w:r>
      <w:r w:rsidRPr="00115E34">
        <w:t> &lt; 0.001, *</w:t>
      </w:r>
      <w:r w:rsidRPr="00115E34">
        <w:rPr>
          <w:i/>
          <w:iCs/>
        </w:rPr>
        <w:t>P</w:t>
      </w:r>
      <w:r w:rsidRPr="00115E34">
        <w:t xml:space="preserve"> &lt; 0.02, or </w:t>
      </w:r>
      <w:r w:rsidRPr="00115E34">
        <w:rPr>
          <w:i/>
          <w:iCs/>
        </w:rPr>
        <w:t>P</w:t>
      </w:r>
      <w:r w:rsidRPr="00115E34">
        <w:t> &gt; 0.1 (“ns”), unpaired two-tailed Mann</w:t>
      </w:r>
      <w:r>
        <w:t>–Whitney</w:t>
      </w:r>
      <w:r w:rsidRPr="00115E34">
        <w:t xml:space="preserve"> test.</w:t>
      </w:r>
    </w:p>
    <w:p w14:paraId="08FAD59F" w14:textId="77777777" w:rsidR="00173AF8" w:rsidRPr="00115E34" w:rsidRDefault="00173AF8" w:rsidP="00173AF8">
      <w:pPr>
        <w:suppressAutoHyphens/>
        <w:rPr>
          <w:b/>
          <w:bCs/>
        </w:rPr>
      </w:pPr>
      <w:r w:rsidRPr="00115E34">
        <w:rPr>
          <w:b/>
          <w:bCs/>
        </w:rPr>
        <w:br w:type="page"/>
      </w:r>
    </w:p>
    <w:p w14:paraId="19E1E372" w14:textId="77777777" w:rsidR="00173AF8" w:rsidRPr="00115E34" w:rsidRDefault="00173AF8" w:rsidP="00173AF8">
      <w:pPr>
        <w:spacing w:after="240" w:line="480" w:lineRule="auto"/>
        <w:rPr>
          <w:b/>
        </w:rPr>
      </w:pPr>
      <w:r>
        <w:rPr>
          <w:noProof/>
        </w:rPr>
        <w:lastRenderedPageBreak/>
        <w:drawing>
          <wp:inline distT="0" distB="0" distL="0" distR="0" wp14:anchorId="49F5A5AD" wp14:editId="6FE1C745">
            <wp:extent cx="5731510" cy="2356485"/>
            <wp:effectExtent l="0" t="0" r="2540" b="5715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6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49A5">
        <w:rPr>
          <w:b/>
        </w:rPr>
        <w:t xml:space="preserve"> </w:t>
      </w:r>
    </w:p>
    <w:p w14:paraId="09DF461D" w14:textId="77777777" w:rsidR="00173AF8" w:rsidRPr="00115E34" w:rsidRDefault="00173AF8" w:rsidP="00173AF8">
      <w:pPr>
        <w:spacing w:after="240" w:line="480" w:lineRule="auto"/>
      </w:pPr>
      <w:r w:rsidRPr="00115E34">
        <w:rPr>
          <w:b/>
        </w:rPr>
        <w:t>Extended Data Fig. 6 | CSP</w:t>
      </w:r>
      <w:r>
        <w:rPr>
          <w:b/>
        </w:rPr>
        <w:t>-binding</w:t>
      </w:r>
      <w:r w:rsidRPr="00115E34">
        <w:rPr>
          <w:b/>
        </w:rPr>
        <w:t xml:space="preserve"> on-rates and mAb residue divergence from germline. a</w:t>
      </w:r>
      <w:r>
        <w:rPr>
          <w:b/>
        </w:rPr>
        <w:t>–</w:t>
      </w:r>
      <w:r w:rsidRPr="00115E34">
        <w:rPr>
          <w:b/>
        </w:rPr>
        <w:t>b</w:t>
      </w:r>
      <w:r w:rsidRPr="00115E34">
        <w:t>, SPR binding on-rates (</w:t>
      </w:r>
      <w:r>
        <w:rPr>
          <w:i/>
          <w:iCs/>
        </w:rPr>
        <w:t>k</w:t>
      </w:r>
      <w:r w:rsidRPr="00A9612F">
        <w:rPr>
          <w:i/>
          <w:iCs/>
          <w:vertAlign w:val="subscript"/>
        </w:rPr>
        <w:t>on</w:t>
      </w:r>
      <w:r w:rsidRPr="00115E34">
        <w:t>) to CSP of mAbs (</w:t>
      </w:r>
      <w:r w:rsidRPr="00115E34">
        <w:rPr>
          <w:i/>
        </w:rPr>
        <w:t>n = </w:t>
      </w:r>
      <w:r w:rsidRPr="00115E34">
        <w:t xml:space="preserve">141) from 35 of the most efficacious lineages tested compared to the number of, </w:t>
      </w:r>
      <w:r w:rsidRPr="00115E34">
        <w:rPr>
          <w:b/>
        </w:rPr>
        <w:t>a</w:t>
      </w:r>
      <w:r w:rsidRPr="00115E34">
        <w:t xml:space="preserve">, heavy, and, </w:t>
      </w:r>
      <w:r w:rsidRPr="00115E34">
        <w:rPr>
          <w:b/>
        </w:rPr>
        <w:t>b</w:t>
      </w:r>
      <w:r w:rsidRPr="00115E34">
        <w:t xml:space="preserve">, light chain residue differences from germline, linear regression of log-transformed data shown. For correlations of non-transformed data, </w:t>
      </w:r>
      <w:r w:rsidRPr="00115E34">
        <w:rPr>
          <w:i/>
          <w:iCs/>
        </w:rPr>
        <w:t>P</w:t>
      </w:r>
      <w:r w:rsidRPr="00115E34">
        <w:t xml:space="preserve"> &lt; 0.008 for all comparisons (Spearman test), and </w:t>
      </w:r>
      <w:r w:rsidRPr="00115E34">
        <w:rPr>
          <w:i/>
          <w:iCs/>
        </w:rPr>
        <w:t>P</w:t>
      </w:r>
      <w:r w:rsidRPr="00115E34">
        <w:t> &lt; 0.007 for all comparisons (Pearson test), see Extended Data Table 1.</w:t>
      </w:r>
    </w:p>
    <w:p w14:paraId="559174C4" w14:textId="77777777" w:rsidR="00173AF8" w:rsidRPr="00115E34" w:rsidRDefault="00173AF8" w:rsidP="00173AF8">
      <w:pPr>
        <w:suppressAutoHyphens/>
        <w:spacing w:after="240" w:line="480" w:lineRule="auto"/>
      </w:pPr>
      <w:r w:rsidRPr="00115E34">
        <w:br w:type="page"/>
      </w:r>
    </w:p>
    <w:p w14:paraId="48395FD0" w14:textId="77777777" w:rsidR="00173AF8" w:rsidRPr="00115E34" w:rsidRDefault="00173AF8" w:rsidP="00173AF8">
      <w:pPr>
        <w:spacing w:after="240" w:line="480" w:lineRule="auto"/>
        <w:rPr>
          <w:b/>
          <w:bCs/>
        </w:rPr>
      </w:pPr>
      <w:r w:rsidRPr="00F42112">
        <w:rPr>
          <w:b/>
          <w:bCs/>
          <w:noProof/>
        </w:rPr>
        <w:lastRenderedPageBreak/>
        <w:drawing>
          <wp:inline distT="0" distB="0" distL="0" distR="0" wp14:anchorId="43A691B6" wp14:editId="6830BF78">
            <wp:extent cx="5943600" cy="6746875"/>
            <wp:effectExtent l="0" t="0" r="0" b="0"/>
            <wp:docPr id="30" name="Picture 30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533CCC5-256D-F840-A557-06FF08C3ED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4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5533CCC5-256D-F840-A557-06FF08C3ED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4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D9BE2" w14:textId="77777777" w:rsidR="00173AF8" w:rsidRDefault="00173AF8" w:rsidP="00173AF8">
      <w:pPr>
        <w:spacing w:after="240" w:line="480" w:lineRule="auto"/>
      </w:pPr>
      <w:r w:rsidRPr="00115E34">
        <w:rPr>
          <w:b/>
        </w:rPr>
        <w:t xml:space="preserve">Extended Data Fig. 7 | </w:t>
      </w:r>
      <w:r w:rsidRPr="00115E34">
        <w:rPr>
          <w:b/>
          <w:i/>
          <w:iCs/>
        </w:rPr>
        <w:t>In</w:t>
      </w:r>
      <w:r w:rsidRPr="00115E34">
        <w:rPr>
          <w:b/>
          <w:i/>
        </w:rPr>
        <w:t xml:space="preserve"> vivo</w:t>
      </w:r>
      <w:r w:rsidRPr="00115E34">
        <w:rPr>
          <w:b/>
        </w:rPr>
        <w:t xml:space="preserve"> activity of engineered mAb variants. a</w:t>
      </w:r>
      <w:r>
        <w:rPr>
          <w:b/>
        </w:rPr>
        <w:t>–</w:t>
      </w:r>
      <w:r w:rsidRPr="00115E34">
        <w:rPr>
          <w:b/>
        </w:rPr>
        <w:t>d</w:t>
      </w:r>
      <w:r w:rsidRPr="00115E34">
        <w:t>, Mosquito</w:t>
      </w:r>
      <w:r>
        <w:t>-bite</w:t>
      </w:r>
      <w:r w:rsidRPr="00115E34">
        <w:t xml:space="preserve"> parasitaemia survival curves for 13 variants</w:t>
      </w:r>
      <w:r>
        <w:t xml:space="preserve"> (</w:t>
      </w:r>
      <w:r w:rsidRPr="00115E34">
        <w:rPr>
          <w:i/>
        </w:rPr>
        <w:t>n = </w:t>
      </w:r>
      <w:r>
        <w:t>10 mice),</w:t>
      </w:r>
      <w:r w:rsidRPr="00115E34">
        <w:t xml:space="preserve"> including the </w:t>
      </w:r>
      <w:r>
        <w:t>eight</w:t>
      </w:r>
      <w:r w:rsidRPr="00115E34">
        <w:t xml:space="preserve"> that had the best aggregate score from the developability assays. </w:t>
      </w:r>
      <w:r w:rsidRPr="00115E34">
        <w:rPr>
          <w:b/>
        </w:rPr>
        <w:t>e</w:t>
      </w:r>
      <w:r w:rsidRPr="00115E34">
        <w:t xml:space="preserve">, </w:t>
      </w:r>
      <w:r>
        <w:t>S</w:t>
      </w:r>
      <w:r w:rsidRPr="00115E34">
        <w:t xml:space="preserve">porozoite liver burden </w:t>
      </w:r>
      <w:r w:rsidRPr="00115E34">
        <w:rPr>
          <w:bCs/>
        </w:rPr>
        <w:t>p</w:t>
      </w:r>
      <w:r w:rsidRPr="00115E34">
        <w:t xml:space="preserve">ercent inhibition </w:t>
      </w:r>
      <w:r>
        <w:lastRenderedPageBreak/>
        <w:t xml:space="preserve">compared to untreated, infected mice (geometric mean, </w:t>
      </w:r>
      <w:r w:rsidRPr="00115E34">
        <w:rPr>
          <w:i/>
        </w:rPr>
        <w:t>n = </w:t>
      </w:r>
      <w:r>
        <w:t xml:space="preserve">5) and </w:t>
      </w:r>
      <w:r w:rsidRPr="00115E34">
        <w:t>normali</w:t>
      </w:r>
      <w:r>
        <w:t>s</w:t>
      </w:r>
      <w:r w:rsidRPr="00115E34">
        <w:t>ed to the activity of AB-000317</w:t>
      </w:r>
      <w:r>
        <w:t>, m</w:t>
      </w:r>
      <w:r w:rsidRPr="00115E34">
        <w:t>ean</w:t>
      </w:r>
      <w:r>
        <w:t>+SEM,</w:t>
      </w:r>
      <w:r w:rsidRPr="00115E34">
        <w:t xml:space="preserve"> 2</w:t>
      </w:r>
      <w:r>
        <w:t>–</w:t>
      </w:r>
      <w:r w:rsidRPr="00115E34">
        <w:t xml:space="preserve">5 independent experiments per mAb, </w:t>
      </w:r>
      <w:r>
        <w:t>*</w:t>
      </w:r>
      <w:r w:rsidRPr="00115E34">
        <w:t>*</w:t>
      </w:r>
      <w:r w:rsidRPr="00115E34">
        <w:rPr>
          <w:i/>
        </w:rPr>
        <w:t>P </w:t>
      </w:r>
      <w:r w:rsidRPr="00115E34">
        <w:t xml:space="preserve">= 0.005 or </w:t>
      </w:r>
      <w:r w:rsidRPr="00115E34">
        <w:rPr>
          <w:i/>
          <w:iCs/>
        </w:rPr>
        <w:t>P</w:t>
      </w:r>
      <w:r w:rsidRPr="00115E34">
        <w:t> &gt; 0.05 for all other variants, Dunn</w:t>
      </w:r>
      <w:r>
        <w:t>’</w:t>
      </w:r>
      <w:r w:rsidRPr="00115E34">
        <w:t xml:space="preserve">s multiple comparisons test </w:t>
      </w:r>
      <w:r>
        <w:t>verses AB-000317</w:t>
      </w:r>
      <w:r w:rsidRPr="00115E34">
        <w:t xml:space="preserve"> (see Extended Data Table 3 for details).</w:t>
      </w:r>
    </w:p>
    <w:p w14:paraId="76F20776" w14:textId="77777777" w:rsidR="00173AF8" w:rsidRDefault="00173AF8" w:rsidP="00173AF8">
      <w:pPr>
        <w:suppressAutoHyphens/>
      </w:pPr>
      <w:r>
        <w:br w:type="page"/>
      </w:r>
    </w:p>
    <w:p w14:paraId="3E153C51" w14:textId="77777777" w:rsidR="00173AF8" w:rsidRPr="00115E34" w:rsidRDefault="00173AF8" w:rsidP="00173AF8">
      <w:pPr>
        <w:spacing w:after="240" w:line="480" w:lineRule="auto"/>
        <w:rPr>
          <w:b/>
        </w:rPr>
      </w:pPr>
      <w:r>
        <w:rPr>
          <w:noProof/>
        </w:rPr>
        <w:lastRenderedPageBreak/>
        <w:drawing>
          <wp:inline distT="0" distB="0" distL="0" distR="0" wp14:anchorId="312E3BF5" wp14:editId="55BEE5EB">
            <wp:extent cx="3648075" cy="5181600"/>
            <wp:effectExtent l="0" t="0" r="9525" b="0"/>
            <wp:docPr id="27" name="Picture 27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iagram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518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7D268" w14:textId="77777777" w:rsidR="00173AF8" w:rsidRPr="00115E34" w:rsidRDefault="00173AF8" w:rsidP="00173AF8">
      <w:pPr>
        <w:spacing w:after="240" w:line="480" w:lineRule="auto"/>
      </w:pPr>
      <w:r w:rsidRPr="00115E34">
        <w:rPr>
          <w:b/>
        </w:rPr>
        <w:t>Extended Data Fig. 8 | Characteri</w:t>
      </w:r>
      <w:r>
        <w:rPr>
          <w:b/>
        </w:rPr>
        <w:t>s</w:t>
      </w:r>
      <w:r w:rsidRPr="00115E34">
        <w:rPr>
          <w:b/>
        </w:rPr>
        <w:t xml:space="preserve">ation of stable cell production </w:t>
      </w:r>
      <w:r>
        <w:rPr>
          <w:b/>
        </w:rPr>
        <w:t>pools</w:t>
      </w:r>
      <w:r w:rsidRPr="00115E34">
        <w:rPr>
          <w:b/>
        </w:rPr>
        <w:t xml:space="preserve"> generated from engineered mAb variants of AB-007088. a</w:t>
      </w:r>
      <w:r w:rsidRPr="00115E34">
        <w:t xml:space="preserve"> </w:t>
      </w:r>
      <w:r>
        <w:t>P</w:t>
      </w:r>
      <w:r w:rsidRPr="00115E34">
        <w:t>roduction titres, Titre (</w:t>
      </w:r>
      <w:r>
        <w:t>g/L</w:t>
      </w:r>
      <w:r w:rsidRPr="00115E34">
        <w:t>)</w:t>
      </w:r>
      <w:r>
        <w:t xml:space="preserve">, and </w:t>
      </w:r>
      <w:r w:rsidRPr="00115E34">
        <w:rPr>
          <w:b/>
        </w:rPr>
        <w:t>b</w:t>
      </w:r>
      <w:r w:rsidRPr="00115E34">
        <w:t>,</w:t>
      </w:r>
      <w:r w:rsidRPr="009E42FC">
        <w:rPr>
          <w:color w:val="1C1D1E"/>
        </w:rPr>
        <w:t xml:space="preserve"> </w:t>
      </w:r>
      <w:r>
        <w:rPr>
          <w:color w:val="1C1D1E"/>
        </w:rPr>
        <w:t>c</w:t>
      </w:r>
      <w:r w:rsidRPr="00115E34">
        <w:rPr>
          <w:color w:val="1C1D1E"/>
        </w:rPr>
        <w:t xml:space="preserve">ell-specific </w:t>
      </w:r>
      <w:r>
        <w:rPr>
          <w:color w:val="1C1D1E"/>
        </w:rPr>
        <w:t>productivity</w:t>
      </w:r>
      <w:r w:rsidRPr="00115E34">
        <w:rPr>
          <w:color w:val="1C1D1E"/>
        </w:rPr>
        <w:t xml:space="preserve"> (qP, pg per cell </w:t>
      </w:r>
      <w:r w:rsidRPr="00115E34">
        <w:t>per day)</w:t>
      </w:r>
      <w:r>
        <w:t xml:space="preserve"> </w:t>
      </w:r>
      <w:r w:rsidRPr="00115E34">
        <w:t xml:space="preserve">compared to parental </w:t>
      </w:r>
      <w:r>
        <w:t>AB-007088. B</w:t>
      </w:r>
      <w:r w:rsidRPr="005E535D">
        <w:t xml:space="preserve">oxes indicate interquartile ranges, lines within boxes </w:t>
      </w:r>
      <w:r>
        <w:t>are</w:t>
      </w:r>
      <w:r w:rsidRPr="005E535D">
        <w:t xml:space="preserve"> medians,</w:t>
      </w:r>
      <w:r w:rsidRPr="00115E34">
        <w:t xml:space="preserve"> and whiskers </w:t>
      </w:r>
      <w:r w:rsidRPr="005E535D">
        <w:t xml:space="preserve">represent </w:t>
      </w:r>
      <w:r>
        <w:t xml:space="preserve">minimum and maximum </w:t>
      </w:r>
      <w:r w:rsidRPr="004748A1">
        <w:t xml:space="preserve">across </w:t>
      </w:r>
      <w:r>
        <w:t>replicate pools (4 per engineered variant).</w:t>
      </w:r>
    </w:p>
    <w:p w14:paraId="5A0FB799" w14:textId="77777777" w:rsidR="00173AF8" w:rsidRPr="00115E34" w:rsidRDefault="00173AF8" w:rsidP="00173AF8">
      <w:pPr>
        <w:suppressAutoHyphens/>
        <w:spacing w:after="240" w:line="480" w:lineRule="auto"/>
      </w:pPr>
      <w:r w:rsidRPr="00115E34">
        <w:br w:type="page"/>
      </w:r>
    </w:p>
    <w:p w14:paraId="28033DED" w14:textId="77777777" w:rsidR="00173AF8" w:rsidRPr="00115E34" w:rsidRDefault="00173AF8" w:rsidP="00173AF8">
      <w:pPr>
        <w:spacing w:after="240" w:line="480" w:lineRule="auto"/>
        <w:rPr>
          <w:b/>
          <w:bCs/>
        </w:rPr>
      </w:pPr>
      <w:r w:rsidRPr="00115E34">
        <w:rPr>
          <w:b/>
          <w:bCs/>
          <w:color w:val="000000"/>
        </w:rPr>
        <w:lastRenderedPageBreak/>
        <w:t>Extended Data Table 1 | Correlations of SHM, binding</w:t>
      </w:r>
      <w:r>
        <w:rPr>
          <w:b/>
          <w:bCs/>
          <w:color w:val="000000"/>
        </w:rPr>
        <w:t xml:space="preserve"> data</w:t>
      </w:r>
      <w:r w:rsidRPr="00115E34">
        <w:rPr>
          <w:b/>
          <w:bCs/>
          <w:color w:val="000000"/>
        </w:rPr>
        <w:t xml:space="preserve">, and </w:t>
      </w:r>
      <w:r w:rsidRPr="00115E34">
        <w:rPr>
          <w:b/>
          <w:bCs/>
          <w:i/>
          <w:iCs/>
          <w:color w:val="000000"/>
        </w:rPr>
        <w:t>in vivo</w:t>
      </w:r>
      <w:r w:rsidRPr="00115E34">
        <w:rPr>
          <w:b/>
          <w:bCs/>
          <w:color w:val="000000"/>
        </w:rPr>
        <w:t xml:space="preserve"> inhibition</w:t>
      </w:r>
    </w:p>
    <w:p w14:paraId="1F6B82AB" w14:textId="77777777" w:rsidR="00173AF8" w:rsidRPr="00CC0B5F" w:rsidRDefault="00173AF8" w:rsidP="00173AF8">
      <w:pPr>
        <w:suppressAutoHyphens/>
        <w:spacing w:after="240" w:line="480" w:lineRule="auto"/>
      </w:pPr>
      <w:r w:rsidRPr="004F4E4F">
        <w:rPr>
          <w:noProof/>
        </w:rPr>
        <w:drawing>
          <wp:inline distT="0" distB="0" distL="0" distR="0" wp14:anchorId="17873FE4" wp14:editId="3AAAC74C">
            <wp:extent cx="5731510" cy="4505325"/>
            <wp:effectExtent l="0" t="0" r="2540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0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0B5F">
        <w:br w:type="page"/>
      </w:r>
    </w:p>
    <w:p w14:paraId="7A809E3A" w14:textId="77777777" w:rsidR="00173AF8" w:rsidRDefault="00173AF8" w:rsidP="00173AF8">
      <w:pPr>
        <w:pStyle w:val="ListParagraph"/>
        <w:spacing w:after="240" w:line="480" w:lineRule="auto"/>
        <w:ind w:left="0"/>
        <w:contextualSpacing w:val="0"/>
        <w:rPr>
          <w:b/>
          <w:bCs/>
        </w:rPr>
      </w:pPr>
      <w:r w:rsidRPr="00CC0B5F">
        <w:rPr>
          <w:b/>
          <w:bCs/>
        </w:rPr>
        <w:lastRenderedPageBreak/>
        <w:t>Extended Data Table 2 | Binding data to CSP-derived peptides of engineered mAbs</w:t>
      </w:r>
    </w:p>
    <w:p w14:paraId="33431B8B" w14:textId="77777777" w:rsidR="00173AF8" w:rsidRPr="00CC0B5F" w:rsidRDefault="00173AF8" w:rsidP="00173AF8">
      <w:pPr>
        <w:pStyle w:val="ListParagraph"/>
        <w:spacing w:after="240" w:line="480" w:lineRule="auto"/>
        <w:ind w:left="0"/>
        <w:rPr>
          <w:b/>
          <w:bCs/>
        </w:rPr>
      </w:pPr>
      <w:r w:rsidRPr="007A2663">
        <w:rPr>
          <w:noProof/>
        </w:rPr>
        <w:drawing>
          <wp:inline distT="0" distB="0" distL="0" distR="0" wp14:anchorId="44AC94A9" wp14:editId="2BD0005F">
            <wp:extent cx="5731510" cy="2553335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8482BB" w14:textId="77777777" w:rsidR="00173AF8" w:rsidRPr="00CC0B5F" w:rsidRDefault="00173AF8" w:rsidP="00173AF8">
      <w:pPr>
        <w:pStyle w:val="ListParagraph"/>
        <w:spacing w:after="240" w:line="480" w:lineRule="auto"/>
        <w:ind w:left="0"/>
        <w:contextualSpacing w:val="0"/>
      </w:pPr>
    </w:p>
    <w:p w14:paraId="6698149A" w14:textId="77777777" w:rsidR="00173AF8" w:rsidRPr="00CC0B5F" w:rsidRDefault="00173AF8" w:rsidP="00173AF8">
      <w:pPr>
        <w:suppressAutoHyphens/>
        <w:spacing w:after="240" w:line="480" w:lineRule="auto"/>
      </w:pPr>
      <w:r w:rsidRPr="00CC0B5F">
        <w:br w:type="page"/>
      </w:r>
    </w:p>
    <w:p w14:paraId="735B3B86" w14:textId="77777777" w:rsidR="00173AF8" w:rsidRDefault="00173AF8" w:rsidP="00173AF8">
      <w:pPr>
        <w:spacing w:after="240" w:line="480" w:lineRule="auto"/>
      </w:pPr>
      <w:r w:rsidRPr="00115E34">
        <w:rPr>
          <w:b/>
          <w:bCs/>
          <w:color w:val="000000"/>
        </w:rPr>
        <w:lastRenderedPageBreak/>
        <w:t xml:space="preserve">Extended Data Table 3 | Developability rank and </w:t>
      </w:r>
      <w:r w:rsidRPr="00115E34">
        <w:rPr>
          <w:b/>
          <w:i/>
          <w:color w:val="000000"/>
        </w:rPr>
        <w:t>in vivo</w:t>
      </w:r>
      <w:r w:rsidRPr="00115E34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data</w:t>
      </w:r>
      <w:r w:rsidRPr="00115E34">
        <w:rPr>
          <w:b/>
          <w:bCs/>
          <w:color w:val="000000"/>
        </w:rPr>
        <w:t xml:space="preserve"> of engineered mAbs</w:t>
      </w:r>
      <w:r w:rsidRPr="007417F5" w:rsidDel="007417F5">
        <w:t xml:space="preserve"> </w:t>
      </w:r>
    </w:p>
    <w:p w14:paraId="7FC5E788" w14:textId="57C9FCED" w:rsidR="001760E5" w:rsidRDefault="00173AF8">
      <w:r w:rsidRPr="00FC60B2">
        <w:rPr>
          <w:noProof/>
        </w:rPr>
        <w:drawing>
          <wp:inline distT="0" distB="0" distL="0" distR="0" wp14:anchorId="7AF906B5" wp14:editId="3E833C33">
            <wp:extent cx="5731510" cy="756729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56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AF8"/>
    <w:rsid w:val="00173AF8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A82C8"/>
  <w15:chartTrackingRefBased/>
  <w15:docId w15:val="{5F1D9122-3F46-4F8D-B668-E53294C82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A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3A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em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1132</Words>
  <Characters>6457</Characters>
  <Application>Microsoft Office Word</Application>
  <DocSecurity>0</DocSecurity>
  <Lines>53</Lines>
  <Paragraphs>15</Paragraphs>
  <ScaleCrop>false</ScaleCrop>
  <Company>Springer Nature</Company>
  <LinksUpToDate>false</LinksUpToDate>
  <CharactersWithSpaces>7574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2023-04-04T04:16:00Z</dcterms:created>
  <dcterms:modified xsi:type="dcterms:W3CDTF">2023-04-04T04:16:00Z</dcterms:modified>
</cp:coreProperties>
</file>