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/>
        <w:jc w:val="center"/>
        <w:rPr>
          <w:b/>
          <w:sz w:val="20"/>
          <w:szCs w:val="20"/>
          <w:lang w:val="en-GB"/>
        </w:rPr>
      </w:pPr>
      <w:bookmarkStart w:id="1" w:name="_GoBack"/>
      <w:bookmarkEnd w:id="1"/>
      <w:bookmarkStart w:id="0" w:name="_Hlk117828065"/>
      <w:r>
        <w:rPr>
          <w:b/>
          <w:sz w:val="20"/>
          <w:szCs w:val="20"/>
          <w:lang w:val="en-GB"/>
        </w:rPr>
        <w:t>Supplementary material</w:t>
      </w:r>
    </w:p>
    <w:p>
      <w:pPr>
        <w:spacing w:before="240" w:after="240"/>
        <w:jc w:val="center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Use of multivariate analysis to identify phytoplankton bio</w:t>
      </w:r>
      <w:r>
        <w:rPr>
          <w:b/>
          <w:sz w:val="20"/>
          <w:szCs w:val="20"/>
        </w:rPr>
        <w:t xml:space="preserve">indicators </w:t>
      </w:r>
      <w:r>
        <w:rPr>
          <w:b/>
          <w:sz w:val="20"/>
          <w:szCs w:val="20"/>
          <w:lang w:val="en-GB"/>
        </w:rPr>
        <w:t xml:space="preserve">of </w:t>
      </w:r>
      <w:r>
        <w:rPr>
          <w:b/>
          <w:sz w:val="20"/>
          <w:szCs w:val="20"/>
        </w:rPr>
        <w:t xml:space="preserve">stream </w:t>
      </w:r>
      <w:r>
        <w:rPr>
          <w:b/>
          <w:sz w:val="20"/>
          <w:szCs w:val="20"/>
          <w:lang w:val="en-GB"/>
        </w:rPr>
        <w:t>water quality in the mono-modal equatorial agro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en-GB"/>
        </w:rPr>
        <w:t>ecological zone of Cameroon</w:t>
      </w:r>
    </w:p>
    <w:p>
      <w:pPr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Environmental Monitoring and Assessment</w:t>
      </w:r>
    </w:p>
    <w:bookmarkEnd w:id="0"/>
    <w:p>
      <w:pPr>
        <w:spacing w:before="240" w:after="240"/>
        <w:jc w:val="center"/>
        <w:rPr>
          <w:rFonts w:eastAsia="Malgun Gothic"/>
          <w:sz w:val="20"/>
          <w:szCs w:val="20"/>
        </w:rPr>
      </w:pPr>
      <w:r>
        <w:rPr>
          <w:rFonts w:eastAsia="Malgun Gothic"/>
          <w:sz w:val="20"/>
          <w:szCs w:val="20"/>
          <w:lang w:val="en-GB"/>
        </w:rPr>
        <w:t>Patricia Bi Asanga Fai</w:t>
      </w:r>
      <w:r>
        <w:rPr>
          <w:rFonts w:eastAsia="Malgun Gothic"/>
          <w:sz w:val="20"/>
          <w:szCs w:val="20"/>
          <w:vertAlign w:val="superscript"/>
          <w:lang w:val="en-GB"/>
        </w:rPr>
        <w:t>1,2*</w:t>
      </w:r>
      <w:r>
        <w:rPr>
          <w:rFonts w:eastAsia="Malgun Gothic"/>
          <w:sz w:val="20"/>
          <w:szCs w:val="20"/>
        </w:rPr>
        <w:t xml:space="preserve">, </w:t>
      </w:r>
      <w:r>
        <w:rPr>
          <w:rFonts w:eastAsia="Malgun Gothic"/>
          <w:sz w:val="20"/>
          <w:szCs w:val="20"/>
          <w:lang w:val="en-GB"/>
        </w:rPr>
        <w:t>Daniel Brice Nkontcheu</w:t>
      </w:r>
      <w:r>
        <w:rPr>
          <w:rFonts w:eastAsia="Malgun Gothic"/>
          <w:sz w:val="20"/>
          <w:szCs w:val="20"/>
          <w:vertAlign w:val="superscript"/>
          <w:lang w:val="en-GB"/>
        </w:rPr>
        <w:t xml:space="preserve"> </w:t>
      </w:r>
      <w:r>
        <w:rPr>
          <w:rFonts w:eastAsia="Malgun Gothic"/>
          <w:sz w:val="20"/>
          <w:szCs w:val="20"/>
          <w:lang w:val="en-GB"/>
        </w:rPr>
        <w:t>Kenko,</w:t>
      </w:r>
      <w:r>
        <w:rPr>
          <w:rFonts w:eastAsia="Malgun Gothic"/>
          <w:sz w:val="20"/>
          <w:szCs w:val="20"/>
        </w:rPr>
        <w:t xml:space="preserve"> </w:t>
      </w:r>
      <w:r>
        <w:rPr>
          <w:rFonts w:eastAsia="Malgun Gothic"/>
          <w:sz w:val="20"/>
          <w:szCs w:val="20"/>
          <w:lang w:val="en-GB"/>
        </w:rPr>
        <w:t>Norbert Ngameni Tchamadeu</w:t>
      </w:r>
      <w:r>
        <w:rPr>
          <w:rFonts w:eastAsia="Malgun Gothic"/>
          <w:sz w:val="20"/>
          <w:szCs w:val="20"/>
        </w:rPr>
        <w:t>,</w:t>
      </w:r>
      <w:r>
        <w:rPr>
          <w:rFonts w:eastAsia="Malgun Gothic"/>
          <w:sz w:val="20"/>
          <w:szCs w:val="20"/>
          <w:lang w:val="en-GB"/>
        </w:rPr>
        <w:t xml:space="preserve"> Mpoame Mbida</w:t>
      </w:r>
      <w:r>
        <w:rPr>
          <w:rFonts w:eastAsia="Malgun Gothic"/>
          <w:sz w:val="20"/>
          <w:szCs w:val="20"/>
        </w:rPr>
        <w:t>, Krystof Korejs, Jan Riegert</w:t>
      </w:r>
    </w:p>
    <w:p>
      <w:pPr>
        <w:pStyle w:val="8"/>
        <w:spacing w:before="120" w:beforeLines="50" w:after="120" w:afterLines="50"/>
        <w:rPr>
          <w:rFonts w:ascii="Times New Roman" w:hAnsi="Times New Roman" w:eastAsia="Malgun Gothic"/>
          <w:sz w:val="20"/>
          <w:szCs w:val="20"/>
        </w:rPr>
      </w:pPr>
      <w:r>
        <w:rPr>
          <w:rFonts w:ascii="Times New Roman" w:hAnsi="Times New Roman" w:eastAsia="Malgun Gothic"/>
          <w:sz w:val="20"/>
          <w:szCs w:val="20"/>
          <w:vertAlign w:val="superscript"/>
          <w:lang w:val="en-GB"/>
        </w:rPr>
        <w:t>1</w:t>
      </w:r>
      <w:r>
        <w:rPr>
          <w:rFonts w:ascii="Times New Roman" w:hAnsi="Times New Roman" w:eastAsia="Malgun Gothic"/>
          <w:sz w:val="20"/>
          <w:szCs w:val="20"/>
        </w:rPr>
        <w:t xml:space="preserve">Department of Animal Biology, </w:t>
      </w:r>
      <w:r>
        <w:rPr>
          <w:rFonts w:ascii="Times New Roman" w:hAnsi="Times New Roman" w:eastAsia="Malgun Gothic"/>
          <w:sz w:val="20"/>
          <w:szCs w:val="20"/>
          <w:lang w:val="en-GB"/>
        </w:rPr>
        <w:t>Dschang School of Science and Technology, University of Dschang, BP 96 Dschang, West Region, Cameroon</w:t>
      </w:r>
    </w:p>
    <w:p>
      <w:pPr>
        <w:pStyle w:val="8"/>
        <w:spacing w:before="120" w:beforeLines="50" w:after="120" w:afterLines="50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eastAsia="Malgun Gothic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val="en-GB"/>
        </w:rPr>
        <w:t> </w:t>
      </w:r>
      <w:r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College of Technology, University of Bamenda, P.O. Box 70 Bambili, North West Region, Cameroon</w:t>
      </w:r>
    </w:p>
    <w:p>
      <w:pPr>
        <w:pStyle w:val="8"/>
        <w:spacing w:before="240" w:after="240"/>
        <w:rPr>
          <w:rStyle w:val="7"/>
          <w:rFonts w:ascii="Times New Roman" w:hAnsi="Times New Roman"/>
          <w:color w:val="auto"/>
          <w:sz w:val="20"/>
          <w:szCs w:val="20"/>
          <w:u w:val="none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*Corresponding author: </w:t>
      </w:r>
      <w:r>
        <w:rPr>
          <w:rFonts w:ascii="Times New Roman" w:hAnsi="Times New Roman"/>
          <w:sz w:val="20"/>
          <w:szCs w:val="20"/>
        </w:rPr>
        <w:t>patriciafai17@gmail.com</w:t>
      </w:r>
    </w:p>
    <w:p>
      <w:pPr>
        <w:spacing w:before="240" w:after="240"/>
        <w:rPr>
          <w:sz w:val="20"/>
          <w:szCs w:val="18"/>
          <w:lang w:val="en-GB"/>
        </w:rPr>
      </w:pPr>
      <w:r>
        <w:rPr>
          <w:b/>
          <w:bCs/>
          <w:sz w:val="20"/>
          <w:szCs w:val="18"/>
          <w:lang w:val="en-GB"/>
        </w:rPr>
        <w:t>Table S</w:t>
      </w:r>
      <w:r>
        <w:rPr>
          <w:b/>
          <w:bCs/>
          <w:sz w:val="20"/>
          <w:szCs w:val="18"/>
        </w:rPr>
        <w:t>1</w:t>
      </w:r>
      <w:r>
        <w:rPr>
          <w:sz w:val="20"/>
          <w:szCs w:val="18"/>
        </w:rPr>
        <w:t>:</w:t>
      </w:r>
      <w:r>
        <w:rPr>
          <w:sz w:val="20"/>
          <w:szCs w:val="18"/>
          <w:lang w:val="en-GB"/>
        </w:rPr>
        <w:t xml:space="preserve"> </w:t>
      </w:r>
      <w:r>
        <w:rPr>
          <w:sz w:val="20"/>
          <w:szCs w:val="18"/>
          <w:lang w:val="en-GB" w:eastAsia="fr-FR"/>
        </w:rPr>
        <w:t xml:space="preserve"> </w:t>
      </w:r>
      <w:r>
        <w:rPr>
          <w:sz w:val="20"/>
          <w:szCs w:val="18"/>
          <w:lang w:val="en-GB"/>
        </w:rPr>
        <w:t xml:space="preserve">List of phytoplankton taxa and their respective </w:t>
      </w:r>
      <w:r>
        <w:rPr>
          <w:sz w:val="20"/>
          <w:szCs w:val="18"/>
        </w:rPr>
        <w:t xml:space="preserve">total </w:t>
      </w:r>
      <w:r>
        <w:rPr>
          <w:sz w:val="20"/>
          <w:szCs w:val="18"/>
          <w:lang w:val="en-GB"/>
        </w:rPr>
        <w:t xml:space="preserve">abundances (number/m3) sampled in various stations in the Benoe stream during the </w:t>
      </w:r>
      <w:r>
        <w:rPr>
          <w:sz w:val="20"/>
          <w:szCs w:val="18"/>
        </w:rPr>
        <w:t xml:space="preserve">12-month </w:t>
      </w:r>
      <w:r>
        <w:rPr>
          <w:sz w:val="20"/>
          <w:szCs w:val="18"/>
          <w:lang w:val="en-GB"/>
        </w:rPr>
        <w:t>study period.</w:t>
      </w:r>
    </w:p>
    <w:tbl>
      <w:tblPr>
        <w:tblStyle w:val="3"/>
        <w:tblW w:w="142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949"/>
        <w:gridCol w:w="1632"/>
        <w:gridCol w:w="1613"/>
        <w:gridCol w:w="1917"/>
        <w:gridCol w:w="703"/>
        <w:gridCol w:w="716"/>
        <w:gridCol w:w="716"/>
        <w:gridCol w:w="716"/>
        <w:gridCol w:w="716"/>
        <w:gridCol w:w="716"/>
        <w:gridCol w:w="716"/>
        <w:gridCol w:w="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Phylum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Class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Order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Family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b/>
                <w:bCs/>
                <w:sz w:val="16"/>
                <w:szCs w:val="16"/>
                <w:lang w:val="en-GB" w:eastAsia="en-GB"/>
              </w:rPr>
              <w:t>B8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Bacillariophyta</w:t>
            </w:r>
          </w:p>
        </w:tc>
        <w:tc>
          <w:tcPr>
            <w:tcW w:w="1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Bacillariophyceae</w:t>
            </w: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Naviculales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Amphipleuraceae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Amphipleura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358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Diadesmidiaceae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Diadesmis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Diploneidaceae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Diploneis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Naviculaceae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Caloneis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Navicula bryophila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774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475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273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360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Navicula longa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548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445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774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Navicula rhynchocephala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1416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2721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316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402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732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Navicula subtiltissima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1145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391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989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674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Pleurosigma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Neidiaceae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Neidium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Pinnulariaceae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Pinularia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165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Stauroneidaceae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Craticula ambigua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Stauroneis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Bacillariales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Bacillariaceae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Nitzchia acicularis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Nitzchia linearis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547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Nitzchia palea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213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Thalassiophysales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Catenulaceae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Amphora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160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174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173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Thalassiosirales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Skeletonemataceae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Skeletonema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Achnantales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Cocconeidaceae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Cocconeis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Centrales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Coscinoiscoideae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Cyclotella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Cymbella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1394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694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403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216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249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Frustulia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Gyrosigma baltium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501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1473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948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519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992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Cymbellales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Gomphonemataceae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Encyonema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Rhoicospheniaceae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Gomphonema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Rhoicosphenia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172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Eunotiales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Peroniaceae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Peronia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Eunotiaceae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Eunotia forma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670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Fragilariales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Fragilariaceae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Asterionalla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Fragilaria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1086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343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Synedra ulna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3202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2201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2205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3648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1933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2405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889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Coscinodiscales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Hemidiscaceae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Actinocyclus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Striatellales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Striatellaceae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Strialla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Surirellales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Surirellaceae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Cymatopleura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Surinella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Tabellariales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Tabellariaceae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Diatoma vulgaris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4807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1304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Tabellaria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373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Xanthophyceae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Tribonematales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Tribonemataceae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Tribonema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944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Coscinodiscophyceae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Triceratiales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Triceratioceae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Pleurosira laevis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14246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3595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915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918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3534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988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1788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1961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Rhizosoleniales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Probosciaceae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Proboscia alata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Melosirales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Melosiraceae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Melosiria varians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387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1628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1087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2220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Mediophyceae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Chaetocerotales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Leptocylindraceae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Leptocylindrus danu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Chlorophyta</w:t>
            </w:r>
          </w:p>
        </w:tc>
        <w:tc>
          <w:tcPr>
            <w:tcW w:w="1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Chlorophyceae</w:t>
            </w:r>
          </w:p>
        </w:tc>
        <w:tc>
          <w:tcPr>
            <w:tcW w:w="16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Chaetophorales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Chaetocerotaceae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Bacteriastrum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4948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Chaetoceros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Chaetophora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Stigeoclonum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689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216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101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Chlamydomonadales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Chlamydomonadaceae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Chlamydomonas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Chlorellales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Chlorellaceae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Chlorella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204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171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160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Desmidiales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Desmidiaceae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Desmidium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1580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176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2640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Actinotaenium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675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Closterium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274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Cosmarium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72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Tetmemorus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Oedogoniales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Oedogoniaceae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Bulbochaete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601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1506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346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Sphaeropleales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Selenastraceae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Ankistrodesmus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Monoraphidium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Selenastrum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Ulvophyceae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Chladophorales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Chladophoraceae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Cladophora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744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1205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Cyanophyta</w:t>
            </w:r>
          </w:p>
        </w:tc>
        <w:tc>
          <w:tcPr>
            <w:tcW w:w="194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Cyanophyceae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Synechococales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Coelosphaeriaceae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Coelosphaerium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Nostocophyceae</w:t>
            </w: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Nostocales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Nostocaceae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Anabaena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Aulosira prolifera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Cylundrospermum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701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Oscillatoriales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Oscillatoriaceae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Lyngbya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Oscillatoria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3945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2946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8600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Rivulariaceae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Rivularia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191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Phormidiaceae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Planktothrix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Chroocophyceae</w:t>
            </w: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Chroococales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Chroococcaceae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Microcystis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Oocystaceae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Oocystis parsilla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230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57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Scenedesmaceae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Actinastrum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4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Dinophyta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Pyrrhophyceae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Gonyaulacales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Ceratiaceae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Ceratium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Dinophyceae</w:t>
            </w: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Peridiniales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Peridiniaceae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Peridinium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Protoperidiniaceae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Boreadinium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Dinophysiales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Dinophysaceae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Dinophysis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44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Gymnodiniales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Gymnodiniaceae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Gymnodinium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Euglenophyta</w:t>
            </w:r>
          </w:p>
        </w:tc>
        <w:tc>
          <w:tcPr>
            <w:tcW w:w="1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Euglenozoa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Chromulinales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Dinobryaceae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Dinobryon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2073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Euglenales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Euglenaceae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Eudorina elegans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Gonium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Euglena acus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331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934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1156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347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145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Trachelomonas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Rhodophyta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Florideophyceae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Acrochaetiales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Acrochaetiaceae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Audouinella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244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4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Charophyta</w:t>
            </w:r>
          </w:p>
        </w:tc>
        <w:tc>
          <w:tcPr>
            <w:tcW w:w="1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Zygnematophyceae</w:t>
            </w: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Zygnematales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Zygnemataceae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>Spirogyra porticalis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2805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629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432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3273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445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2903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Zygnema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186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Mougeotia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115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902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516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1030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401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4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Desmidiales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Peciaceae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0" w:beforeLines="0" w:after="0" w:afterLines="0" w:line="240" w:lineRule="auto"/>
              <w:rPr>
                <w:rFonts w:eastAsia="Times New Roman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i/>
                <w:iCs/>
                <w:sz w:val="16"/>
                <w:szCs w:val="16"/>
                <w:lang w:val="en-GB" w:eastAsia="en-GB"/>
              </w:rPr>
              <w:t xml:space="preserve">Penium </w:t>
            </w:r>
            <w:r>
              <w:rPr>
                <w:rFonts w:hint="eastAsia" w:eastAsia="Times New Roman"/>
                <w:iCs/>
                <w:sz w:val="16"/>
                <w:szCs w:val="16"/>
                <w:lang w:val="en-GB" w:eastAsia="en-GB"/>
              </w:rPr>
              <w:t>sp.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hint="eastAsia" w:eastAsia="Times New Roman"/>
                <w:sz w:val="16"/>
                <w:szCs w:val="16"/>
                <w:lang w:val="en-GB" w:eastAsia="en-GB"/>
              </w:rPr>
              <w:t>15</w:t>
            </w:r>
          </w:p>
        </w:tc>
      </w:tr>
    </w:tbl>
    <w:p>
      <w:pPr>
        <w:spacing w:before="240" w:after="240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br w:type="page"/>
      </w:r>
    </w:p>
    <w:p>
      <w:pPr>
        <w:spacing w:before="240" w:after="240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Table S</w:t>
      </w:r>
      <w:r>
        <w:rPr>
          <w:b/>
          <w:szCs w:val="24"/>
        </w:rPr>
        <w:t xml:space="preserve">2: </w:t>
      </w:r>
      <w:r>
        <w:rPr>
          <w:b/>
          <w:bCs/>
          <w:szCs w:val="24"/>
          <w:lang w:val="en-GB"/>
        </w:rPr>
        <w:t>Distribution of water hydrological and physicochemical parameters across sampling stations.</w:t>
      </w:r>
    </w:p>
    <w:tbl>
      <w:tblPr>
        <w:tblStyle w:val="9"/>
        <w:tblW w:w="4999" w:type="pct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494"/>
        <w:gridCol w:w="1483"/>
        <w:gridCol w:w="1610"/>
        <w:gridCol w:w="1434"/>
        <w:gridCol w:w="1417"/>
        <w:gridCol w:w="1568"/>
        <w:gridCol w:w="1514"/>
        <w:gridCol w:w="1525"/>
      </w:tblGrid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  <w:vMerge w:val="restart"/>
          </w:tcPr>
          <w:p>
            <w:pPr>
              <w:spacing w:before="0" w:beforeLines="0" w:after="0" w:afterLines="0"/>
              <w:jc w:val="center"/>
              <w:rPr>
                <w:b/>
                <w:sz w:val="22"/>
                <w:lang w:val="en-GB"/>
              </w:rPr>
            </w:pPr>
            <w:r>
              <w:rPr>
                <w:rFonts w:hint="eastAsia"/>
                <w:b/>
                <w:sz w:val="22"/>
                <w:lang w:val="en-GB"/>
              </w:rPr>
              <w:t xml:space="preserve">Abiotic </w:t>
            </w:r>
          </w:p>
          <w:p>
            <w:pPr>
              <w:spacing w:before="0" w:beforeLines="0" w:after="0" w:afterLines="0"/>
              <w:jc w:val="center"/>
              <w:rPr>
                <w:b/>
                <w:sz w:val="22"/>
                <w:lang w:val="en-GB"/>
              </w:rPr>
            </w:pPr>
            <w:r>
              <w:rPr>
                <w:rFonts w:hint="eastAsia"/>
                <w:b/>
                <w:sz w:val="22"/>
                <w:lang w:val="en-GB"/>
              </w:rPr>
              <w:t>variables</w:t>
            </w:r>
          </w:p>
        </w:tc>
        <w:tc>
          <w:tcPr>
            <w:tcW w:w="4249" w:type="pct"/>
            <w:gridSpan w:val="8"/>
          </w:tcPr>
          <w:p>
            <w:pPr>
              <w:spacing w:before="0" w:beforeLines="0" w:after="0" w:afterLines="0"/>
              <w:jc w:val="center"/>
              <w:rPr>
                <w:b/>
                <w:sz w:val="22"/>
                <w:lang w:val="en-GB"/>
              </w:rPr>
            </w:pPr>
            <w:r>
              <w:rPr>
                <w:rFonts w:hint="eastAsia"/>
                <w:b/>
                <w:sz w:val="22"/>
                <w:lang w:val="en-GB"/>
              </w:rPr>
              <w:t xml:space="preserve">Sampling Stations 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  <w:vMerge w:val="continue"/>
          </w:tcPr>
          <w:p>
            <w:pPr>
              <w:spacing w:before="0" w:beforeLines="0" w:after="0" w:afterLines="0"/>
              <w:rPr>
                <w:b/>
                <w:sz w:val="22"/>
                <w:lang w:val="en-GB"/>
              </w:rPr>
            </w:pP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B1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B2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B3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B4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B5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B6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rFonts w:eastAsia="Times New Roman"/>
                <w:b/>
                <w:sz w:val="22"/>
                <w:lang w:val="en-GB" w:eastAsia="fr-FR"/>
              </w:rPr>
            </w:pPr>
            <w:r>
              <w:rPr>
                <w:rFonts w:hint="eastAsia" w:eastAsia="Times New Roman"/>
                <w:b/>
                <w:sz w:val="22"/>
                <w:lang w:val="en-GB" w:eastAsia="fr-FR"/>
              </w:rPr>
              <w:t>B8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Temperature (°C)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24.70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 0.4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a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25.30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0.4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a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25</w:t>
            </w:r>
            <w:r>
              <w:rPr>
                <w:rFonts w:eastAsia="Times New Roman"/>
                <w:sz w:val="21"/>
                <w:szCs w:val="21"/>
                <w:lang w:eastAsia="fr-FR"/>
              </w:rPr>
              <w:t>.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0.3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abc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25.5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0.4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ab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27.0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 0.8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c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26</w:t>
            </w:r>
            <w:r>
              <w:rPr>
                <w:rFonts w:eastAsia="Times New Roman"/>
                <w:sz w:val="21"/>
                <w:szCs w:val="21"/>
                <w:lang w:eastAsia="fr-FR"/>
              </w:rPr>
              <w:t>.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0.4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bc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26.0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0.4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abc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25.8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0.3</w:t>
            </w:r>
            <w:r>
              <w:rPr>
                <w:rFonts w:hint="eastAsia" w:eastAsia="Times New Roman"/>
                <w:sz w:val="21"/>
                <w:szCs w:val="21"/>
                <w:vertAlign w:val="superscript"/>
                <w:lang w:val="en-GB" w:eastAsia="fr-FR"/>
              </w:rPr>
              <w:t>abc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EC (µS/cm)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205.8 ± 5.2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211.3 ± 5.1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212.6 ± 5.5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209.0 ± 6.5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207.8 ± 5.2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205.4 ± 7.7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205.3 ± 5.0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209.4 ± 4.8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TDS (ppm)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103.8 ± 2.8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106.6 ± 2.6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106.8 ± 2.8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105.5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3.2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104.4 ± 2.5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103.0 ± 3.7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103.6 ± 2.5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105.2 ± 2.5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Salinity (ppt)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0.00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0.00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</w:t>
            </w:r>
            <w:r>
              <w:rPr>
                <w:rFonts w:eastAsia="Times New Roman"/>
                <w:sz w:val="21"/>
                <w:szCs w:val="21"/>
                <w:lang w:eastAsia="fr-FR"/>
              </w:rPr>
              <w:t>.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 ± 0.00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 0.00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 0.00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 0.00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 0.00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0.09 ± 0.00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DO (ppm)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7.9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7.8 ± 0.1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7.9 ± 0.1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8.3 ± 0.4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7.7 ± 0.1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8.1 ± 0.1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8.3 ± 0.1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pH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8.09 ± 0.29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8.00 ± 0.21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7.96 ± 0.18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7.75 ± 0.20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8.16 ± 0.20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8.26 ± 0.18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8.13 ± 0.18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7.96 ± 0.17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Colour (Pt-Co)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 ± 2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 ± 1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11 ± 1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11 ± 1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 ± 1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11 ±1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10 ± 1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13 ± 2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SS (ppt)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0.86 ± 0.61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0.64 ± 0.61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0.66 ± 0.63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1.46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0.96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0.78 ± 0.67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0.86 ± 0.67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0.86 ± 0.65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1.79 ± 1.06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Nitrites (ppm)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1.21 ± 1.14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0.21 ± 0.15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0.12 ± 0.08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0.20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0.15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0.12 ± 0.08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0.59 ± 0.53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0.14 ± 0.07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0.27 ± 0.23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/>
                <w:bCs/>
                <w:sz w:val="21"/>
                <w:szCs w:val="21"/>
                <w:lang w:val="en-GB"/>
              </w:rPr>
              <w:t>PO4 (ppm)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1.69 ± 0.75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1.51 ±0.94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6.21 ± 4.52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2.91 ± 1.59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2.65 ± 1.13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1.28 ± 0.64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0.89 ± 0.47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2.11 ± 0.85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Turbidity (NTU)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4.80 ± 1.80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3.50 ±0.50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3.40 ± 1.00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5.10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1.80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4.00 ± 1.70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4.40 ± 1.60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3.90 ± 1.40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7.30 ± 2.40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/>
                <w:bCs/>
                <w:sz w:val="21"/>
                <w:szCs w:val="21"/>
                <w:lang w:val="en-GB"/>
              </w:rPr>
              <w:t>Nitrates (ppm)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1.63 ± 1.54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0.26 ± 0.20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0.19 ± 0.10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0.25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0.20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0.16 ± 0.10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0.77 ± 0.72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0.18 ± 0.10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0.34 ± 0.31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Velocity (m/s)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0.50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0.07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0.58 ± 0.09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0.71 ± 0.22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0.54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0.14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0.49 ± 0.13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0.62 ±0.09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0.47 ± 0.07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0.34 ± 0.04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pct"/>
          </w:tcPr>
          <w:p>
            <w:pPr>
              <w:spacing w:before="0" w:beforeLines="0" w:after="0" w:afterLines="0"/>
              <w:jc w:val="center"/>
              <w:rPr>
                <w:bCs/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Discharge (m</w:t>
            </w:r>
            <w:r>
              <w:rPr>
                <w:rFonts w:hint="eastAsia" w:eastAsia="Times New Roman"/>
                <w:bCs/>
                <w:sz w:val="21"/>
                <w:szCs w:val="21"/>
                <w:vertAlign w:val="superscript"/>
                <w:lang w:val="en-GB" w:eastAsia="fr-FR"/>
              </w:rPr>
              <w:t>3</w:t>
            </w:r>
            <w:r>
              <w:rPr>
                <w:rFonts w:hint="eastAsia" w:eastAsia="Times New Roman"/>
                <w:bCs/>
                <w:sz w:val="21"/>
                <w:szCs w:val="21"/>
                <w:lang w:val="en-GB" w:eastAsia="fr-FR"/>
              </w:rPr>
              <w:t>/s)</w:t>
            </w:r>
          </w:p>
        </w:tc>
        <w:tc>
          <w:tcPr>
            <w:tcW w:w="527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1.41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0.25</w:t>
            </w:r>
          </w:p>
        </w:tc>
        <w:tc>
          <w:tcPr>
            <w:tcW w:w="52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1.60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0.33</w:t>
            </w:r>
          </w:p>
        </w:tc>
        <w:tc>
          <w:tcPr>
            <w:tcW w:w="568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2.11 ± 0.62</w:t>
            </w:r>
          </w:p>
        </w:tc>
        <w:tc>
          <w:tcPr>
            <w:tcW w:w="506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1.66 ±</w:t>
            </w:r>
            <w:r>
              <w:rPr>
                <w:rFonts w:eastAsia="Times New Roman"/>
                <w:sz w:val="21"/>
                <w:szCs w:val="21"/>
                <w:lang w:val="en-GB" w:eastAsia="fr-FR"/>
              </w:rPr>
              <w:t xml:space="preserve"> </w:t>
            </w: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0.64</w:t>
            </w:r>
          </w:p>
        </w:tc>
        <w:tc>
          <w:tcPr>
            <w:tcW w:w="500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1.97 ± 0.65</w:t>
            </w:r>
          </w:p>
        </w:tc>
        <w:tc>
          <w:tcPr>
            <w:tcW w:w="553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1.50 ± 0.22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1.52 ± 0.30</w:t>
            </w:r>
          </w:p>
        </w:tc>
        <w:tc>
          <w:tcPr>
            <w:tcW w:w="534" w:type="pct"/>
          </w:tcPr>
          <w:p>
            <w:pPr>
              <w:spacing w:before="0" w:beforeLines="0" w:after="0" w:afterLines="0"/>
              <w:jc w:val="center"/>
              <w:rPr>
                <w:sz w:val="21"/>
                <w:szCs w:val="21"/>
                <w:lang w:val="en-GB"/>
              </w:rPr>
            </w:pPr>
            <w:r>
              <w:rPr>
                <w:rFonts w:hint="eastAsia" w:eastAsia="Times New Roman"/>
                <w:sz w:val="21"/>
                <w:szCs w:val="21"/>
                <w:lang w:val="en-GB" w:eastAsia="fr-FR"/>
              </w:rPr>
              <w:t>1.78 ± 0.32</w:t>
            </w:r>
          </w:p>
        </w:tc>
      </w:tr>
    </w:tbl>
    <w:p>
      <w:pPr>
        <w:spacing w:before="240" w:after="240"/>
        <w:jc w:val="left"/>
        <w:rPr>
          <w:rFonts w:eastAsia="Times New Roman"/>
          <w:sz w:val="18"/>
          <w:szCs w:val="18"/>
          <w:lang w:val="en-GB" w:eastAsia="fr-FR"/>
        </w:rPr>
      </w:pPr>
      <w:r>
        <w:rPr>
          <w:sz w:val="18"/>
          <w:szCs w:val="18"/>
          <w:lang w:val="en-GB"/>
        </w:rPr>
        <w:t xml:space="preserve">a, b, c: means with different superscripts across the rows are significantly different at p&lt;0.05; ppm = part per million; ppt = part per thousand; </w:t>
      </w:r>
      <w:r>
        <w:rPr>
          <w:rFonts w:eastAsia="Times New Roman"/>
          <w:sz w:val="18"/>
          <w:szCs w:val="18"/>
          <w:lang w:val="en-GB" w:eastAsia="fr-FR"/>
        </w:rPr>
        <w:t xml:space="preserve">SS = </w:t>
      </w:r>
      <w:r>
        <w:rPr>
          <w:rFonts w:eastAsia="Times New Roman"/>
          <w:bCs/>
          <w:sz w:val="18"/>
          <w:szCs w:val="18"/>
          <w:lang w:val="en-GB" w:eastAsia="fr-FR"/>
        </w:rPr>
        <w:t xml:space="preserve">Suspended Solids; PO4 = </w:t>
      </w:r>
      <w:r>
        <w:rPr>
          <w:bCs/>
          <w:sz w:val="18"/>
          <w:szCs w:val="18"/>
          <w:lang w:val="en-GB"/>
        </w:rPr>
        <w:t xml:space="preserve">Orthophosphates; </w:t>
      </w:r>
      <w:r>
        <w:rPr>
          <w:sz w:val="18"/>
          <w:szCs w:val="18"/>
          <w:lang w:val="en-GB"/>
        </w:rPr>
        <w:t xml:space="preserve">results are expressed as Mean </w:t>
      </w:r>
      <w:r>
        <w:rPr>
          <w:rFonts w:eastAsia="Times New Roman"/>
          <w:sz w:val="18"/>
          <w:szCs w:val="18"/>
          <w:lang w:val="en-GB" w:eastAsia="fr-FR"/>
        </w:rPr>
        <w:t>± SEM (standard error of the mean).</w:t>
      </w:r>
    </w:p>
    <w:p>
      <w:pPr>
        <w:spacing w:before="240" w:after="240"/>
        <w:rPr>
          <w:rFonts w:eastAsia="Times New Roman"/>
          <w:sz w:val="18"/>
          <w:szCs w:val="18"/>
          <w:lang w:val="en-GB" w:eastAsia="fr-FR"/>
        </w:rPr>
      </w:pPr>
      <w:r>
        <w:rPr>
          <w:rFonts w:eastAsia="Times New Roman"/>
          <w:sz w:val="18"/>
          <w:szCs w:val="18"/>
          <w:lang w:val="en-GB" w:eastAsia="fr-FR"/>
        </w:rPr>
        <w:br w:type="page"/>
      </w:r>
    </w:p>
    <w:p>
      <w:pPr>
        <w:spacing w:before="240" w:after="240"/>
        <w:jc w:val="left"/>
        <w:rPr>
          <w:rFonts w:eastAsia="Times New Roman"/>
          <w:sz w:val="18"/>
          <w:szCs w:val="18"/>
          <w:lang w:eastAsia="fr-FR"/>
        </w:rPr>
      </w:pPr>
      <w:r>
        <w:rPr>
          <w:rFonts w:eastAsia="Times New Roman"/>
          <w:sz w:val="18"/>
          <w:szCs w:val="18"/>
        </w:rPr>
        <w:drawing>
          <wp:inline distT="0" distB="0" distL="114300" distR="114300">
            <wp:extent cx="7321550" cy="4657725"/>
            <wp:effectExtent l="0" t="0" r="8890" b="5715"/>
            <wp:docPr id="7" name="Picture 7" descr="Monthly variation in phytoplank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onthly variation in phytoplankto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15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240"/>
        <w:rPr>
          <w:sz w:val="20"/>
          <w:szCs w:val="18"/>
          <w:lang w:eastAsia="fr-FR"/>
        </w:rPr>
      </w:pPr>
      <w:r>
        <w:rPr>
          <w:b/>
          <w:bCs/>
          <w:sz w:val="20"/>
          <w:szCs w:val="18"/>
          <w:lang w:eastAsia="fr-FR"/>
        </w:rPr>
        <w:t xml:space="preserve">Figure </w:t>
      </w:r>
      <w:r>
        <w:rPr>
          <w:b/>
          <w:bCs/>
          <w:sz w:val="20"/>
          <w:szCs w:val="18"/>
          <w:lang w:val="en-GB" w:eastAsia="fr-FR"/>
        </w:rPr>
        <w:t>S</w:t>
      </w:r>
      <w:r>
        <w:rPr>
          <w:b/>
          <w:bCs/>
          <w:sz w:val="20"/>
          <w:szCs w:val="18"/>
          <w:lang w:eastAsia="fr-FR"/>
        </w:rPr>
        <w:t>1</w:t>
      </w:r>
      <w:r>
        <w:rPr>
          <w:sz w:val="20"/>
          <w:szCs w:val="18"/>
          <w:lang w:eastAsia="fr-FR"/>
        </w:rPr>
        <w:t>: Temporal variation of the relative proportions of abundant phytoplankton genera in the Benoue Stream.</w:t>
      </w:r>
    </w:p>
    <w:p>
      <w:pPr>
        <w:spacing w:before="240" w:after="240"/>
        <w:rPr>
          <w:lang w:eastAsia="fr-FR"/>
        </w:rPr>
      </w:pPr>
      <w:r>
        <w:drawing>
          <wp:inline distT="0" distB="0" distL="114300" distR="114300">
            <wp:extent cx="7373620" cy="4598035"/>
            <wp:effectExtent l="0" t="0" r="2540" b="4445"/>
            <wp:docPr id="5" name="Picture 5" descr="Panel Phys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anel Physic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3620" cy="45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240"/>
      </w:pPr>
      <w:r>
        <w:rPr>
          <w:b/>
          <w:bCs/>
          <w:sz w:val="20"/>
          <w:szCs w:val="18"/>
          <w:lang w:eastAsia="fr-FR"/>
        </w:rPr>
        <w:t xml:space="preserve">Figure </w:t>
      </w:r>
      <w:r>
        <w:rPr>
          <w:b/>
          <w:bCs/>
          <w:sz w:val="20"/>
          <w:szCs w:val="18"/>
          <w:lang w:val="en-GB" w:eastAsia="fr-FR"/>
        </w:rPr>
        <w:t>S</w:t>
      </w:r>
      <w:r>
        <w:rPr>
          <w:b/>
          <w:bCs/>
          <w:sz w:val="20"/>
          <w:szCs w:val="18"/>
          <w:lang w:eastAsia="fr-FR"/>
        </w:rPr>
        <w:t>2</w:t>
      </w:r>
      <w:r>
        <w:rPr>
          <w:sz w:val="20"/>
          <w:szCs w:val="18"/>
          <w:lang w:eastAsia="fr-FR"/>
        </w:rPr>
        <w:t>: Temporal variation of the Benoue Stream physicochemical characteristics.</w:t>
      </w:r>
    </w:p>
    <w:sectPr>
      <w:footerReference r:id="rId5" w:type="default"/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240" w:after="24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spacing w:before="240" w:after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nFEXqBoCAABU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spacing w:before="240" w:after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66AE6"/>
    <w:rsid w:val="005F0433"/>
    <w:rsid w:val="006277BB"/>
    <w:rsid w:val="00C313D0"/>
    <w:rsid w:val="00F169AB"/>
    <w:rsid w:val="065338B0"/>
    <w:rsid w:val="178869F9"/>
    <w:rsid w:val="1923608A"/>
    <w:rsid w:val="25057EAE"/>
    <w:rsid w:val="25120EBA"/>
    <w:rsid w:val="27AD2F60"/>
    <w:rsid w:val="585B3C0E"/>
    <w:rsid w:val="5DD63103"/>
    <w:rsid w:val="5E472FE1"/>
    <w:rsid w:val="667B20F0"/>
    <w:rsid w:val="68D57C80"/>
    <w:rsid w:val="6A4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Lines="100" w:after="100" w:afterLines="100" w:line="276" w:lineRule="auto"/>
      <w:jc w:val="both"/>
    </w:pPr>
    <w:rPr>
      <w:rFonts w:ascii="Times New Roman" w:hAnsi="Times New Roman" w:eastAsia="Calibri" w:cs="Times New Roman"/>
      <w:sz w:val="24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qFormat/>
    <w:uiPriority w:val="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2"/>
    <w:uiPriority w:val="0"/>
    <w:rPr>
      <w:color w:val="0000FF"/>
      <w:u w:val="single"/>
    </w:rPr>
  </w:style>
  <w:style w:type="paragraph" w:styleId="8">
    <w:name w:val="No Spacing"/>
    <w:qFormat/>
    <w:uiPriority w:val="0"/>
    <w:pPr>
      <w:spacing w:before="361" w:beforeLines="100" w:after="361" w:afterLines="100" w:line="276" w:lineRule="auto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table" w:customStyle="1" w:styleId="9">
    <w:name w:val="Table Grid Light1"/>
    <w:basedOn w:val="3"/>
    <w:qFormat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character" w:customStyle="1" w:styleId="10">
    <w:name w:val="Balloon Text Char"/>
    <w:basedOn w:val="2"/>
    <w:link w:val="4"/>
    <w:qFormat/>
    <w:uiPriority w:val="0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1202</Words>
  <Characters>6858</Characters>
  <Lines>57</Lines>
  <Paragraphs>16</Paragraphs>
  <TotalTime>8</TotalTime>
  <ScaleCrop>false</ScaleCrop>
  <LinksUpToDate>false</LinksUpToDate>
  <CharactersWithSpaces>8044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2023-02-22T09:20:00Z</dcterms:created>
  <dc:creator>Patricia Fai</dc:creator>
  <cp:lastModifiedBy>Patricia Fai</cp:lastModifiedBy>
  <dcterms:modified xsi:type="dcterms:W3CDTF">2023-03-10T09:37:29Z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2057-11.2.0.11486</vt:lpwstr>
  </property>
  <property fmtid="{D5CDD505-2E9C-101B-9397-08002B2CF9AE}" pid="3" name="ICV">
    <vt:lpwstr>B20A902F0B764014BDBDB35528F23058</vt:lpwstr>
  </property>
</Properties>
</file>