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51169" w14:textId="46082CB5" w:rsidR="00002CAE" w:rsidRPr="00002CAE" w:rsidRDefault="00002CAE" w:rsidP="000F0997">
      <w:pPr>
        <w:pStyle w:val="NormalWeb"/>
        <w:spacing w:before="0" w:beforeAutospacing="0" w:after="0" w:afterAutospacing="0" w:line="276" w:lineRule="auto"/>
        <w:jc w:val="center"/>
        <w:rPr>
          <w:color w:val="000000" w:themeColor="text1"/>
          <w:sz w:val="28"/>
          <w:szCs w:val="28"/>
        </w:rPr>
      </w:pPr>
      <w:r w:rsidRPr="00002CAE">
        <w:rPr>
          <w:color w:val="000000" w:themeColor="text1"/>
          <w:sz w:val="28"/>
          <w:szCs w:val="28"/>
        </w:rPr>
        <w:t>Supplementary figures</w:t>
      </w:r>
    </w:p>
    <w:p w14:paraId="42A7F9DD" w14:textId="77777777" w:rsidR="00002CAE" w:rsidRDefault="00002CAE" w:rsidP="000F0997">
      <w:pPr>
        <w:pStyle w:val="NormalWeb"/>
        <w:spacing w:before="0" w:beforeAutospacing="0" w:after="0" w:afterAutospacing="0" w:line="276" w:lineRule="auto"/>
        <w:jc w:val="center"/>
        <w:rPr>
          <w:b/>
          <w:bCs/>
          <w:color w:val="000000" w:themeColor="text1"/>
          <w:sz w:val="28"/>
          <w:szCs w:val="28"/>
        </w:rPr>
      </w:pPr>
    </w:p>
    <w:p w14:paraId="400B8DC6" w14:textId="3DA5E027" w:rsidR="000F0997" w:rsidRPr="00984F59" w:rsidRDefault="000F0997" w:rsidP="000F0997">
      <w:pPr>
        <w:pStyle w:val="NormalWeb"/>
        <w:spacing w:before="0" w:beforeAutospacing="0" w:after="0" w:afterAutospacing="0" w:line="276" w:lineRule="auto"/>
        <w:jc w:val="center"/>
        <w:rPr>
          <w:b/>
          <w:bCs/>
          <w:color w:val="000000" w:themeColor="text1"/>
          <w:sz w:val="28"/>
          <w:szCs w:val="28"/>
        </w:rPr>
      </w:pPr>
      <w:r w:rsidRPr="00984F59">
        <w:rPr>
          <w:b/>
          <w:bCs/>
          <w:color w:val="000000" w:themeColor="text1"/>
          <w:sz w:val="28"/>
          <w:szCs w:val="28"/>
        </w:rPr>
        <w:t>AVA-ADR-001 Suppresses Tumor Growth and Induces Anti-tumor Immunity by Selectively Inhibiting ADAR1 p150</w:t>
      </w:r>
    </w:p>
    <w:p w14:paraId="164AB5EE" w14:textId="77777777" w:rsidR="000F0997" w:rsidRPr="00984F59" w:rsidRDefault="000F0997" w:rsidP="000F0997">
      <w:pPr>
        <w:pStyle w:val="NormalWeb"/>
        <w:spacing w:before="0" w:beforeAutospacing="0" w:after="0" w:afterAutospacing="0" w:line="276" w:lineRule="auto"/>
        <w:jc w:val="center"/>
        <w:rPr>
          <w:color w:val="000000" w:themeColor="text1"/>
        </w:rPr>
      </w:pPr>
    </w:p>
    <w:p w14:paraId="4B322C80" w14:textId="12AF6FBC" w:rsidR="000F0997" w:rsidRPr="00984F59" w:rsidRDefault="000F0997" w:rsidP="000F0997">
      <w:pPr>
        <w:spacing w:after="0" w:line="360" w:lineRule="auto"/>
        <w:jc w:val="center"/>
        <w:rPr>
          <w:rFonts w:ascii="Times New Roman" w:eastAsia="Times New Roman" w:hAnsi="Times New Roman" w:cs="Times New Roman"/>
          <w:color w:val="000000" w:themeColor="text1"/>
          <w:sz w:val="20"/>
          <w:szCs w:val="20"/>
          <w:vertAlign w:val="superscript"/>
        </w:rPr>
      </w:pPr>
      <w:r w:rsidRPr="00984F59">
        <w:rPr>
          <w:rFonts w:ascii="Times New Roman" w:eastAsia="Times New Roman" w:hAnsi="Times New Roman" w:cs="Times New Roman"/>
          <w:color w:val="000000" w:themeColor="text1"/>
          <w:sz w:val="20"/>
          <w:szCs w:val="20"/>
        </w:rPr>
        <w:t>Avijit Goswami</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 Barnali Deb</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 Ankita Mohanty</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 Sandeep Goyal</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 Kawaljit Singh</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w:t>
      </w:r>
      <w:r w:rsidR="00571027" w:rsidRPr="00984F59">
        <w:rPr>
          <w:rFonts w:ascii="Times New Roman" w:eastAsia="Times New Roman" w:hAnsi="Times New Roman" w:cs="Times New Roman"/>
          <w:color w:val="000000" w:themeColor="text1"/>
          <w:sz w:val="20"/>
          <w:szCs w:val="20"/>
        </w:rPr>
        <w:t xml:space="preserve"> </w:t>
      </w:r>
      <w:r w:rsidRPr="00984F59">
        <w:rPr>
          <w:rFonts w:ascii="Times New Roman" w:eastAsia="Times New Roman" w:hAnsi="Times New Roman" w:cs="Times New Roman"/>
          <w:color w:val="000000" w:themeColor="text1"/>
          <w:sz w:val="20"/>
          <w:szCs w:val="20"/>
        </w:rPr>
        <w:t xml:space="preserve">Rahul </w:t>
      </w:r>
      <w:r w:rsidR="00571027" w:rsidRPr="00984F59">
        <w:rPr>
          <w:rFonts w:ascii="Times New Roman" w:eastAsia="Times New Roman" w:hAnsi="Times New Roman" w:cs="Times New Roman"/>
          <w:color w:val="000000" w:themeColor="text1"/>
          <w:sz w:val="20"/>
          <w:szCs w:val="20"/>
        </w:rPr>
        <w:t>Y</w:t>
      </w:r>
      <w:r w:rsidRPr="00984F59">
        <w:rPr>
          <w:rFonts w:ascii="Times New Roman" w:eastAsia="Times New Roman" w:hAnsi="Times New Roman" w:cs="Times New Roman"/>
          <w:color w:val="000000" w:themeColor="text1"/>
          <w:sz w:val="20"/>
          <w:szCs w:val="20"/>
        </w:rPr>
        <w:t>adav</w:t>
      </w:r>
      <w:r w:rsidRPr="00984F59">
        <w:rPr>
          <w:rFonts w:ascii="Times New Roman" w:eastAsia="Times New Roman" w:hAnsi="Times New Roman" w:cs="Times New Roman"/>
          <w:color w:val="000000" w:themeColor="text1"/>
          <w:sz w:val="20"/>
          <w:szCs w:val="20"/>
          <w:vertAlign w:val="superscript"/>
        </w:rPr>
        <w:t>3</w:t>
      </w:r>
      <w:r w:rsidRPr="00984F59">
        <w:rPr>
          <w:rFonts w:ascii="Times New Roman" w:eastAsia="Times New Roman" w:hAnsi="Times New Roman" w:cs="Times New Roman"/>
          <w:color w:val="000000" w:themeColor="text1"/>
          <w:sz w:val="20"/>
          <w:szCs w:val="20"/>
        </w:rPr>
        <w:t>, Princy Khurana</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 Narenkumar Muralidharan</w:t>
      </w: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 Jan Rehwinkel</w:t>
      </w:r>
      <w:r w:rsidRPr="00984F59">
        <w:rPr>
          <w:rFonts w:ascii="Times New Roman" w:eastAsia="Times New Roman" w:hAnsi="Times New Roman" w:cs="Times New Roman"/>
          <w:color w:val="000000" w:themeColor="text1"/>
          <w:sz w:val="20"/>
          <w:szCs w:val="20"/>
          <w:vertAlign w:val="superscript"/>
        </w:rPr>
        <w:t>4</w:t>
      </w:r>
      <w:r w:rsidR="00571027" w:rsidRPr="00984F59">
        <w:rPr>
          <w:rFonts w:ascii="Times New Roman" w:eastAsia="Times New Roman" w:hAnsi="Times New Roman" w:cs="Times New Roman"/>
          <w:color w:val="000000" w:themeColor="text1"/>
          <w:sz w:val="20"/>
          <w:szCs w:val="20"/>
          <w:vertAlign w:val="superscript"/>
        </w:rPr>
        <w:t>*</w:t>
      </w:r>
      <w:r w:rsidRPr="00984F59">
        <w:rPr>
          <w:rFonts w:ascii="Times New Roman" w:eastAsia="Times New Roman" w:hAnsi="Times New Roman" w:cs="Times New Roman"/>
          <w:color w:val="000000" w:themeColor="text1"/>
          <w:sz w:val="20"/>
          <w:szCs w:val="20"/>
        </w:rPr>
        <w:t xml:space="preserve"> and Aditya Kulkarni</w:t>
      </w:r>
      <w:r w:rsidRPr="00984F59">
        <w:rPr>
          <w:rFonts w:ascii="Times New Roman" w:eastAsia="Times New Roman" w:hAnsi="Times New Roman" w:cs="Times New Roman"/>
          <w:color w:val="000000" w:themeColor="text1"/>
          <w:sz w:val="20"/>
          <w:szCs w:val="20"/>
          <w:vertAlign w:val="superscript"/>
        </w:rPr>
        <w:t>1,2*</w:t>
      </w:r>
    </w:p>
    <w:p w14:paraId="5EE1F773" w14:textId="77777777" w:rsidR="000F0997" w:rsidRPr="00984F59" w:rsidRDefault="000F0997" w:rsidP="000F0997">
      <w:pPr>
        <w:spacing w:after="0" w:line="360" w:lineRule="auto"/>
        <w:jc w:val="center"/>
        <w:rPr>
          <w:rFonts w:ascii="Times New Roman" w:eastAsia="Times New Roman" w:hAnsi="Times New Roman" w:cs="Times New Roman"/>
          <w:color w:val="000000" w:themeColor="text1"/>
          <w:sz w:val="20"/>
          <w:szCs w:val="20"/>
        </w:rPr>
      </w:pPr>
    </w:p>
    <w:p w14:paraId="1DDEE586" w14:textId="77777777" w:rsidR="000F0997" w:rsidRPr="00984F59" w:rsidRDefault="000F0997" w:rsidP="000F0997">
      <w:pPr>
        <w:spacing w:after="0" w:line="276" w:lineRule="auto"/>
        <w:rPr>
          <w:rFonts w:ascii="Times New Roman" w:eastAsia="Times New Roman" w:hAnsi="Times New Roman" w:cs="Times New Roman"/>
          <w:color w:val="000000" w:themeColor="text1"/>
          <w:sz w:val="20"/>
          <w:szCs w:val="20"/>
        </w:rPr>
      </w:pPr>
      <w:r w:rsidRPr="00984F59">
        <w:rPr>
          <w:rFonts w:ascii="Times New Roman" w:eastAsia="Times New Roman" w:hAnsi="Times New Roman" w:cs="Times New Roman"/>
          <w:color w:val="000000" w:themeColor="text1"/>
          <w:sz w:val="20"/>
          <w:szCs w:val="20"/>
          <w:vertAlign w:val="superscript"/>
        </w:rPr>
        <w:t>1</w:t>
      </w:r>
      <w:r w:rsidRPr="00984F59">
        <w:rPr>
          <w:rFonts w:ascii="Times New Roman" w:eastAsia="Times New Roman" w:hAnsi="Times New Roman" w:cs="Times New Roman"/>
          <w:color w:val="000000" w:themeColor="text1"/>
          <w:sz w:val="20"/>
          <w:szCs w:val="20"/>
        </w:rPr>
        <w:t>Avammune Therapeutics, Pennsylvania, USA; </w:t>
      </w:r>
    </w:p>
    <w:p w14:paraId="0B180AFE" w14:textId="64FF5E0E" w:rsidR="000F0997" w:rsidRPr="00984F59" w:rsidRDefault="000F0997" w:rsidP="000F0997">
      <w:pPr>
        <w:spacing w:after="0" w:line="276" w:lineRule="auto"/>
        <w:rPr>
          <w:rFonts w:ascii="Times New Roman" w:eastAsia="Times New Roman" w:hAnsi="Times New Roman" w:cs="Times New Roman"/>
          <w:color w:val="000000" w:themeColor="text1"/>
          <w:sz w:val="20"/>
          <w:szCs w:val="20"/>
        </w:rPr>
      </w:pPr>
      <w:r w:rsidRPr="00984F59">
        <w:rPr>
          <w:rFonts w:ascii="Times New Roman" w:eastAsia="Times New Roman" w:hAnsi="Times New Roman" w:cs="Times New Roman"/>
          <w:color w:val="000000" w:themeColor="text1"/>
          <w:sz w:val="20"/>
          <w:szCs w:val="20"/>
          <w:vertAlign w:val="superscript"/>
        </w:rPr>
        <w:t>2</w:t>
      </w:r>
      <w:r w:rsidRPr="00984F59">
        <w:rPr>
          <w:rFonts w:ascii="Times New Roman" w:eastAsia="Times New Roman" w:hAnsi="Times New Roman" w:cs="Times New Roman"/>
          <w:color w:val="000000" w:themeColor="text1"/>
          <w:sz w:val="20"/>
          <w:szCs w:val="20"/>
        </w:rPr>
        <w:t>Aten Porus</w:t>
      </w:r>
      <w:r w:rsidR="00D40C8D">
        <w:rPr>
          <w:rFonts w:ascii="Times New Roman" w:eastAsia="Times New Roman" w:hAnsi="Times New Roman" w:cs="Times New Roman"/>
          <w:color w:val="000000" w:themeColor="text1"/>
          <w:sz w:val="20"/>
          <w:szCs w:val="20"/>
        </w:rPr>
        <w:t xml:space="preserve"> </w:t>
      </w:r>
      <w:r w:rsidRPr="00984F59">
        <w:rPr>
          <w:rFonts w:ascii="Times New Roman" w:eastAsia="Times New Roman" w:hAnsi="Times New Roman" w:cs="Times New Roman"/>
          <w:color w:val="000000" w:themeColor="text1"/>
          <w:sz w:val="20"/>
          <w:szCs w:val="20"/>
        </w:rPr>
        <w:t>Lifesciences, Bangalore, India, </w:t>
      </w:r>
    </w:p>
    <w:p w14:paraId="346A666D" w14:textId="77777777" w:rsidR="000F0997" w:rsidRPr="00984F59" w:rsidRDefault="000F0997" w:rsidP="000F0997">
      <w:pPr>
        <w:spacing w:after="0" w:line="276" w:lineRule="auto"/>
        <w:rPr>
          <w:rFonts w:ascii="Times New Roman" w:eastAsia="Times New Roman" w:hAnsi="Times New Roman" w:cs="Times New Roman"/>
          <w:color w:val="000000" w:themeColor="text1"/>
          <w:sz w:val="20"/>
          <w:szCs w:val="20"/>
        </w:rPr>
      </w:pPr>
      <w:r w:rsidRPr="00984F59">
        <w:rPr>
          <w:rFonts w:ascii="Times New Roman" w:eastAsia="Times New Roman" w:hAnsi="Times New Roman" w:cs="Times New Roman"/>
          <w:color w:val="000000" w:themeColor="text1"/>
          <w:sz w:val="20"/>
          <w:szCs w:val="20"/>
          <w:vertAlign w:val="superscript"/>
        </w:rPr>
        <w:t>3</w:t>
      </w:r>
      <w:r w:rsidRPr="00984F59">
        <w:rPr>
          <w:rFonts w:ascii="Times New Roman" w:eastAsia="Times New Roman" w:hAnsi="Times New Roman" w:cs="Times New Roman"/>
          <w:color w:val="000000" w:themeColor="text1"/>
          <w:sz w:val="20"/>
          <w:szCs w:val="20"/>
        </w:rPr>
        <w:t>Department of Chemistry, Indian Institute of Science Education and Research (IISER), Bhopal</w:t>
      </w:r>
    </w:p>
    <w:p w14:paraId="70E82741" w14:textId="77777777" w:rsidR="000F0997" w:rsidRPr="00984F59" w:rsidRDefault="000F0997" w:rsidP="000F0997">
      <w:pPr>
        <w:spacing w:after="0" w:line="276" w:lineRule="auto"/>
        <w:rPr>
          <w:rFonts w:ascii="Times New Roman" w:eastAsia="Times New Roman" w:hAnsi="Times New Roman" w:cs="Times New Roman"/>
          <w:color w:val="000000" w:themeColor="text1"/>
          <w:sz w:val="20"/>
          <w:szCs w:val="20"/>
        </w:rPr>
      </w:pPr>
      <w:r w:rsidRPr="00984F59">
        <w:rPr>
          <w:rFonts w:ascii="Times New Roman" w:eastAsia="Times New Roman" w:hAnsi="Times New Roman" w:cs="Times New Roman"/>
          <w:color w:val="000000" w:themeColor="text1"/>
          <w:sz w:val="20"/>
          <w:szCs w:val="20"/>
          <w:vertAlign w:val="superscript"/>
        </w:rPr>
        <w:t>4</w:t>
      </w:r>
      <w:r w:rsidRPr="00984F59">
        <w:rPr>
          <w:rFonts w:ascii="Times New Roman" w:eastAsia="Times New Roman" w:hAnsi="Times New Roman" w:cs="Times New Roman"/>
          <w:color w:val="000000" w:themeColor="text1"/>
          <w:sz w:val="20"/>
          <w:szCs w:val="20"/>
          <w:shd w:val="clear" w:color="auto" w:fill="FFFFFF"/>
        </w:rPr>
        <w:t>Medical Research Council Human Immunology Unit, Radcliffe Department of Medicine, Medical Research Council Weatherall Institute of Molecular Medicine, University of Oxford, Oxford, UK</w:t>
      </w:r>
    </w:p>
    <w:p w14:paraId="1536E9A5" w14:textId="77777777" w:rsidR="000F0997" w:rsidRPr="00984F59" w:rsidRDefault="000F0997" w:rsidP="000F0997">
      <w:pPr>
        <w:spacing w:after="0" w:line="276" w:lineRule="auto"/>
        <w:rPr>
          <w:rFonts w:ascii="Times New Roman" w:eastAsia="Times New Roman" w:hAnsi="Times New Roman" w:cs="Times New Roman"/>
          <w:color w:val="000000" w:themeColor="text1"/>
          <w:sz w:val="20"/>
          <w:szCs w:val="20"/>
        </w:rPr>
      </w:pPr>
      <w:r w:rsidRPr="00984F59">
        <w:rPr>
          <w:rFonts w:ascii="Times New Roman" w:eastAsia="Times New Roman" w:hAnsi="Times New Roman" w:cs="Times New Roman"/>
          <w:color w:val="000000" w:themeColor="text1"/>
          <w:sz w:val="20"/>
          <w:szCs w:val="20"/>
        </w:rPr>
        <w:t># These authors contributed equally</w:t>
      </w:r>
    </w:p>
    <w:p w14:paraId="76AE0A52" w14:textId="6EFFC397" w:rsidR="000F0997" w:rsidRPr="00984F59" w:rsidRDefault="000F0997" w:rsidP="000F0997">
      <w:pPr>
        <w:spacing w:after="0" w:line="276" w:lineRule="auto"/>
        <w:rPr>
          <w:rFonts w:ascii="Times New Roman" w:eastAsia="Times New Roman" w:hAnsi="Times New Roman" w:cs="Times New Roman"/>
          <w:color w:val="000000" w:themeColor="text1"/>
          <w:sz w:val="20"/>
          <w:szCs w:val="20"/>
        </w:rPr>
      </w:pPr>
      <w:r w:rsidRPr="00984F59">
        <w:rPr>
          <w:rFonts w:ascii="Times New Roman" w:eastAsia="Times New Roman" w:hAnsi="Times New Roman" w:cs="Times New Roman"/>
          <w:color w:val="000000" w:themeColor="text1"/>
          <w:sz w:val="20"/>
          <w:szCs w:val="20"/>
        </w:rPr>
        <w:t>*Correspondence: aditya@avammune.com</w:t>
      </w:r>
    </w:p>
    <w:p w14:paraId="0DCEF283" w14:textId="77777777" w:rsidR="000F0997" w:rsidRPr="00984F59" w:rsidRDefault="000F0997" w:rsidP="000F0997">
      <w:pPr>
        <w:spacing w:after="0" w:line="480" w:lineRule="auto"/>
        <w:rPr>
          <w:rFonts w:ascii="Times New Roman" w:eastAsia="Times New Roman" w:hAnsi="Times New Roman" w:cs="Times New Roman"/>
          <w:b/>
          <w:bCs/>
          <w:color w:val="000000" w:themeColor="text1"/>
        </w:rPr>
      </w:pPr>
    </w:p>
    <w:p w14:paraId="00EF5C10" w14:textId="77777777" w:rsidR="000F0997" w:rsidRPr="00984F59" w:rsidRDefault="000F0997" w:rsidP="000F0997">
      <w:pPr>
        <w:shd w:val="clear" w:color="auto" w:fill="FFFFFF" w:themeFill="background1"/>
        <w:spacing w:line="360" w:lineRule="auto"/>
        <w:jc w:val="both"/>
        <w:rPr>
          <w:rFonts w:ascii="Times New Roman" w:hAnsi="Times New Roman" w:cs="Times New Roman"/>
          <w:color w:val="000000" w:themeColor="text1"/>
        </w:rPr>
      </w:pPr>
    </w:p>
    <w:p w14:paraId="79AB9146" w14:textId="77777777" w:rsidR="000F0997" w:rsidRPr="00984F59" w:rsidRDefault="000F0997" w:rsidP="000F0997">
      <w:pPr>
        <w:shd w:val="clear" w:color="auto" w:fill="FFFFFF" w:themeFill="background1"/>
        <w:spacing w:line="360" w:lineRule="auto"/>
        <w:jc w:val="both"/>
        <w:rPr>
          <w:color w:val="000000" w:themeColor="text1"/>
        </w:rPr>
      </w:pPr>
    </w:p>
    <w:p w14:paraId="45F124DD" w14:textId="77777777" w:rsidR="000F0997" w:rsidRDefault="000F0997" w:rsidP="000F0997">
      <w:pPr>
        <w:shd w:val="clear" w:color="auto" w:fill="FFFFFF" w:themeFill="background1"/>
        <w:spacing w:line="360" w:lineRule="auto"/>
        <w:jc w:val="both"/>
        <w:rPr>
          <w:color w:val="000000" w:themeColor="text1"/>
        </w:rPr>
      </w:pPr>
    </w:p>
    <w:p w14:paraId="64407137" w14:textId="77777777" w:rsidR="00984F59" w:rsidRDefault="00984F59" w:rsidP="000F0997">
      <w:pPr>
        <w:shd w:val="clear" w:color="auto" w:fill="FFFFFF" w:themeFill="background1"/>
        <w:spacing w:line="360" w:lineRule="auto"/>
        <w:jc w:val="both"/>
        <w:rPr>
          <w:color w:val="000000" w:themeColor="text1"/>
        </w:rPr>
      </w:pPr>
    </w:p>
    <w:p w14:paraId="17443289" w14:textId="77777777" w:rsidR="00984F59" w:rsidRDefault="00984F59" w:rsidP="000F0997">
      <w:pPr>
        <w:shd w:val="clear" w:color="auto" w:fill="FFFFFF" w:themeFill="background1"/>
        <w:spacing w:line="360" w:lineRule="auto"/>
        <w:jc w:val="both"/>
        <w:rPr>
          <w:color w:val="000000" w:themeColor="text1"/>
        </w:rPr>
      </w:pPr>
    </w:p>
    <w:p w14:paraId="2E53664C" w14:textId="77777777" w:rsidR="00984F59" w:rsidRDefault="00984F59" w:rsidP="000F0997">
      <w:pPr>
        <w:shd w:val="clear" w:color="auto" w:fill="FFFFFF" w:themeFill="background1"/>
        <w:spacing w:line="360" w:lineRule="auto"/>
        <w:jc w:val="both"/>
        <w:rPr>
          <w:color w:val="000000" w:themeColor="text1"/>
        </w:rPr>
      </w:pPr>
    </w:p>
    <w:p w14:paraId="508831BF" w14:textId="77777777" w:rsidR="00984F59" w:rsidRDefault="00984F59" w:rsidP="000F0997">
      <w:pPr>
        <w:shd w:val="clear" w:color="auto" w:fill="FFFFFF" w:themeFill="background1"/>
        <w:spacing w:line="360" w:lineRule="auto"/>
        <w:jc w:val="both"/>
        <w:rPr>
          <w:color w:val="000000" w:themeColor="text1"/>
        </w:rPr>
      </w:pPr>
    </w:p>
    <w:p w14:paraId="13E958D0" w14:textId="77777777" w:rsidR="00984F59" w:rsidRDefault="00984F59" w:rsidP="000F0997">
      <w:pPr>
        <w:shd w:val="clear" w:color="auto" w:fill="FFFFFF" w:themeFill="background1"/>
        <w:spacing w:line="360" w:lineRule="auto"/>
        <w:jc w:val="both"/>
        <w:rPr>
          <w:color w:val="000000" w:themeColor="text1"/>
        </w:rPr>
      </w:pPr>
    </w:p>
    <w:p w14:paraId="7A00D0AB" w14:textId="77777777" w:rsidR="00984F59" w:rsidRDefault="00984F59" w:rsidP="000F0997">
      <w:pPr>
        <w:shd w:val="clear" w:color="auto" w:fill="FFFFFF" w:themeFill="background1"/>
        <w:spacing w:line="360" w:lineRule="auto"/>
        <w:jc w:val="both"/>
        <w:rPr>
          <w:color w:val="000000" w:themeColor="text1"/>
        </w:rPr>
      </w:pPr>
    </w:p>
    <w:p w14:paraId="0C52174D" w14:textId="77777777" w:rsidR="00984F59" w:rsidRDefault="00984F59" w:rsidP="000F0997">
      <w:pPr>
        <w:shd w:val="clear" w:color="auto" w:fill="FFFFFF" w:themeFill="background1"/>
        <w:spacing w:line="360" w:lineRule="auto"/>
        <w:jc w:val="both"/>
        <w:rPr>
          <w:color w:val="000000" w:themeColor="text1"/>
        </w:rPr>
      </w:pPr>
    </w:p>
    <w:p w14:paraId="44549D18" w14:textId="77777777" w:rsidR="00984F59" w:rsidRDefault="00984F59" w:rsidP="000F0997">
      <w:pPr>
        <w:shd w:val="clear" w:color="auto" w:fill="FFFFFF" w:themeFill="background1"/>
        <w:spacing w:line="360" w:lineRule="auto"/>
        <w:jc w:val="both"/>
        <w:rPr>
          <w:color w:val="000000" w:themeColor="text1"/>
        </w:rPr>
      </w:pPr>
    </w:p>
    <w:p w14:paraId="7D1B7D6D" w14:textId="77777777" w:rsidR="00984F59" w:rsidRDefault="00984F59" w:rsidP="000F0997">
      <w:pPr>
        <w:shd w:val="clear" w:color="auto" w:fill="FFFFFF" w:themeFill="background1"/>
        <w:spacing w:line="360" w:lineRule="auto"/>
        <w:jc w:val="both"/>
        <w:rPr>
          <w:color w:val="000000" w:themeColor="text1"/>
        </w:rPr>
      </w:pPr>
    </w:p>
    <w:p w14:paraId="22A7CB64" w14:textId="77777777" w:rsidR="00984F59" w:rsidRDefault="00984F59" w:rsidP="000F0997">
      <w:pPr>
        <w:shd w:val="clear" w:color="auto" w:fill="FFFFFF" w:themeFill="background1"/>
        <w:spacing w:line="360" w:lineRule="auto"/>
        <w:jc w:val="both"/>
        <w:rPr>
          <w:color w:val="000000" w:themeColor="text1"/>
        </w:rPr>
      </w:pPr>
    </w:p>
    <w:p w14:paraId="1526C2C6" w14:textId="77777777" w:rsidR="000F0997" w:rsidRPr="00984F59" w:rsidRDefault="000F0997" w:rsidP="000F0997">
      <w:pPr>
        <w:rPr>
          <w:rFonts w:ascii="Times New Roman" w:hAnsi="Times New Roman" w:cs="Times New Roman"/>
          <w:b/>
          <w:bCs/>
          <w:color w:val="000000" w:themeColor="text1"/>
          <w:sz w:val="24"/>
          <w:szCs w:val="24"/>
        </w:rPr>
      </w:pPr>
    </w:p>
    <w:p w14:paraId="0B0AD404" w14:textId="1AD522FE" w:rsidR="000F0997" w:rsidRPr="00984F59" w:rsidRDefault="002A5291" w:rsidP="000F0997">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val="en-IN" w:eastAsia="en-IN"/>
        </w:rPr>
        <w:lastRenderedPageBreak/>
        <w:drawing>
          <wp:inline distT="0" distB="0" distL="0" distR="0" wp14:anchorId="499B0558" wp14:editId="5454FE92">
            <wp:extent cx="5931300" cy="567175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342" cy="5674660"/>
                    </a:xfrm>
                    <a:prstGeom prst="rect">
                      <a:avLst/>
                    </a:prstGeom>
                    <a:noFill/>
                  </pic:spPr>
                </pic:pic>
              </a:graphicData>
            </a:graphic>
          </wp:inline>
        </w:drawing>
      </w:r>
    </w:p>
    <w:p w14:paraId="6D9DAAC9" w14:textId="77777777" w:rsidR="00D40C8D" w:rsidRDefault="000F0997" w:rsidP="00D40C8D">
      <w:pPr>
        <w:pStyle w:val="NormalWeb"/>
        <w:spacing w:before="0" w:beforeAutospacing="0" w:after="0" w:afterAutospacing="0" w:line="480" w:lineRule="auto"/>
        <w:jc w:val="both"/>
      </w:pPr>
      <w:r w:rsidRPr="00984F59">
        <w:rPr>
          <w:b/>
          <w:bCs/>
          <w:color w:val="000000" w:themeColor="text1"/>
          <w:sz w:val="20"/>
          <w:szCs w:val="20"/>
          <w:lang w:val="en-IN"/>
        </w:rPr>
        <w:t>Supplementary Figure 1:</w:t>
      </w:r>
      <w:r w:rsidRPr="00984F59">
        <w:rPr>
          <w:color w:val="000000" w:themeColor="text1"/>
          <w:sz w:val="20"/>
          <w:szCs w:val="20"/>
        </w:rPr>
        <w:t xml:space="preserve"> </w:t>
      </w:r>
      <w:r w:rsidR="00D40C8D">
        <w:rPr>
          <w:rFonts w:eastAsia="Calibri" w:cs="+mn-cs"/>
          <w:b/>
          <w:bCs/>
          <w:color w:val="000000"/>
          <w:kern w:val="24"/>
          <w:sz w:val="20"/>
          <w:szCs w:val="20"/>
          <w:lang w:val="en-IN"/>
        </w:rPr>
        <w:t xml:space="preserve">(A) </w:t>
      </w:r>
      <w:r w:rsidR="00D40C8D">
        <w:rPr>
          <w:rFonts w:eastAsia="Calibri" w:cs="+mn-cs"/>
          <w:color w:val="000000"/>
          <w:kern w:val="24"/>
          <w:sz w:val="20"/>
          <w:szCs w:val="20"/>
          <w:lang w:val="en-IN"/>
        </w:rPr>
        <w:t>Purity of Z</w:t>
      </w:r>
      <w:r w:rsidR="00D40C8D">
        <w:rPr>
          <w:rFonts w:eastAsia="Calibri" w:hAnsi="Symbol"/>
          <w:color w:val="000000"/>
          <w:kern w:val="24"/>
          <w:sz w:val="20"/>
          <w:szCs w:val="20"/>
          <w:lang w:val="en-IN"/>
        </w:rPr>
        <w:sym w:font="Symbol" w:char="F061"/>
      </w:r>
      <w:r w:rsidR="00D40C8D">
        <w:rPr>
          <w:rFonts w:eastAsia="Calibri" w:cs="+mn-cs"/>
          <w:color w:val="000000"/>
          <w:kern w:val="24"/>
          <w:sz w:val="20"/>
          <w:szCs w:val="20"/>
          <w:lang w:val="en-IN"/>
        </w:rPr>
        <w:t xml:space="preserve"> domain using Coomassie staining.</w:t>
      </w:r>
      <w:r w:rsidR="00D40C8D">
        <w:rPr>
          <w:rFonts w:eastAsia="Calibri" w:cs="+mn-cs"/>
          <w:b/>
          <w:bCs/>
          <w:color w:val="000000"/>
          <w:kern w:val="24"/>
          <w:sz w:val="20"/>
          <w:szCs w:val="20"/>
          <w:lang w:val="en-IN"/>
        </w:rPr>
        <w:t xml:space="preserve"> (B) </w:t>
      </w:r>
      <w:r w:rsidR="00D40C8D">
        <w:rPr>
          <w:rFonts w:eastAsia="Calibri" w:cs="+mn-cs"/>
          <w:color w:val="000000"/>
          <w:kern w:val="24"/>
          <w:sz w:val="20"/>
          <w:szCs w:val="20"/>
          <w:lang w:val="en-IN"/>
        </w:rPr>
        <w:t xml:space="preserve">Normalized absorption and excitation spectra of only AVA-ADR-001. </w:t>
      </w:r>
      <w:r w:rsidR="00D40C8D">
        <w:rPr>
          <w:rFonts w:eastAsia="Calibri" w:cs="+mn-cs"/>
          <w:b/>
          <w:bCs/>
          <w:color w:val="000000"/>
          <w:kern w:val="24"/>
          <w:sz w:val="20"/>
          <w:szCs w:val="20"/>
          <w:lang w:val="en-IN"/>
        </w:rPr>
        <w:t xml:space="preserve">(C) </w:t>
      </w:r>
      <w:r w:rsidR="00D40C8D">
        <w:rPr>
          <w:rFonts w:eastAsia="Calibri" w:cs="+mn-cs"/>
          <w:color w:val="000000"/>
          <w:kern w:val="24"/>
          <w:sz w:val="20"/>
          <w:szCs w:val="20"/>
          <w:lang w:val="en-IN"/>
        </w:rPr>
        <w:t>Relative fluorescence intensities of Z</w:t>
      </w:r>
      <w:r w:rsidR="00D40C8D">
        <w:rPr>
          <w:rFonts w:eastAsia="Calibri" w:hAnsi="Symbol"/>
          <w:color w:val="000000"/>
          <w:kern w:val="24"/>
          <w:sz w:val="20"/>
          <w:szCs w:val="20"/>
          <w:lang w:val="en-IN"/>
        </w:rPr>
        <w:sym w:font="Symbol" w:char="F061"/>
      </w:r>
      <w:r w:rsidR="00D40C8D">
        <w:rPr>
          <w:rFonts w:eastAsia="Calibri" w:cs="+mn-cs"/>
          <w:color w:val="000000"/>
          <w:kern w:val="24"/>
          <w:sz w:val="20"/>
          <w:szCs w:val="20"/>
          <w:lang w:val="en-IN"/>
        </w:rPr>
        <w:t xml:space="preserve"> domain and AVA-ADR-001. </w:t>
      </w:r>
      <w:r w:rsidR="00D40C8D">
        <w:rPr>
          <w:rFonts w:eastAsia="Calibri" w:cs="+mn-cs"/>
          <w:b/>
          <w:bCs/>
          <w:color w:val="000000"/>
          <w:kern w:val="24"/>
          <w:sz w:val="20"/>
          <w:szCs w:val="20"/>
          <w:lang w:val="en-IN"/>
        </w:rPr>
        <w:t xml:space="preserve">(D) </w:t>
      </w:r>
      <w:r w:rsidR="00D40C8D">
        <w:rPr>
          <w:rFonts w:eastAsia="Calibri" w:cs="+mn-cs"/>
          <w:color w:val="000000"/>
          <w:kern w:val="24"/>
          <w:sz w:val="20"/>
          <w:szCs w:val="20"/>
          <w:lang w:val="en-IN"/>
        </w:rPr>
        <w:t>Influence of DMSO on the fluorescence intensity of Z</w:t>
      </w:r>
      <w:r w:rsidR="00D40C8D">
        <w:rPr>
          <w:rFonts w:eastAsia="Calibri" w:hAnsi="Symbol"/>
          <w:color w:val="000000"/>
          <w:kern w:val="24"/>
          <w:sz w:val="20"/>
          <w:szCs w:val="20"/>
          <w:lang w:val="en-IN"/>
        </w:rPr>
        <w:sym w:font="Symbol" w:char="F061"/>
      </w:r>
      <w:r w:rsidR="00D40C8D">
        <w:rPr>
          <w:rFonts w:eastAsia="Calibri" w:cs="+mn-cs"/>
          <w:color w:val="000000"/>
          <w:kern w:val="24"/>
          <w:sz w:val="20"/>
          <w:szCs w:val="20"/>
          <w:lang w:val="en-IN"/>
        </w:rPr>
        <w:t xml:space="preserve"> domain. </w:t>
      </w:r>
      <w:r w:rsidR="00D40C8D">
        <w:rPr>
          <w:rFonts w:eastAsia="Calibri"/>
          <w:b/>
          <w:bCs/>
          <w:color w:val="000000"/>
          <w:kern w:val="24"/>
          <w:sz w:val="20"/>
          <w:szCs w:val="20"/>
          <w:lang w:val="en-IN"/>
        </w:rPr>
        <w:t xml:space="preserve">(E) </w:t>
      </w:r>
      <w:r w:rsidR="00D40C8D">
        <w:rPr>
          <w:rFonts w:eastAsia="Calibri"/>
          <w:color w:val="000000"/>
          <w:kern w:val="24"/>
          <w:sz w:val="20"/>
          <w:szCs w:val="20"/>
          <w:lang w:val="en-IN"/>
        </w:rPr>
        <w:t>Stern-Volmer plots at three different temperatures as marked in the figure. (</w:t>
      </w:r>
      <w:r w:rsidR="00D40C8D">
        <w:rPr>
          <w:rFonts w:eastAsia="Calibri"/>
          <w:b/>
          <w:bCs/>
          <w:color w:val="000000"/>
          <w:kern w:val="24"/>
          <w:sz w:val="20"/>
          <w:szCs w:val="20"/>
          <w:lang w:val="en-IN"/>
        </w:rPr>
        <w:t xml:space="preserve">F) </w:t>
      </w:r>
      <w:r w:rsidR="00D40C8D">
        <w:rPr>
          <w:rFonts w:eastAsia="Calibri"/>
          <w:color w:val="000000"/>
          <w:kern w:val="24"/>
          <w:sz w:val="20"/>
          <w:szCs w:val="20"/>
          <w:lang w:val="en-IN"/>
        </w:rPr>
        <w:t xml:space="preserve">Double logarithmic plots at three different temperatures as marked in the figure. </w:t>
      </w:r>
      <w:r w:rsidR="00D40C8D">
        <w:rPr>
          <w:rFonts w:eastAsia="Calibri"/>
          <w:b/>
          <w:bCs/>
          <w:color w:val="000000"/>
          <w:kern w:val="24"/>
          <w:sz w:val="20"/>
          <w:szCs w:val="20"/>
          <w:lang w:val="en-IN"/>
        </w:rPr>
        <w:t xml:space="preserve">(G) </w:t>
      </w:r>
      <w:r w:rsidR="00D40C8D">
        <w:rPr>
          <w:rFonts w:eastAsia="Calibri"/>
          <w:color w:val="000000"/>
          <w:kern w:val="24"/>
          <w:sz w:val="20"/>
          <w:szCs w:val="20"/>
          <w:lang w:val="en-IN"/>
        </w:rPr>
        <w:t>Van’t Hoff plot for the estimation of thermodynamic parameters.</w:t>
      </w:r>
    </w:p>
    <w:p w14:paraId="3CA53F67" w14:textId="54ADE5DE" w:rsidR="000F0997" w:rsidRPr="00984F59" w:rsidRDefault="000F0997" w:rsidP="00D40C8D">
      <w:pPr>
        <w:spacing w:line="480" w:lineRule="auto"/>
        <w:jc w:val="both"/>
        <w:rPr>
          <w:rFonts w:ascii="Times New Roman" w:hAnsi="Times New Roman" w:cs="Times New Roman"/>
          <w:b/>
          <w:bCs/>
          <w:color w:val="000000" w:themeColor="text1"/>
          <w:sz w:val="24"/>
          <w:szCs w:val="24"/>
        </w:rPr>
      </w:pPr>
    </w:p>
    <w:p w14:paraId="2A7E2C09" w14:textId="77777777" w:rsidR="000F0997" w:rsidRPr="00984F59" w:rsidRDefault="000F0997" w:rsidP="000F0997">
      <w:pPr>
        <w:rPr>
          <w:rFonts w:ascii="Times New Roman" w:hAnsi="Times New Roman" w:cs="Times New Roman"/>
          <w:b/>
          <w:bCs/>
          <w:color w:val="000000" w:themeColor="text1"/>
          <w:sz w:val="24"/>
          <w:szCs w:val="24"/>
        </w:rPr>
      </w:pPr>
    </w:p>
    <w:p w14:paraId="456C1209" w14:textId="77777777" w:rsidR="000F0997" w:rsidRPr="00984F59" w:rsidRDefault="000F0997" w:rsidP="000F0997">
      <w:pPr>
        <w:rPr>
          <w:rFonts w:ascii="Times New Roman" w:hAnsi="Times New Roman" w:cs="Times New Roman"/>
          <w:b/>
          <w:bCs/>
          <w:color w:val="000000" w:themeColor="text1"/>
          <w:sz w:val="24"/>
          <w:szCs w:val="24"/>
        </w:rPr>
      </w:pPr>
    </w:p>
    <w:p w14:paraId="5DFCC905" w14:textId="77777777" w:rsidR="000F0997" w:rsidRPr="00984F59" w:rsidRDefault="000F0997" w:rsidP="000F0997">
      <w:pPr>
        <w:rPr>
          <w:color w:val="000000" w:themeColor="text1"/>
        </w:rPr>
      </w:pPr>
      <w:r w:rsidRPr="00984F59">
        <w:rPr>
          <w:noProof/>
          <w:color w:val="000000" w:themeColor="text1"/>
          <w:lang w:val="en-IN" w:eastAsia="en-IN"/>
        </w:rPr>
        <w:lastRenderedPageBreak/>
        <w:drawing>
          <wp:inline distT="0" distB="0" distL="0" distR="0" wp14:anchorId="0D14C5AF" wp14:editId="70F091D4">
            <wp:extent cx="5943600" cy="2513965"/>
            <wp:effectExtent l="0" t="0" r="0" b="635"/>
            <wp:docPr id="7" name="Picture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A2EBFE-D7BD-6411-9A5C-B822C0C0B9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A2EBFE-D7BD-6411-9A5C-B822C0C0B9D9}"/>
                        </a:ext>
                      </a:extLst>
                    </pic:cNvPr>
                    <pic:cNvPicPr>
                      <a:picLocks noChangeAspect="1"/>
                    </pic:cNvPicPr>
                  </pic:nvPicPr>
                  <pic:blipFill>
                    <a:blip r:embed="rId7"/>
                    <a:stretch>
                      <a:fillRect/>
                    </a:stretch>
                  </pic:blipFill>
                  <pic:spPr>
                    <a:xfrm>
                      <a:off x="0" y="0"/>
                      <a:ext cx="5943600" cy="2513965"/>
                    </a:xfrm>
                    <a:prstGeom prst="rect">
                      <a:avLst/>
                    </a:prstGeom>
                  </pic:spPr>
                </pic:pic>
              </a:graphicData>
            </a:graphic>
          </wp:inline>
        </w:drawing>
      </w:r>
    </w:p>
    <w:p w14:paraId="45B8B848" w14:textId="77777777" w:rsidR="000F0997" w:rsidRPr="00984F59" w:rsidRDefault="000F0997" w:rsidP="000F0997">
      <w:pPr>
        <w:spacing w:line="480" w:lineRule="auto"/>
        <w:jc w:val="both"/>
        <w:rPr>
          <w:rFonts w:ascii="Times New Roman" w:hAnsi="Times New Roman" w:cs="Times New Roman"/>
          <w:bCs/>
          <w:color w:val="000000" w:themeColor="text1"/>
          <w:sz w:val="20"/>
          <w:szCs w:val="20"/>
        </w:rPr>
      </w:pPr>
      <w:r w:rsidRPr="00984F59">
        <w:rPr>
          <w:rFonts w:ascii="Times New Roman" w:hAnsi="Times New Roman" w:cs="Times New Roman"/>
          <w:b/>
          <w:bCs/>
          <w:color w:val="000000" w:themeColor="text1"/>
          <w:sz w:val="20"/>
          <w:szCs w:val="20"/>
        </w:rPr>
        <w:t>Supplementary Figure 2:</w:t>
      </w:r>
      <w:r w:rsidRPr="00984F59">
        <w:rPr>
          <w:rFonts w:ascii="Times New Roman" w:hAnsi="Times New Roman" w:cs="Times New Roman"/>
          <w:bCs/>
          <w:color w:val="000000" w:themeColor="text1"/>
          <w:sz w:val="20"/>
          <w:szCs w:val="20"/>
        </w:rPr>
        <w:t xml:space="preserve"> RNA-seq data from Zeng et al 2015 were reanalyzed to plot specific ISGs that were upregulated. THP1 cells were treated with PMA for different time periods (24, 48 and 72 h) and subjected to RNA-seq analysis. The expression of the ISGs in the PMA treated cells were plotted in RPKM as compared to the untreated cells.</w:t>
      </w:r>
      <w:r w:rsidRPr="00984F59">
        <w:rPr>
          <w:rFonts w:ascii="Times New Roman" w:hAnsi="Times New Roman" w:cs="Times New Roman"/>
          <w:bCs/>
          <w:color w:val="000000" w:themeColor="text1"/>
          <w:sz w:val="20"/>
          <w:szCs w:val="20"/>
          <w:lang w:val="en-IN"/>
        </w:rPr>
        <w:t xml:space="preserve"> </w:t>
      </w:r>
    </w:p>
    <w:p w14:paraId="5A827879" w14:textId="77777777" w:rsidR="000F0997" w:rsidRPr="00984F59" w:rsidRDefault="000F0997" w:rsidP="000F0997">
      <w:pPr>
        <w:spacing w:line="480" w:lineRule="auto"/>
        <w:rPr>
          <w:rFonts w:ascii="Times New Roman" w:hAnsi="Times New Roman" w:cs="Times New Roman"/>
          <w:color w:val="000000" w:themeColor="text1"/>
        </w:rPr>
      </w:pPr>
    </w:p>
    <w:p w14:paraId="5A549D63" w14:textId="77777777" w:rsidR="000F0997" w:rsidRPr="00984F59" w:rsidRDefault="000F0997" w:rsidP="000F0997">
      <w:pPr>
        <w:jc w:val="center"/>
        <w:rPr>
          <w:noProof/>
          <w:color w:val="000000" w:themeColor="text1"/>
        </w:rPr>
      </w:pPr>
    </w:p>
    <w:p w14:paraId="7B26BA39" w14:textId="77777777" w:rsidR="000F0997" w:rsidRPr="00984F59" w:rsidRDefault="000F0997" w:rsidP="000F0997">
      <w:pPr>
        <w:jc w:val="center"/>
        <w:rPr>
          <w:noProof/>
          <w:color w:val="000000" w:themeColor="text1"/>
        </w:rPr>
      </w:pPr>
      <w:r w:rsidRPr="00984F59">
        <w:rPr>
          <w:noProof/>
          <w:color w:val="000000" w:themeColor="text1"/>
          <w:lang w:val="en-IN" w:eastAsia="en-IN"/>
        </w:rPr>
        <w:lastRenderedPageBreak/>
        <w:drawing>
          <wp:inline distT="0" distB="0" distL="0" distR="0" wp14:anchorId="58176840" wp14:editId="1507515E">
            <wp:extent cx="4610100" cy="7402848"/>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3875" cy="7408910"/>
                    </a:xfrm>
                    <a:prstGeom prst="rect">
                      <a:avLst/>
                    </a:prstGeom>
                    <a:noFill/>
                  </pic:spPr>
                </pic:pic>
              </a:graphicData>
            </a:graphic>
          </wp:inline>
        </w:drawing>
      </w:r>
    </w:p>
    <w:p w14:paraId="17C3260E" w14:textId="77777777" w:rsidR="000F0997" w:rsidRPr="00984F59" w:rsidRDefault="000F0997" w:rsidP="000F0997">
      <w:pPr>
        <w:spacing w:line="480" w:lineRule="auto"/>
        <w:jc w:val="both"/>
        <w:rPr>
          <w:rFonts w:ascii="Times New Roman" w:hAnsi="Times New Roman" w:cs="Times New Roman"/>
          <w:color w:val="000000" w:themeColor="text1"/>
          <w:sz w:val="20"/>
          <w:szCs w:val="20"/>
        </w:rPr>
      </w:pPr>
      <w:r w:rsidRPr="00984F59">
        <w:rPr>
          <w:rFonts w:ascii="Times New Roman" w:hAnsi="Times New Roman" w:cs="Times New Roman"/>
          <w:b/>
          <w:bCs/>
          <w:color w:val="000000" w:themeColor="text1"/>
          <w:sz w:val="20"/>
          <w:szCs w:val="20"/>
        </w:rPr>
        <w:t xml:space="preserve">Supplementary Figure 3: </w:t>
      </w:r>
      <w:r w:rsidRPr="00984F59">
        <w:rPr>
          <w:rFonts w:ascii="Times New Roman" w:hAnsi="Times New Roman" w:cs="Times New Roman"/>
          <w:color w:val="000000" w:themeColor="text1"/>
          <w:sz w:val="20"/>
          <w:szCs w:val="20"/>
        </w:rPr>
        <w:t xml:space="preserve">Evaluation of A-I editing upon treatment with AVA-ADR-001 at different sites. </w:t>
      </w:r>
      <w:r w:rsidRPr="00984F59">
        <w:rPr>
          <w:rFonts w:ascii="Times New Roman" w:hAnsi="Times New Roman" w:cs="Times New Roman"/>
          <w:b/>
          <w:color w:val="000000" w:themeColor="text1"/>
          <w:sz w:val="20"/>
          <w:szCs w:val="20"/>
        </w:rPr>
        <w:t>(A)</w:t>
      </w:r>
      <w:r w:rsidRPr="00984F59">
        <w:rPr>
          <w:rFonts w:ascii="Times New Roman" w:hAnsi="Times New Roman" w:cs="Times New Roman"/>
          <w:color w:val="000000" w:themeColor="text1"/>
          <w:sz w:val="20"/>
          <w:szCs w:val="20"/>
        </w:rPr>
        <w:t xml:space="preserve"> Percentage of editing for each genomic site in across A549 and HCT116 control and AVA-ADR-001 treated cells are </w:t>
      </w:r>
      <w:r w:rsidRPr="00984F59">
        <w:rPr>
          <w:rFonts w:ascii="Times New Roman" w:hAnsi="Times New Roman" w:cs="Times New Roman"/>
          <w:color w:val="000000" w:themeColor="text1"/>
          <w:sz w:val="20"/>
          <w:szCs w:val="20"/>
        </w:rPr>
        <w:lastRenderedPageBreak/>
        <w:t xml:space="preserve">depicted. </w:t>
      </w:r>
      <w:r w:rsidRPr="00984F59">
        <w:rPr>
          <w:rFonts w:ascii="Times New Roman" w:hAnsi="Times New Roman" w:cs="Times New Roman"/>
          <w:b/>
          <w:color w:val="000000" w:themeColor="text1"/>
          <w:sz w:val="20"/>
          <w:szCs w:val="20"/>
        </w:rPr>
        <w:t>(B)</w:t>
      </w:r>
      <w:r w:rsidRPr="00984F59">
        <w:rPr>
          <w:rFonts w:ascii="Times New Roman" w:hAnsi="Times New Roman" w:cs="Times New Roman"/>
          <w:color w:val="000000" w:themeColor="text1"/>
          <w:sz w:val="20"/>
          <w:szCs w:val="20"/>
        </w:rPr>
        <w:t xml:space="preserve"> The number of A-to-I edited sites in A549 control and treated cells. The number of edited sites has reduced in the A549 treated cells. </w:t>
      </w:r>
      <w:r w:rsidRPr="00984F59">
        <w:rPr>
          <w:rFonts w:ascii="Times New Roman" w:hAnsi="Times New Roman" w:cs="Times New Roman"/>
          <w:b/>
          <w:color w:val="000000" w:themeColor="text1"/>
          <w:sz w:val="20"/>
          <w:szCs w:val="20"/>
        </w:rPr>
        <w:t>(C)</w:t>
      </w:r>
      <w:r w:rsidRPr="00984F59">
        <w:rPr>
          <w:rFonts w:ascii="Times New Roman" w:hAnsi="Times New Roman" w:cs="Times New Roman"/>
          <w:color w:val="000000" w:themeColor="text1"/>
          <w:sz w:val="20"/>
          <w:szCs w:val="20"/>
        </w:rPr>
        <w:t xml:space="preserve"> The editing targets of ADAR1 p150 reported by Zhang et al, 2021, were evaluated to check the alterations in editing levels.</w:t>
      </w:r>
      <w:r w:rsidRPr="00984F59">
        <w:rPr>
          <w:rFonts w:ascii="Times New Roman" w:hAnsi="Times New Roman" w:cs="Times New Roman"/>
          <w:b/>
          <w:color w:val="000000" w:themeColor="text1"/>
          <w:sz w:val="20"/>
          <w:szCs w:val="20"/>
        </w:rPr>
        <w:t xml:space="preserve"> (D) </w:t>
      </w:r>
      <w:r w:rsidRPr="00984F59">
        <w:rPr>
          <w:rFonts w:ascii="Times New Roman" w:hAnsi="Times New Roman" w:cs="Times New Roman"/>
          <w:color w:val="000000" w:themeColor="text1"/>
          <w:sz w:val="20"/>
          <w:szCs w:val="20"/>
        </w:rPr>
        <w:t>Schematic diagram depicting the observations of KNL1 (3’UTR), AZIN1 and SLFN5 (Exon) edited in the control cells whereas hypo-editing observed in the AVA-ADR-001 treated cells (* denotes edited sites).</w:t>
      </w:r>
    </w:p>
    <w:p w14:paraId="36C69B59" w14:textId="78F18F8D" w:rsidR="000F0997" w:rsidRPr="00984F59" w:rsidRDefault="00D40C8D" w:rsidP="000F0997">
      <w:pPr>
        <w:spacing w:line="480" w:lineRule="auto"/>
        <w:jc w:val="both"/>
        <w:rPr>
          <w:rFonts w:ascii="Times New Roman" w:hAnsi="Times New Roman" w:cs="Times New Roman"/>
          <w:color w:val="000000" w:themeColor="text1"/>
        </w:rPr>
      </w:pPr>
      <w:r>
        <w:rPr>
          <w:rFonts w:ascii="Times New Roman" w:hAnsi="Times New Roman" w:cs="Times New Roman"/>
          <w:noProof/>
          <w:color w:val="000000" w:themeColor="text1"/>
          <w:lang w:val="en-IN" w:eastAsia="en-IN"/>
        </w:rPr>
        <w:drawing>
          <wp:inline distT="0" distB="0" distL="0" distR="0" wp14:anchorId="6ED35DE7" wp14:editId="55F6D260">
            <wp:extent cx="5261610" cy="4767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1610" cy="4767580"/>
                    </a:xfrm>
                    <a:prstGeom prst="rect">
                      <a:avLst/>
                    </a:prstGeom>
                    <a:noFill/>
                  </pic:spPr>
                </pic:pic>
              </a:graphicData>
            </a:graphic>
          </wp:inline>
        </w:drawing>
      </w:r>
    </w:p>
    <w:p w14:paraId="7C4276C7" w14:textId="4E9F8DEF" w:rsidR="000F0997" w:rsidRPr="00984F59" w:rsidRDefault="000F0997" w:rsidP="000F0997">
      <w:pPr>
        <w:jc w:val="center"/>
        <w:rPr>
          <w:color w:val="000000" w:themeColor="text1"/>
        </w:rPr>
      </w:pPr>
    </w:p>
    <w:p w14:paraId="32191B5E" w14:textId="1457C56F" w:rsidR="000F0997" w:rsidRPr="00C2719B" w:rsidRDefault="000F0997" w:rsidP="00C2719B">
      <w:pPr>
        <w:spacing w:line="480" w:lineRule="auto"/>
        <w:jc w:val="both"/>
        <w:rPr>
          <w:rFonts w:ascii="Times New Roman" w:hAnsi="Times New Roman" w:cs="Times New Roman"/>
          <w:color w:val="000000" w:themeColor="text1"/>
          <w:sz w:val="20"/>
          <w:szCs w:val="20"/>
        </w:rPr>
      </w:pPr>
      <w:r w:rsidRPr="00984F59">
        <w:rPr>
          <w:rFonts w:ascii="Times New Roman" w:hAnsi="Times New Roman" w:cs="Times New Roman"/>
          <w:b/>
          <w:bCs/>
          <w:color w:val="000000" w:themeColor="text1"/>
          <w:sz w:val="20"/>
          <w:szCs w:val="20"/>
        </w:rPr>
        <w:t>Supplementary Figure 4:</w:t>
      </w:r>
      <w:r w:rsidRPr="00984F59">
        <w:rPr>
          <w:rFonts w:ascii="Times New Roman" w:hAnsi="Times New Roman" w:cs="Times New Roman"/>
          <w:color w:val="000000" w:themeColor="text1"/>
          <w:sz w:val="20"/>
          <w:szCs w:val="20"/>
        </w:rPr>
        <w:t xml:space="preserve"> </w:t>
      </w:r>
      <w:r w:rsidR="00833A8C" w:rsidRPr="00984F59">
        <w:rPr>
          <w:rFonts w:ascii="Times New Roman" w:eastAsia="Times New Roman" w:hAnsi="Times New Roman" w:cs="Times New Roman"/>
          <w:b/>
          <w:bCs/>
          <w:color w:val="000000" w:themeColor="text1"/>
          <w:sz w:val="20"/>
          <w:szCs w:val="20"/>
          <w:lang w:eastAsia="en-IN"/>
        </w:rPr>
        <w:t>(A</w:t>
      </w:r>
      <w:r w:rsidR="00BF3857">
        <w:rPr>
          <w:rFonts w:ascii="Times New Roman" w:eastAsia="Times New Roman" w:hAnsi="Times New Roman" w:cs="Times New Roman"/>
          <w:b/>
          <w:bCs/>
          <w:color w:val="000000" w:themeColor="text1"/>
          <w:sz w:val="20"/>
          <w:szCs w:val="20"/>
          <w:lang w:eastAsia="en-IN"/>
        </w:rPr>
        <w:t>-B</w:t>
      </w:r>
      <w:r w:rsidR="00833A8C" w:rsidRPr="00984F59">
        <w:rPr>
          <w:rFonts w:ascii="Times New Roman" w:eastAsia="Times New Roman" w:hAnsi="Times New Roman" w:cs="Times New Roman"/>
          <w:b/>
          <w:bCs/>
          <w:color w:val="000000" w:themeColor="text1"/>
          <w:sz w:val="20"/>
          <w:szCs w:val="20"/>
          <w:lang w:eastAsia="en-IN"/>
        </w:rPr>
        <w:t>)</w:t>
      </w:r>
      <w:r w:rsidR="00833A8C" w:rsidRPr="00984F59">
        <w:rPr>
          <w:rFonts w:ascii="Times New Roman" w:eastAsia="Times New Roman" w:hAnsi="Times New Roman" w:cs="Times New Roman"/>
          <w:color w:val="000000" w:themeColor="text1"/>
          <w:sz w:val="20"/>
          <w:szCs w:val="20"/>
          <w:lang w:eastAsia="en-IN"/>
        </w:rPr>
        <w:t> T-cell cytotoxicity was evaluated using different concentrations of AVA-ADR-001 using a co-culture experiment with HCT116 and Jurkat 6</w:t>
      </w:r>
      <w:r w:rsidR="0030014B">
        <w:rPr>
          <w:rFonts w:ascii="Times New Roman" w:eastAsia="Times New Roman" w:hAnsi="Times New Roman" w:cs="Times New Roman"/>
          <w:color w:val="000000" w:themeColor="text1"/>
          <w:sz w:val="20"/>
          <w:szCs w:val="20"/>
          <w:lang w:eastAsia="en-IN"/>
        </w:rPr>
        <w:t>.1</w:t>
      </w:r>
      <w:bookmarkStart w:id="0" w:name="_GoBack"/>
      <w:bookmarkEnd w:id="0"/>
      <w:r w:rsidR="00833A8C" w:rsidRPr="00984F59">
        <w:rPr>
          <w:rFonts w:ascii="Times New Roman" w:eastAsia="Times New Roman" w:hAnsi="Times New Roman" w:cs="Times New Roman"/>
          <w:color w:val="000000" w:themeColor="text1"/>
          <w:sz w:val="20"/>
          <w:szCs w:val="20"/>
          <w:lang w:eastAsia="en-IN"/>
        </w:rPr>
        <w:t xml:space="preserve"> cells. Cell viability of HCT116 grown in co-culture with Jurkat-6 (1:5 and 1:10 ratio) treated with AVA-ADR-001 (10, 25, 50 μM) for 72h.</w:t>
      </w:r>
      <w:r w:rsidR="00BF3857" w:rsidRPr="00833A8C">
        <w:rPr>
          <w:rFonts w:ascii="Times New Roman" w:eastAsia="Times New Roman" w:hAnsi="Times New Roman" w:cs="Times New Roman"/>
          <w:b/>
          <w:bCs/>
          <w:color w:val="000000" w:themeColor="text1"/>
          <w:sz w:val="20"/>
          <w:szCs w:val="20"/>
          <w:lang w:eastAsia="en-IN"/>
        </w:rPr>
        <w:t xml:space="preserve"> </w:t>
      </w:r>
      <w:r w:rsidR="00833A8C" w:rsidRPr="00833A8C">
        <w:rPr>
          <w:rFonts w:ascii="Times New Roman" w:eastAsia="Times New Roman" w:hAnsi="Times New Roman" w:cs="Times New Roman"/>
          <w:b/>
          <w:bCs/>
          <w:color w:val="000000" w:themeColor="text1"/>
          <w:sz w:val="20"/>
          <w:szCs w:val="20"/>
          <w:lang w:eastAsia="en-IN"/>
        </w:rPr>
        <w:t>(C)</w:t>
      </w:r>
      <w:r w:rsidR="00833A8C">
        <w:rPr>
          <w:rFonts w:ascii="Times New Roman" w:eastAsia="Times New Roman" w:hAnsi="Times New Roman" w:cs="Times New Roman"/>
          <w:color w:val="000000" w:themeColor="text1"/>
          <w:sz w:val="20"/>
          <w:szCs w:val="20"/>
          <w:lang w:eastAsia="en-IN"/>
        </w:rPr>
        <w:t xml:space="preserve"> </w:t>
      </w:r>
      <w:r w:rsidRPr="00984F59">
        <w:rPr>
          <w:rFonts w:ascii="Times New Roman" w:hAnsi="Times New Roman" w:cs="Times New Roman"/>
          <w:color w:val="000000" w:themeColor="text1"/>
          <w:sz w:val="20"/>
          <w:szCs w:val="20"/>
        </w:rPr>
        <w:t xml:space="preserve">Body weight (g) of treatment groups with administration of AVA-ADR-001 and anti-PD1 treatment were evaluated on Day 1, 3, 5, 8 and 10. Error bars represented as, Mean ± SE. </w:t>
      </w:r>
    </w:p>
    <w:sectPr w:rsidR="000F0997" w:rsidRPr="00C2719B" w:rsidSect="000F0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E859FB"/>
    <w:multiLevelType w:val="multilevel"/>
    <w:tmpl w:val="7B306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trzvvz2dzd203etxfzvese6srrpe5f2erxw&quot;&gt;ADAR1 manuscript&lt;record-ids&gt;&lt;item&gt;1&lt;/item&gt;&lt;item&gt;2&lt;/item&gt;&lt;item&gt;3&lt;/item&gt;&lt;item&gt;4&lt;/item&gt;&lt;item&gt;5&lt;/item&gt;&lt;item&gt;6&lt;/item&gt;&lt;item&gt;7&lt;/item&gt;&lt;item&gt;10&lt;/item&gt;&lt;item&gt;11&lt;/item&gt;&lt;item&gt;12&lt;/item&gt;&lt;item&gt;13&lt;/item&gt;&lt;item&gt;14&lt;/item&gt;&lt;item&gt;15&lt;/item&gt;&lt;item&gt;16&lt;/item&gt;&lt;item&gt;17&lt;/item&gt;&lt;item&gt;18&lt;/item&gt;&lt;item&gt;19&lt;/item&gt;&lt;item&gt;20&lt;/item&gt;&lt;item&gt;21&lt;/item&gt;&lt;item&gt;30&lt;/item&gt;&lt;item&gt;31&lt;/item&gt;&lt;item&gt;32&lt;/item&gt;&lt;item&gt;33&lt;/item&gt;&lt;item&gt;34&lt;/item&gt;&lt;item&gt;36&lt;/item&gt;&lt;item&gt;37&lt;/item&gt;&lt;item&gt;38&lt;/item&gt;&lt;item&gt;39&lt;/item&gt;&lt;item&gt;40&lt;/item&gt;&lt;item&gt;41&lt;/item&gt;&lt;item&gt;42&lt;/item&gt;&lt;item&gt;43&lt;/item&gt;&lt;item&gt;44&lt;/item&gt;&lt;item&gt;45&lt;/item&gt;&lt;item&gt;46&lt;/item&gt;&lt;item&gt;47&lt;/item&gt;&lt;item&gt;48&lt;/item&gt;&lt;item&gt;50&lt;/item&gt;&lt;item&gt;51&lt;/item&gt;&lt;item&gt;52&lt;/item&gt;&lt;item&gt;53&lt;/item&gt;&lt;item&gt;54&lt;/item&gt;&lt;item&gt;55&lt;/item&gt;&lt;item&gt;56&lt;/item&gt;&lt;item&gt;57&lt;/item&gt;&lt;item&gt;58&lt;/item&gt;&lt;item&gt;59&lt;/item&gt;&lt;item&gt;60&lt;/item&gt;&lt;item&gt;63&lt;/item&gt;&lt;item&gt;64&lt;/item&gt;&lt;item&gt;65&lt;/item&gt;&lt;item&gt;66&lt;/item&gt;&lt;item&gt;67&lt;/item&gt;&lt;item&gt;68&lt;/item&gt;&lt;item&gt;69&lt;/item&gt;&lt;item&gt;70&lt;/item&gt;&lt;/record-ids&gt;&lt;/item&gt;&lt;/Libraries&gt;"/>
  </w:docVars>
  <w:rsids>
    <w:rsidRoot w:val="00B54653"/>
    <w:rsid w:val="00002CAE"/>
    <w:rsid w:val="0002621A"/>
    <w:rsid w:val="00093A5E"/>
    <w:rsid w:val="000B2A47"/>
    <w:rsid w:val="000F0997"/>
    <w:rsid w:val="00180980"/>
    <w:rsid w:val="0022363F"/>
    <w:rsid w:val="00273E28"/>
    <w:rsid w:val="002A003F"/>
    <w:rsid w:val="002A5291"/>
    <w:rsid w:val="0030014B"/>
    <w:rsid w:val="003C3D7E"/>
    <w:rsid w:val="00430CD5"/>
    <w:rsid w:val="00557DC8"/>
    <w:rsid w:val="00571027"/>
    <w:rsid w:val="006771F7"/>
    <w:rsid w:val="00720CAE"/>
    <w:rsid w:val="007B7572"/>
    <w:rsid w:val="0080120C"/>
    <w:rsid w:val="00833A8C"/>
    <w:rsid w:val="009558FF"/>
    <w:rsid w:val="00984F59"/>
    <w:rsid w:val="00AD24D3"/>
    <w:rsid w:val="00B54653"/>
    <w:rsid w:val="00B6527F"/>
    <w:rsid w:val="00B90D41"/>
    <w:rsid w:val="00BF3857"/>
    <w:rsid w:val="00C2719B"/>
    <w:rsid w:val="00CA7118"/>
    <w:rsid w:val="00CC7444"/>
    <w:rsid w:val="00D03274"/>
    <w:rsid w:val="00D40C8D"/>
    <w:rsid w:val="00DB734A"/>
    <w:rsid w:val="00DE5411"/>
    <w:rsid w:val="00E00C95"/>
    <w:rsid w:val="00E242E9"/>
    <w:rsid w:val="00E56C4F"/>
    <w:rsid w:val="00F126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0ACD"/>
  <w15:chartTrackingRefBased/>
  <w15:docId w15:val="{59496C64-365B-4D7A-88DB-A5FF6469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99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997"/>
    <w:rPr>
      <w:lang w:val="en-US"/>
    </w:rPr>
  </w:style>
  <w:style w:type="paragraph" w:styleId="Footer">
    <w:name w:val="footer"/>
    <w:basedOn w:val="Normal"/>
    <w:link w:val="FooterChar"/>
    <w:uiPriority w:val="99"/>
    <w:unhideWhenUsed/>
    <w:rsid w:val="000F0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997"/>
    <w:rPr>
      <w:lang w:val="en-US"/>
    </w:rPr>
  </w:style>
  <w:style w:type="paragraph" w:styleId="NormalWeb">
    <w:name w:val="Normal (Web)"/>
    <w:basedOn w:val="Normal"/>
    <w:uiPriority w:val="99"/>
    <w:unhideWhenUsed/>
    <w:rsid w:val="000F09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0997"/>
    <w:rPr>
      <w:color w:val="0000FF"/>
      <w:u w:val="single"/>
    </w:rPr>
  </w:style>
  <w:style w:type="paragraph" w:customStyle="1" w:styleId="EndNoteBibliographyTitle">
    <w:name w:val="EndNote Bibliography Title"/>
    <w:basedOn w:val="Normal"/>
    <w:link w:val="EndNoteBibliographyTitleChar"/>
    <w:rsid w:val="000F099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F0997"/>
    <w:rPr>
      <w:rFonts w:ascii="Calibri" w:hAnsi="Calibri" w:cs="Calibri"/>
      <w:noProof/>
      <w:lang w:val="en-US"/>
    </w:rPr>
  </w:style>
  <w:style w:type="paragraph" w:customStyle="1" w:styleId="EndNoteBibliography">
    <w:name w:val="EndNote Bibliography"/>
    <w:basedOn w:val="Normal"/>
    <w:link w:val="EndNoteBibliographyChar"/>
    <w:rsid w:val="000F099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F0997"/>
    <w:rPr>
      <w:rFonts w:ascii="Calibri" w:hAnsi="Calibri" w:cs="Calibri"/>
      <w:noProof/>
      <w:lang w:val="en-US"/>
    </w:rPr>
  </w:style>
  <w:style w:type="character" w:styleId="CommentReference">
    <w:name w:val="annotation reference"/>
    <w:basedOn w:val="DefaultParagraphFont"/>
    <w:uiPriority w:val="99"/>
    <w:semiHidden/>
    <w:unhideWhenUsed/>
    <w:rsid w:val="000F0997"/>
    <w:rPr>
      <w:sz w:val="16"/>
      <w:szCs w:val="16"/>
    </w:rPr>
  </w:style>
  <w:style w:type="paragraph" w:styleId="CommentText">
    <w:name w:val="annotation text"/>
    <w:basedOn w:val="Normal"/>
    <w:link w:val="CommentTextChar"/>
    <w:uiPriority w:val="99"/>
    <w:semiHidden/>
    <w:unhideWhenUsed/>
    <w:rsid w:val="000F0997"/>
    <w:pPr>
      <w:spacing w:line="240" w:lineRule="auto"/>
    </w:pPr>
    <w:rPr>
      <w:sz w:val="20"/>
      <w:szCs w:val="20"/>
    </w:rPr>
  </w:style>
  <w:style w:type="character" w:customStyle="1" w:styleId="CommentTextChar">
    <w:name w:val="Comment Text Char"/>
    <w:basedOn w:val="DefaultParagraphFont"/>
    <w:link w:val="CommentText"/>
    <w:uiPriority w:val="99"/>
    <w:semiHidden/>
    <w:rsid w:val="000F0997"/>
    <w:rPr>
      <w:sz w:val="20"/>
      <w:szCs w:val="20"/>
      <w:lang w:val="en-US"/>
    </w:rPr>
  </w:style>
  <w:style w:type="character" w:customStyle="1" w:styleId="CommentSubjectChar">
    <w:name w:val="Comment Subject Char"/>
    <w:basedOn w:val="CommentTextChar"/>
    <w:link w:val="CommentSubject"/>
    <w:uiPriority w:val="99"/>
    <w:semiHidden/>
    <w:rsid w:val="000F0997"/>
    <w:rPr>
      <w:b/>
      <w:bCs/>
      <w:sz w:val="20"/>
      <w:szCs w:val="20"/>
      <w:lang w:val="en-US"/>
    </w:rPr>
  </w:style>
  <w:style w:type="paragraph" w:styleId="CommentSubject">
    <w:name w:val="annotation subject"/>
    <w:basedOn w:val="CommentText"/>
    <w:next w:val="CommentText"/>
    <w:link w:val="CommentSubjectChar"/>
    <w:uiPriority w:val="99"/>
    <w:semiHidden/>
    <w:unhideWhenUsed/>
    <w:rsid w:val="000F0997"/>
    <w:rPr>
      <w:b/>
      <w:bCs/>
    </w:rPr>
  </w:style>
  <w:style w:type="character" w:customStyle="1" w:styleId="CommentSubjectChar1">
    <w:name w:val="Comment Subject Char1"/>
    <w:basedOn w:val="CommentTextChar"/>
    <w:uiPriority w:val="99"/>
    <w:semiHidden/>
    <w:rsid w:val="000F0997"/>
    <w:rPr>
      <w:b/>
      <w:bCs/>
      <w:sz w:val="20"/>
      <w:szCs w:val="20"/>
      <w:lang w:val="en-US"/>
    </w:rPr>
  </w:style>
  <w:style w:type="paragraph" w:customStyle="1" w:styleId="paragraph">
    <w:name w:val="paragraph"/>
    <w:basedOn w:val="Normal"/>
    <w:rsid w:val="000F09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F0997"/>
  </w:style>
  <w:style w:type="character" w:customStyle="1" w:styleId="eop">
    <w:name w:val="eop"/>
    <w:basedOn w:val="DefaultParagraphFont"/>
    <w:rsid w:val="000F0997"/>
  </w:style>
  <w:style w:type="paragraph" w:styleId="BalloonText">
    <w:name w:val="Balloon Text"/>
    <w:basedOn w:val="Normal"/>
    <w:link w:val="BalloonTextChar"/>
    <w:uiPriority w:val="99"/>
    <w:semiHidden/>
    <w:unhideWhenUsed/>
    <w:rsid w:val="000F0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997"/>
    <w:rPr>
      <w:rFonts w:ascii="Segoe UI" w:hAnsi="Segoe UI" w:cs="Segoe UI"/>
      <w:sz w:val="18"/>
      <w:szCs w:val="18"/>
      <w:lang w:val="en-US"/>
    </w:rPr>
  </w:style>
  <w:style w:type="paragraph" w:customStyle="1" w:styleId="Normal1">
    <w:name w:val="Normal1"/>
    <w:rsid w:val="000F0997"/>
    <w:pPr>
      <w:spacing w:after="200" w:line="276" w:lineRule="auto"/>
    </w:pPr>
    <w:rPr>
      <w:rFonts w:ascii="Calibri" w:eastAsia="Calibri" w:hAnsi="Calibri" w:cs="Calibri"/>
      <w:lang w:eastAsia="en-IN"/>
    </w:rPr>
  </w:style>
  <w:style w:type="character" w:styleId="Strong">
    <w:name w:val="Strong"/>
    <w:basedOn w:val="DefaultParagraphFont"/>
    <w:uiPriority w:val="22"/>
    <w:qFormat/>
    <w:rsid w:val="000F0997"/>
    <w:rPr>
      <w:b/>
      <w:bCs/>
    </w:rPr>
  </w:style>
  <w:style w:type="character" w:styleId="FollowedHyperlink">
    <w:name w:val="FollowedHyperlink"/>
    <w:basedOn w:val="DefaultParagraphFont"/>
    <w:uiPriority w:val="99"/>
    <w:semiHidden/>
    <w:unhideWhenUsed/>
    <w:rsid w:val="000F0997"/>
    <w:rPr>
      <w:color w:val="954F72" w:themeColor="followedHyperlink"/>
      <w:u w:val="single"/>
    </w:rPr>
  </w:style>
  <w:style w:type="paragraph" w:styleId="Revision">
    <w:name w:val="Revision"/>
    <w:hidden/>
    <w:uiPriority w:val="99"/>
    <w:semiHidden/>
    <w:rsid w:val="00571027"/>
    <w:pPr>
      <w:spacing w:after="0" w:line="240" w:lineRule="auto"/>
    </w:pPr>
    <w:rPr>
      <w:lang w:val="en-US"/>
    </w:rPr>
  </w:style>
  <w:style w:type="character" w:customStyle="1" w:styleId="UnresolvedMention1">
    <w:name w:val="Unresolved Mention1"/>
    <w:basedOn w:val="DefaultParagraphFont"/>
    <w:uiPriority w:val="99"/>
    <w:semiHidden/>
    <w:unhideWhenUsed/>
    <w:rsid w:val="0057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541887">
      <w:bodyDiv w:val="1"/>
      <w:marLeft w:val="0"/>
      <w:marRight w:val="0"/>
      <w:marTop w:val="0"/>
      <w:marBottom w:val="0"/>
      <w:divBdr>
        <w:top w:val="none" w:sz="0" w:space="0" w:color="auto"/>
        <w:left w:val="none" w:sz="0" w:space="0" w:color="auto"/>
        <w:bottom w:val="none" w:sz="0" w:space="0" w:color="auto"/>
        <w:right w:val="none" w:sz="0" w:space="0" w:color="auto"/>
      </w:divBdr>
    </w:div>
    <w:div w:id="46230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FAB02-209D-4CE9-B40B-9004626A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19</cp:revision>
  <dcterms:created xsi:type="dcterms:W3CDTF">2023-02-09T05:22:00Z</dcterms:created>
  <dcterms:modified xsi:type="dcterms:W3CDTF">2023-03-07T11:04:00Z</dcterms:modified>
</cp:coreProperties>
</file>