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FB097" w14:textId="77777777" w:rsidR="000D52ED" w:rsidRPr="000D52ED" w:rsidRDefault="00CA15DD" w:rsidP="000D52ED">
      <w:pPr>
        <w:rPr>
          <w:b/>
        </w:rPr>
      </w:pPr>
      <w:r w:rsidRPr="00D64A85">
        <w:rPr>
          <w:b/>
        </w:rPr>
        <w:t>Supplements</w:t>
      </w:r>
    </w:p>
    <w:p w14:paraId="1E7FB098" w14:textId="77777777" w:rsidR="00172A57" w:rsidRDefault="00172A57" w:rsidP="00172A57">
      <w:pPr>
        <w:rPr>
          <w:b/>
        </w:rPr>
      </w:pPr>
      <w:r w:rsidRPr="00AA48D4">
        <w:rPr>
          <w:b/>
        </w:rPr>
        <w:t>Data</w:t>
      </w:r>
    </w:p>
    <w:p w14:paraId="1E7FB099" w14:textId="77777777" w:rsidR="00172A57" w:rsidRDefault="00172A57" w:rsidP="00172A57">
      <w:pPr>
        <w:jc w:val="center"/>
        <w:rPr>
          <w:b/>
        </w:rPr>
      </w:pPr>
      <w:r>
        <w:rPr>
          <w:noProof/>
          <w:lang w:eastAsia="ms-MY"/>
        </w:rPr>
        <mc:AlternateContent>
          <mc:Choice Requires="wps">
            <w:drawing>
              <wp:anchor distT="0" distB="0" distL="114300" distR="114300" simplePos="0" relativeHeight="251661312" behindDoc="0" locked="0" layoutInCell="1" allowOverlap="1" wp14:anchorId="1E7FB187" wp14:editId="1E7FB188">
                <wp:simplePos x="0" y="0"/>
                <wp:positionH relativeFrom="column">
                  <wp:posOffset>1446985</wp:posOffset>
                </wp:positionH>
                <wp:positionV relativeFrom="paragraph">
                  <wp:posOffset>3590536</wp:posOffset>
                </wp:positionV>
                <wp:extent cx="252095" cy="245660"/>
                <wp:effectExtent l="0" t="0" r="14605" b="21590"/>
                <wp:wrapNone/>
                <wp:docPr id="6" name="Text Box 6"/>
                <wp:cNvGraphicFramePr/>
                <a:graphic xmlns:a="http://schemas.openxmlformats.org/drawingml/2006/main">
                  <a:graphicData uri="http://schemas.microsoft.com/office/word/2010/wordprocessingShape">
                    <wps:wsp>
                      <wps:cNvSpPr txBox="1"/>
                      <wps:spPr>
                        <a:xfrm>
                          <a:off x="0" y="0"/>
                          <a:ext cx="252095" cy="245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7FB199" w14:textId="77777777" w:rsidR="00172A57" w:rsidRDefault="00172A57" w:rsidP="00172A57">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7FB187" id="_x0000_t202" coordsize="21600,21600" o:spt="202" path="m,l,21600r21600,l21600,xe">
                <v:stroke joinstyle="miter"/>
                <v:path gradientshapeok="t" o:connecttype="rect"/>
              </v:shapetype>
              <v:shape id="Text Box 6" o:spid="_x0000_s1026" type="#_x0000_t202" style="position:absolute;left:0;text-align:left;margin-left:113.95pt;margin-top:282.7pt;width:19.85pt;height:19.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" fillcolor="white [3201]" strokeweight=".5pt">
                <v:textbox>
                  <w:txbxContent>
                    <w:p w14:paraId="1E7FB199" w14:textId="77777777" w:rsidR="00172A57" w:rsidRDefault="00172A57" w:rsidP="00172A57">
                      <w:r>
                        <w:t>C</w:t>
                      </w:r>
                    </w:p>
                  </w:txbxContent>
                </v:textbox>
              </v:shape>
            </w:pict>
          </mc:Fallback>
        </mc:AlternateContent>
      </w:r>
      <w:r>
        <w:rPr>
          <w:noProof/>
          <w:lang w:eastAsia="ms-MY"/>
        </w:rPr>
        <mc:AlternateContent>
          <mc:Choice Requires="wps">
            <w:drawing>
              <wp:anchor distT="0" distB="0" distL="114300" distR="114300" simplePos="0" relativeHeight="251660288" behindDoc="0" locked="0" layoutInCell="1" allowOverlap="1" wp14:anchorId="1E7FB189" wp14:editId="1E7FB18A">
                <wp:simplePos x="0" y="0"/>
                <wp:positionH relativeFrom="column">
                  <wp:posOffset>1446985</wp:posOffset>
                </wp:positionH>
                <wp:positionV relativeFrom="paragraph">
                  <wp:posOffset>1768560</wp:posOffset>
                </wp:positionV>
                <wp:extent cx="252095" cy="245660"/>
                <wp:effectExtent l="0" t="0" r="14605" b="21590"/>
                <wp:wrapNone/>
                <wp:docPr id="5" name="Text Box 5"/>
                <wp:cNvGraphicFramePr/>
                <a:graphic xmlns:a="http://schemas.openxmlformats.org/drawingml/2006/main">
                  <a:graphicData uri="http://schemas.microsoft.com/office/word/2010/wordprocessingShape">
                    <wps:wsp>
                      <wps:cNvSpPr txBox="1"/>
                      <wps:spPr>
                        <a:xfrm>
                          <a:off x="0" y="0"/>
                          <a:ext cx="252095" cy="245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7FB19A" w14:textId="77777777" w:rsidR="00172A57" w:rsidRDefault="00172A57" w:rsidP="00172A5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7FB189" id="Text Box 5" o:spid="_x0000_s1027" type="#_x0000_t202" style="position:absolute;left:0;text-align:left;margin-left:113.95pt;margin-top:139.25pt;width:19.85pt;height:19.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" fillcolor="white [3201]" strokeweight=".5pt">
                <v:textbox>
                  <w:txbxContent>
                    <w:p w14:paraId="1E7FB19A" w14:textId="77777777" w:rsidR="00172A57" w:rsidRDefault="00172A57" w:rsidP="00172A57">
                      <w:r>
                        <w:t>B</w:t>
                      </w:r>
                    </w:p>
                  </w:txbxContent>
                </v:textbox>
              </v:shape>
            </w:pict>
          </mc:Fallback>
        </mc:AlternateContent>
      </w:r>
      <w:r>
        <w:rPr>
          <w:noProof/>
          <w:lang w:eastAsia="ms-MY"/>
        </w:rPr>
        <mc:AlternateContent>
          <mc:Choice Requires="wps">
            <w:drawing>
              <wp:anchor distT="0" distB="0" distL="114300" distR="114300" simplePos="0" relativeHeight="251659264" behindDoc="0" locked="0" layoutInCell="1" allowOverlap="1" wp14:anchorId="1E7FB18B" wp14:editId="1E7FB18C">
                <wp:simplePos x="0" y="0"/>
                <wp:positionH relativeFrom="column">
                  <wp:posOffset>1446985</wp:posOffset>
                </wp:positionH>
                <wp:positionV relativeFrom="paragraph">
                  <wp:posOffset>110357</wp:posOffset>
                </wp:positionV>
                <wp:extent cx="252484" cy="245660"/>
                <wp:effectExtent l="0" t="0" r="14605" b="21590"/>
                <wp:wrapNone/>
                <wp:docPr id="4" name="Text Box 4"/>
                <wp:cNvGraphicFramePr/>
                <a:graphic xmlns:a="http://schemas.openxmlformats.org/drawingml/2006/main">
                  <a:graphicData uri="http://schemas.microsoft.com/office/word/2010/wordprocessingShape">
                    <wps:wsp>
                      <wps:cNvSpPr txBox="1"/>
                      <wps:spPr>
                        <a:xfrm>
                          <a:off x="0" y="0"/>
                          <a:ext cx="252484" cy="245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7FB19B" w14:textId="77777777" w:rsidR="00172A57" w:rsidRDefault="00172A57" w:rsidP="00172A5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FB18B" id="Text Box 4" o:spid="_x0000_s1028" type="#_x0000_t202" style="position:absolute;left:0;text-align:left;margin-left:113.95pt;margin-top:8.7pt;width:19.9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" fillcolor="white [3201]" strokeweight=".5pt">
                <v:textbox>
                  <w:txbxContent>
                    <w:p w14:paraId="1E7FB19B" w14:textId="77777777" w:rsidR="00172A57" w:rsidRDefault="00172A57" w:rsidP="00172A57">
                      <w:r>
                        <w:t>A</w:t>
                      </w:r>
                    </w:p>
                  </w:txbxContent>
                </v:textbox>
              </v:shape>
            </w:pict>
          </mc:Fallback>
        </mc:AlternateContent>
      </w:r>
      <w:r>
        <w:rPr>
          <w:noProof/>
          <w:lang w:eastAsia="ms-MY"/>
        </w:rPr>
        <w:drawing>
          <wp:inline distT="0" distB="0" distL="0" distR="0" wp14:anchorId="1E7FB18D" wp14:editId="1E7FB18E">
            <wp:extent cx="3070225" cy="1664174"/>
            <wp:effectExtent l="0" t="0" r="1587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noProof/>
          <w:lang w:eastAsia="ms-MY"/>
        </w:rPr>
        <w:drawing>
          <wp:inline distT="0" distB="0" distL="0" distR="0" wp14:anchorId="1E7FB18F" wp14:editId="1E7FB190">
            <wp:extent cx="3070225" cy="1801504"/>
            <wp:effectExtent l="0" t="0" r="1587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noProof/>
          <w:lang w:eastAsia="ms-MY"/>
        </w:rPr>
        <w:drawing>
          <wp:inline distT="0" distB="0" distL="0" distR="0" wp14:anchorId="1E7FB191" wp14:editId="1E7FB192">
            <wp:extent cx="3070747" cy="1910687"/>
            <wp:effectExtent l="0" t="0" r="15875"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7FB09A" w14:textId="77777777" w:rsidR="00172A57" w:rsidRDefault="00172A57" w:rsidP="00172A57">
      <w:pPr>
        <w:jc w:val="both"/>
        <w:rPr>
          <w:rFonts w:ascii="Arial" w:hAnsi="Arial" w:cs="Arial"/>
          <w:sz w:val="20"/>
        </w:rPr>
      </w:pPr>
      <w:r w:rsidRPr="00136D76">
        <w:rPr>
          <w:rFonts w:ascii="Arial" w:hAnsi="Arial" w:cs="Arial"/>
          <w:b/>
          <w:sz w:val="20"/>
        </w:rPr>
        <w:t xml:space="preserve">Figure </w:t>
      </w:r>
      <w:r w:rsidR="00553F99">
        <w:rPr>
          <w:rFonts w:ascii="Arial" w:hAnsi="Arial" w:cs="Arial"/>
          <w:b/>
          <w:sz w:val="20"/>
        </w:rPr>
        <w:t>S</w:t>
      </w:r>
      <w:r w:rsidRPr="00136D76">
        <w:rPr>
          <w:rFonts w:ascii="Arial" w:hAnsi="Arial" w:cs="Arial"/>
          <w:b/>
          <w:sz w:val="20"/>
        </w:rPr>
        <w:t xml:space="preserve">1: Cells Number against Fluorescence Arbitary Unit </w:t>
      </w:r>
      <w:r w:rsidRPr="00136D76">
        <w:rPr>
          <w:rFonts w:ascii="Arial" w:hAnsi="Arial" w:cs="Arial"/>
          <w:sz w:val="20"/>
        </w:rPr>
        <w:t>A) Cell Stained in PBS and resuspended in PBS B) Cell Stained in PBS and resuspended in RSM C) Cell Stained in RSM and resuspended in RSM. PBS (Phosphate Buffered Saline) RSM (Reduced Serum Media 1% FBS in RPMI).</w:t>
      </w:r>
    </w:p>
    <w:p w14:paraId="1E7FB09B" w14:textId="77777777" w:rsidR="00172A57" w:rsidRDefault="00172A57" w:rsidP="00172A57">
      <w:pPr>
        <w:jc w:val="both"/>
        <w:rPr>
          <w:rFonts w:ascii="Arial" w:hAnsi="Arial" w:cs="Arial"/>
          <w:sz w:val="20"/>
        </w:rPr>
      </w:pPr>
      <w:r>
        <w:rPr>
          <w:rFonts w:ascii="Arial" w:hAnsi="Arial" w:cs="Arial"/>
          <w:sz w:val="20"/>
        </w:rPr>
        <w:t xml:space="preserve">Standard curve of ROS flurescence were first obtained via sequentially increasing cell number in order to obtain a standard curve of propotionate cell number to fluorescence reads indicating DCFDA stained only living cells. However, as there are possible interference or background in different resuspension medium we sought to use RSM throught the experiment as it results in the lowest background signal allowing for a more precise DCFDA fluorescence reads. Fluorescence arbitary unit were obtained using the OMEGA fluor system.   </w:t>
      </w:r>
    </w:p>
    <w:p w14:paraId="1E7FB09C" w14:textId="77777777" w:rsidR="00172A57" w:rsidRDefault="00172A57" w:rsidP="000D52ED">
      <w:pPr>
        <w:rPr>
          <w:b/>
        </w:rPr>
      </w:pPr>
    </w:p>
    <w:p w14:paraId="1E7FB09D" w14:textId="77777777" w:rsidR="00172A57" w:rsidRDefault="00172A57" w:rsidP="000D52ED">
      <w:pPr>
        <w:rPr>
          <w:b/>
        </w:rPr>
      </w:pPr>
    </w:p>
    <w:p w14:paraId="1E7FB09E" w14:textId="77777777" w:rsidR="00172A57" w:rsidRDefault="00172A57" w:rsidP="000D52ED">
      <w:pPr>
        <w:rPr>
          <w:b/>
        </w:rPr>
      </w:pPr>
    </w:p>
    <w:p w14:paraId="1E7FB09F" w14:textId="77777777" w:rsidR="00172A57" w:rsidRDefault="00172A57" w:rsidP="000D52ED">
      <w:pPr>
        <w:rPr>
          <w:b/>
        </w:rPr>
      </w:pPr>
    </w:p>
    <w:p w14:paraId="1E7FB0A0" w14:textId="77777777" w:rsidR="000D52ED" w:rsidRPr="00733566" w:rsidRDefault="000D52ED" w:rsidP="000D52ED">
      <w:pPr>
        <w:rPr>
          <w:b/>
        </w:rPr>
      </w:pPr>
      <w:r>
        <w:rPr>
          <w:b/>
        </w:rPr>
        <w:t>Methods</w:t>
      </w:r>
    </w:p>
    <w:p w14:paraId="1E7FB0A1" w14:textId="77777777" w:rsidR="000D52ED" w:rsidRPr="000D52ED" w:rsidRDefault="000D52ED" w:rsidP="000D52ED">
      <w:pPr>
        <w:spacing w:after="0" w:line="480" w:lineRule="auto"/>
        <w:jc w:val="both"/>
        <w:rPr>
          <w:rFonts w:ascii="Arial" w:hAnsi="Arial" w:cs="Arial"/>
          <w:sz w:val="20"/>
          <w:szCs w:val="20"/>
          <w:u w:val="single"/>
          <w:lang w:eastAsia="ms-MY"/>
        </w:rPr>
      </w:pPr>
      <w:r w:rsidRPr="000D52ED">
        <w:rPr>
          <w:rFonts w:ascii="Arial" w:hAnsi="Arial" w:cs="Arial"/>
          <w:sz w:val="20"/>
          <w:szCs w:val="20"/>
          <w:u w:val="single"/>
          <w:lang w:eastAsia="ms-MY"/>
        </w:rPr>
        <w:t xml:space="preserve">Chromatin Immunoprecipitation </w:t>
      </w:r>
    </w:p>
    <w:p w14:paraId="1E7FB0A2" w14:textId="77777777" w:rsidR="000D52ED" w:rsidRPr="00733566" w:rsidRDefault="000D52ED" w:rsidP="000D52ED">
      <w:pPr>
        <w:spacing w:after="0" w:line="240" w:lineRule="auto"/>
        <w:jc w:val="both"/>
        <w:rPr>
          <w:rFonts w:ascii="Arial" w:hAnsi="Arial" w:cs="Arial"/>
          <w:b/>
          <w:sz w:val="20"/>
          <w:szCs w:val="20"/>
          <w:lang w:eastAsia="ms-MY"/>
        </w:rPr>
      </w:pPr>
      <w:r>
        <w:rPr>
          <w:rFonts w:ascii="Arial" w:hAnsi="Arial" w:cs="Arial"/>
          <w:sz w:val="20"/>
          <w:szCs w:val="20"/>
          <w:lang w:eastAsia="ms-MY"/>
        </w:rPr>
        <w:t>ChIP was performed as previously described with slight modifications</w:t>
      </w:r>
      <w:r w:rsidR="00B26DC8">
        <w:rPr>
          <w:rFonts w:ascii="Arial" w:hAnsi="Arial" w:cs="Arial"/>
          <w:sz w:val="20"/>
          <w:szCs w:val="20"/>
          <w:lang w:eastAsia="ms-MY"/>
        </w:rPr>
        <w:t xml:space="preserve"> </w:t>
      </w:r>
      <w:r w:rsidR="00B26DC8">
        <w:rPr>
          <w:rFonts w:ascii="Arial" w:hAnsi="Arial" w:cs="Arial"/>
          <w:sz w:val="20"/>
          <w:szCs w:val="20"/>
          <w:lang w:eastAsia="ms-MY"/>
        </w:rPr>
        <w:fldChar w:fldCharType="begin"/>
      </w:r>
      <w:r w:rsidR="00B26DC8">
        <w:rPr>
          <w:rFonts w:ascii="Arial" w:hAnsi="Arial" w:cs="Arial"/>
          <w:sz w:val="20"/>
          <w:szCs w:val="20"/>
          <w:lang w:eastAsia="ms-MY"/>
        </w:rPr>
        <w:instrText xml:space="preserve"> ADDIN ZOTERO_ITEM CSL_CITATION {"citationID":"axKo3xj8","properties":{"formattedCitation":"(Ptasinska et al., 2012, 2014)","plainCitation":"(Ptasinska et al., 2012, 2014)","noteIndex":0},"citationItems":[{"id":1435,"uris":["http://zotero.org/users/local/8IA2mv5H/items/NLIXW2W6"],"itemData":{"id":1435,"type":"article-journal","abstract":"The t(8;21) translocation fuses the DNA-binding domain of the hematopoietic master regulator RUNX1 to the ETO protein. The resultant RUNX1/ETO fusion protein is a leukemia-initiating transcription factor that interferes with RUNX1 function. The result of this interference is a block in differentiation and, finally, the development of acute myeloid leukemia (AML). To obtain insights into RUNX1/ETO-dependant alterations of the epigenetic landscape, we measured genome-wide RUNX1- and RUNX1/ETO-bound regions in t(8;21) cells and assessed to what extent the effects of RUNX1/ETO on the epigenome depend on its continued expression in established leukemic cells. To this end, we determined dynamic alterations of histone acetylation, RNA Polymerase II binding and RUNX1 occupancy in the presence or absence of RUNX1/ETO using a knockdown approach. Combined global assessments of chromatin accessibility and kinetic gene expression data show that RUNX1/ETO controls the expression of important regulators of hematopoietic differentiation and self-renewal. We show that selective removal of RUNX1/ETO leads to a widespread reversal of epigenetic reprogramming and a genome-wide redistribution of RUNX1 binding, resulting in the inhibition of leukemic proliferation and self-renewal, and the induction of differentiation. This demonstrates that RUNX1/ETO represents a pivotal therapeutic target in AML.","container-title":"Leukemia","DOI":"10.1038/leu.2012.49","ISSN":"1476-5551","issue":"8","language":"en","note":"number: 8\npublisher: Nature Publishing Group","page":"1829-1841","source":"www.nature.com","title":"Depletion of RUNX1/ETO in t(8;21) AML cells leads to genome-wide changes in chromatin structure and transcription factor binding","volume":"26","author":[{"family":"Ptasinska","given":"A."},{"family":"Assi","given":"S. A."},{"family":"Mannari","given":"D."},{"family":"James","given":"S. R."},{"family":"Williamson","given":"D."},{"family":"Dunne","given":"J."},{"family":"Hoogenkamp","given":"M."},{"family":"Wu","given":"M."},{"family":"Care","given":"M."},{"family":"McNeill","given":"H."},{"family":"Cauchy","given":"P."},{"family":"Cullen","given":"M."},{"family":"Tooze","given":"R. M."},{"family":"Tenen","given":"D. G."},{"family":"Young","given":"B. D."},{"family":"Cockerill","given":"P. N."},{"family":"Westhead","given":"D. R."},{"family":"Heidenreich","given":"O."},{"family":"Bonifer","given":"C."}],"issued":{"date-parts":[["2012",8]]}}},{"id":72,"uris":["http://zotero.org/users/local/8IA2mv5H/items/ACKGE237"],"itemData":{"id":72,"type":"article-journal","abstract":"Oncogenic transcription factors such as RUNX1/ETO, which is generated by the chromosomal translocation t(8;21), subvert normal blood cell development by impairing differentiation and driving malignant self-renewal. Here, we use digital footprinting and chromatin immunoprecipitation sequencing (ChIP-seq) to identify the core RUNX1/ETO-responsive transcriptional network of t(8;21) cells. We show that the transcriptional program underlying leukemic propagation is regulated by a dynamic equilibrium between RUNX1/ETO and RUNX1 complexes, which bind to identical DNA sites in a mutually exclusive fashion. Perturbation of this equilibrium in t(8;21) cells by RUNX1/ETO depletion leads to a global redistribution of transcription factor complexes within preexisting open chromatin, resulting in the formation of a transcriptional network that drives myeloid differentiation. Our work demonstrates on a genome-wide level that the extent of impaired myeloid differentiation in t(8;21) is controlled by the dynamic balance between RUNX1/ETO and RUNX1 activities through the repression of transcription factors that drive differentiation., \n          \n            \n              •\n              RUNX1/ETO drives a t(8;21)-specific transcriptional network\n            \n            \n              •\n              RUNX1/ETO and RUNX1 dynamically compete for the same genomic sites\n            \n            \n              •\n              RUNX1/ETO targets transcription factor complexes that control differentiation\n            \n            \n              •\n              RUNX1/ETO depletion activates a transcriptional network dominated by C/EBPα\n            \n          \n        , Chromosomal rearrangements generate cancer-specific fusion genes that interfere with cell differentiation. Ptasinska et al. show that the most frequent fusion protein in acute myeloid leukemia (RUNX1/ETO) controls a cancer-propagating transcriptional network by binding to genomic sites in a dynamic equilibrium with wild-type RUNX1. Depletion of RUNX1/ETO installs a differentiation-promoting transcriptional network. Our findings demonstrate that the differentiation block in AML has a dynamic component as its core feature, which might provide a target for cancer-specific differentiation therapy.","container-title":"Cell Reports","DOI":"10.1016/j.celrep.2014.08.024","ISSN":"2211-1247","issue":"6","journalAbbreviation":"Cell Rep","note":"PMID: 25242324\nPMCID: PMC4487811","page":"1974-1988","source":"PubMed Central","title":"Identification of a Dynamic Core Transcriptional Network in t(8;21) AML that Regulates Differentiation Block and Self-Renewal","volume":"8","author":[{"family":"Ptasinska","given":"Anetta"},{"family":"Assi","given":"Salam A."},{"family":"Martinez-Soria","given":"Natalia"},{"family":"Imperato","given":"Maria Rosaria"},{"family":"Piper","given":"Jason"},{"family":"Cauchy","given":"Pierre"},{"family":"Pickin","given":"Anna"},{"family":"James","given":"Sally R."},{"family":"Hoogenkamp","given":"Maarten"},{"family":"Williamson","given":"Dan"},{"family":"Wu","given":"Mengchu"},{"family":"Tenen","given":"Daniel G."},{"family":"Ott","given":"Sascha"},{"family":"Westhead","given":"David R."},{"family":"Cockerill","given":"Peter N."},{"family":"Heidenreich","given":"Olaf"},{"family":"Bonifer","given":"Constanze"}],"issued":{"date-parts":[["2014",9,18]]}}}],"schema":"https://github.com/citation-style-language/schema/raw/master/csl-citation.json"} </w:instrText>
      </w:r>
      <w:r w:rsidR="00B26DC8">
        <w:rPr>
          <w:rFonts w:ascii="Arial" w:hAnsi="Arial" w:cs="Arial"/>
          <w:sz w:val="20"/>
          <w:szCs w:val="20"/>
          <w:lang w:eastAsia="ms-MY"/>
        </w:rPr>
        <w:fldChar w:fldCharType="separate"/>
      </w:r>
      <w:r w:rsidR="00B26DC8" w:rsidRPr="00B26DC8">
        <w:rPr>
          <w:rFonts w:ascii="Arial" w:hAnsi="Arial" w:cs="Arial"/>
          <w:sz w:val="20"/>
        </w:rPr>
        <w:t>(Ptasinska et al., 2012, 2014)</w:t>
      </w:r>
      <w:r w:rsidR="00B26DC8">
        <w:rPr>
          <w:rFonts w:ascii="Arial" w:hAnsi="Arial" w:cs="Arial"/>
          <w:sz w:val="20"/>
          <w:szCs w:val="20"/>
          <w:lang w:eastAsia="ms-MY"/>
        </w:rPr>
        <w:fldChar w:fldCharType="end"/>
      </w:r>
      <w:r>
        <w:rPr>
          <w:rFonts w:ascii="Arial" w:hAnsi="Arial" w:cs="Arial"/>
          <w:sz w:val="20"/>
          <w:szCs w:val="20"/>
          <w:lang w:eastAsia="ms-MY"/>
        </w:rPr>
        <w:t>. Cells were treated with formaldehyde at 1%. This was followed by addition 0.4M glycine-PBS, followed by washing with ice cold PBS. Cell pellet was re-suspended in Buffer A (HEPES 10 mM pH 8.0, EDTA 10 mM, EGTA 0.5 mM, 0.25% by volume Triton-X-100 , PMSF 0.1mM). The nuclei extracted was then pelleted via centrifugation followed by  addition of ice cold Buffer B</w:t>
      </w:r>
      <w:r>
        <w:rPr>
          <w:rFonts w:ascii="Arial" w:hAnsi="Arial" w:cs="Arial"/>
          <w:sz w:val="20"/>
          <w:szCs w:val="20"/>
        </w:rPr>
        <w:t xml:space="preserve"> </w:t>
      </w:r>
      <w:r>
        <w:rPr>
          <w:rFonts w:ascii="Arial" w:hAnsi="Arial" w:cs="Arial"/>
          <w:sz w:val="20"/>
          <w:szCs w:val="20"/>
          <w:lang w:eastAsia="ms-MY"/>
        </w:rPr>
        <w:t>(HEPES 10 mM pH8.0, NaCI 200 mM, EDTA 1mM, EGTA 0.5 mM, 0.01% by volume Triton-X-100). Nuclei pellet was re-suspended in 300µl ChIP buffer (Tris-HCI, 25mM pH 8.0, NaCI 150mM, EDTA 2mM, 1% by volume Triton-X-100, 0.25% by volume SDS, PMSF 0.1mM) followed by chromatin shearing using table a top rod sonicator at 30% power output for 15-30 cycles of 15 seconds ON and 15 seconds on ice, OFF. A volume of 100µl 3x ChIP Buffer</w:t>
      </w:r>
      <w:r>
        <w:rPr>
          <w:rFonts w:ascii="Arial" w:hAnsi="Arial" w:cs="Arial"/>
          <w:sz w:val="20"/>
          <w:szCs w:val="20"/>
        </w:rPr>
        <w:t xml:space="preserve"> was added into chromatin solution </w:t>
      </w:r>
      <w:r>
        <w:rPr>
          <w:rFonts w:ascii="Arial" w:hAnsi="Arial" w:cs="Arial"/>
          <w:sz w:val="20"/>
          <w:szCs w:val="20"/>
          <w:lang w:eastAsia="ms-MY"/>
        </w:rPr>
        <w:t>(Tris-HCI 25mM pH 8.0, NaCI 150mM, EDTA 2mM, 1% by volume Triton-X-100, 7.5% by volume Glycerol, PMSF 0.1mM) . Primary antibody solution was added into dynabeads protein G (Invitrogen) supended in PBS. The dynabead-ab mixture was incubated at 4</w:t>
      </w:r>
      <w:r>
        <w:rPr>
          <w:rFonts w:ascii="Arial" w:hAnsi="Arial" w:cs="Arial"/>
          <w:sz w:val="20"/>
          <w:szCs w:val="20"/>
          <w:vertAlign w:val="superscript"/>
          <w:lang w:eastAsia="ms-MY"/>
        </w:rPr>
        <w:t>0</w:t>
      </w:r>
      <w:r>
        <w:rPr>
          <w:rFonts w:ascii="Arial" w:hAnsi="Arial" w:cs="Arial"/>
          <w:sz w:val="20"/>
          <w:szCs w:val="20"/>
          <w:lang w:eastAsia="ms-MY"/>
        </w:rPr>
        <w:t>C whilst rotating for at least 6 hours. Chromatin suspension was added into the dynabeads-ab mixture and was incubated for at least 6 hours at 4</w:t>
      </w:r>
      <w:r>
        <w:rPr>
          <w:rFonts w:ascii="Arial" w:hAnsi="Arial" w:cs="Arial"/>
          <w:sz w:val="20"/>
          <w:szCs w:val="20"/>
          <w:vertAlign w:val="superscript"/>
          <w:lang w:eastAsia="ms-MY"/>
        </w:rPr>
        <w:t>0</w:t>
      </w:r>
      <w:r>
        <w:rPr>
          <w:rFonts w:ascii="Arial" w:hAnsi="Arial" w:cs="Arial"/>
          <w:sz w:val="20"/>
          <w:szCs w:val="20"/>
          <w:lang w:eastAsia="ms-MY"/>
        </w:rPr>
        <w:t>C with rotation. Chromation-Ab-dynabeads complex was purified using magnetic separation via MACS</w:t>
      </w:r>
      <w:r>
        <w:rPr>
          <w:rFonts w:ascii="Arial" w:hAnsi="Arial" w:cs="Arial"/>
          <w:b/>
          <w:sz w:val="20"/>
          <w:szCs w:val="20"/>
          <w:lang w:eastAsia="ms-MY"/>
        </w:rPr>
        <w:t xml:space="preserve"> </w:t>
      </w:r>
      <w:r>
        <w:rPr>
          <w:rFonts w:ascii="Arial" w:hAnsi="Arial" w:cs="Arial"/>
          <w:sz w:val="20"/>
          <w:szCs w:val="20"/>
          <w:lang w:eastAsia="ms-MY"/>
        </w:rPr>
        <w:t>(Magnetic Activated Cell Sorter). The beads was later washed with WB1 (Tris-HCI 20 mM pH 8.0, NaCI 150mM, EDTA 2mM, 1% by volume Triton-X-100) once, twice with WB2</w:t>
      </w:r>
      <w:r>
        <w:rPr>
          <w:rFonts w:ascii="Arial" w:hAnsi="Arial" w:cs="Arial"/>
          <w:sz w:val="20"/>
          <w:szCs w:val="20"/>
        </w:rPr>
        <w:t xml:space="preserve"> </w:t>
      </w:r>
      <w:r>
        <w:rPr>
          <w:rFonts w:ascii="Arial" w:hAnsi="Arial" w:cs="Arial"/>
          <w:sz w:val="20"/>
          <w:szCs w:val="20"/>
          <w:lang w:eastAsia="ms-MY"/>
        </w:rPr>
        <w:t>(Tris-HCI 20 mM pH 8.0, NaCI 500mM, EDTA 2mM, 1% by volume Triton-X-100, SDS 1%), once with LCB</w:t>
      </w:r>
      <w:r>
        <w:rPr>
          <w:rFonts w:ascii="Arial" w:hAnsi="Arial" w:cs="Arial"/>
          <w:sz w:val="20"/>
          <w:szCs w:val="20"/>
        </w:rPr>
        <w:t xml:space="preserve"> </w:t>
      </w:r>
      <w:r>
        <w:rPr>
          <w:rFonts w:ascii="Arial" w:hAnsi="Arial" w:cs="Arial"/>
          <w:sz w:val="20"/>
          <w:szCs w:val="20"/>
          <w:lang w:eastAsia="ms-MY"/>
        </w:rPr>
        <w:t>(Tris-HCI 10 mM pH 8.0, LiCI 250mM, EDTA 1mM, 0.5% NP-40, 0.5% Na-deoxycholate)  and once with TNB</w:t>
      </w:r>
      <w:r>
        <w:rPr>
          <w:rFonts w:ascii="Arial" w:hAnsi="Arial" w:cs="Arial"/>
          <w:sz w:val="20"/>
          <w:szCs w:val="20"/>
        </w:rPr>
        <w:t xml:space="preserve"> </w:t>
      </w:r>
      <w:r>
        <w:rPr>
          <w:rFonts w:ascii="Arial" w:hAnsi="Arial" w:cs="Arial"/>
          <w:sz w:val="20"/>
          <w:szCs w:val="20"/>
          <w:lang w:eastAsia="ms-MY"/>
        </w:rPr>
        <w:t>(Tris-HCI 10 mM pH 8.0, NaCI 50mM, EDTA 1mM). Chromatin was eluted in EB at 45</w:t>
      </w:r>
      <w:r>
        <w:rPr>
          <w:rFonts w:ascii="Arial" w:hAnsi="Arial" w:cs="Arial"/>
          <w:sz w:val="20"/>
          <w:szCs w:val="20"/>
          <w:vertAlign w:val="superscript"/>
          <w:lang w:eastAsia="ms-MY"/>
        </w:rPr>
        <w:t>0</w:t>
      </w:r>
      <w:r>
        <w:rPr>
          <w:rFonts w:ascii="Arial" w:hAnsi="Arial" w:cs="Arial"/>
          <w:sz w:val="20"/>
          <w:szCs w:val="20"/>
          <w:lang w:eastAsia="ms-MY"/>
        </w:rPr>
        <w:t>C using a thermos shaker (ThermoFisher). The eluted chromatin suspension was treated with RNaseA and proteinase K followed by incubation at 65</w:t>
      </w:r>
      <w:r>
        <w:rPr>
          <w:rFonts w:ascii="Arial" w:hAnsi="Arial" w:cs="Arial"/>
          <w:sz w:val="20"/>
          <w:szCs w:val="20"/>
          <w:vertAlign w:val="superscript"/>
          <w:lang w:eastAsia="ms-MY"/>
        </w:rPr>
        <w:t>0</w:t>
      </w:r>
      <w:r>
        <w:rPr>
          <w:rFonts w:ascii="Arial" w:hAnsi="Arial" w:cs="Arial"/>
          <w:sz w:val="20"/>
          <w:szCs w:val="20"/>
          <w:lang w:eastAsia="ms-MY"/>
        </w:rPr>
        <w:t>C for two hours. Chromatin DNA fragments were purified using Qiagen PCR purification kit as per manufacturer’s protocol.</w:t>
      </w:r>
    </w:p>
    <w:p w14:paraId="1E7FB0A3" w14:textId="77777777" w:rsidR="000D52ED" w:rsidRDefault="000D52ED" w:rsidP="000D52ED">
      <w:pPr>
        <w:rPr>
          <w:b/>
          <w:u w:val="single"/>
        </w:rPr>
      </w:pPr>
    </w:p>
    <w:p w14:paraId="1E7FB0A4" w14:textId="77777777" w:rsidR="000D52ED" w:rsidRPr="000D52ED" w:rsidRDefault="000D52ED" w:rsidP="000D52ED">
      <w:pPr>
        <w:spacing w:after="0" w:line="480" w:lineRule="auto"/>
        <w:jc w:val="both"/>
        <w:rPr>
          <w:rFonts w:ascii="Arial" w:hAnsi="Arial" w:cs="Arial"/>
          <w:sz w:val="20"/>
          <w:szCs w:val="20"/>
          <w:u w:val="single"/>
          <w:lang w:eastAsia="ms-MY"/>
        </w:rPr>
      </w:pPr>
      <w:r w:rsidRPr="000D52ED">
        <w:rPr>
          <w:rFonts w:ascii="Arial" w:hAnsi="Arial" w:cs="Arial"/>
          <w:sz w:val="20"/>
          <w:szCs w:val="20"/>
          <w:u w:val="single"/>
          <w:lang w:eastAsia="ms-MY"/>
        </w:rPr>
        <w:t>Protein Extraction and Western Blot (WB)</w:t>
      </w:r>
    </w:p>
    <w:p w14:paraId="1E7FB0A5" w14:textId="77777777" w:rsidR="000D52ED" w:rsidRDefault="000D52ED" w:rsidP="000D52ED">
      <w:pPr>
        <w:spacing w:after="0" w:line="240" w:lineRule="auto"/>
        <w:jc w:val="both"/>
        <w:rPr>
          <w:rFonts w:ascii="Arial" w:hAnsi="Arial" w:cs="Arial"/>
          <w:sz w:val="20"/>
          <w:szCs w:val="20"/>
          <w:lang w:eastAsia="ms-MY"/>
        </w:rPr>
      </w:pPr>
      <w:r>
        <w:rPr>
          <w:rFonts w:ascii="Arial" w:hAnsi="Arial" w:cs="Arial"/>
          <w:sz w:val="20"/>
          <w:szCs w:val="20"/>
          <w:lang w:eastAsia="ms-MY"/>
        </w:rPr>
        <w:t>Protein was extracted using the RIPA lysis buffer (Nacalai, Tesque) supplemented with 1:1000 and 1:100 of PMSF (Sigma) and Protease Inhibitor Cocktail respectively and was stored in -80</w:t>
      </w:r>
      <w:r>
        <w:rPr>
          <w:rFonts w:ascii="Arial" w:hAnsi="Arial" w:cs="Arial"/>
          <w:sz w:val="20"/>
          <w:szCs w:val="20"/>
          <w:vertAlign w:val="superscript"/>
          <w:lang w:eastAsia="ms-MY"/>
        </w:rPr>
        <w:t>0</w:t>
      </w:r>
      <w:r>
        <w:rPr>
          <w:rFonts w:ascii="Arial" w:hAnsi="Arial" w:cs="Arial"/>
          <w:sz w:val="20"/>
          <w:szCs w:val="20"/>
          <w:lang w:eastAsia="ms-MY"/>
        </w:rPr>
        <w:t xml:space="preserve">C. Immunoblotting was carried out as described </w:t>
      </w:r>
      <w:r>
        <w:rPr>
          <w:rFonts w:ascii="Arial" w:hAnsi="Arial" w:cs="Arial"/>
          <w:sz w:val="20"/>
          <w:szCs w:val="20"/>
          <w:lang w:eastAsia="ms-MY"/>
        </w:rPr>
        <w:fldChar w:fldCharType="begin"/>
      </w:r>
      <w:r w:rsidR="00B26DC8">
        <w:rPr>
          <w:rFonts w:ascii="Arial" w:hAnsi="Arial" w:cs="Arial"/>
          <w:sz w:val="20"/>
          <w:szCs w:val="20"/>
          <w:lang w:eastAsia="ms-MY"/>
        </w:rPr>
        <w:instrText xml:space="preserve"> ADDIN ZOTERO_ITEM CSL_CITATION {"citationID":"bHXslSL6","properties":{"formattedCitation":"(Martinez et al., 2004)","plainCitation":"(Martinez et al., 2004)","noteIndex":0},"citationItems":[{"id":63,"uris":["http://zotero.org/users/local/8IA2mv5H/items/4HUE54AX"],"itemData":{"id":63,"type":"article-journal","abstract":"BACKGROUND: The fusion protein RUNX1-CBFA2T1 associated with t(8;21)-positive acute myeloid leukaemia is a potent inhibitor of haematopoetic differentiation. The role of RUNX1-CBFA2T1 in leukaemic cell proliferation is less clear. We examined the consequences of siRNA-mediated RUNX1-CBFA2T1 depletion regarding proliferation and clonogenicity of t(8;21)-positive cell lines.\nMETHODS: The t(8;21)-positive cell line Kasumi-1 was electroporated with RUNX1-CBFA2T1 or control siRNAs followed by analysis of proliferation, colony formation, cell cycle distribution, apoptosis and senescence.\nRESULTS: Electroporation of Kasumi-1 cells with RUNX1-CBFA2T1 siRNAs, but not with control siRNAs, resulted in RUNX1-CBFA2T1 suppression which lasted for at least 5 days. A single electroporation with RUNX1-CBFA2T1 siRNA severely diminished the clonogenicity of Kasumi-1 cells. Prolonged RUNX1-CBFA2T1 depletion inhibited proliferation in suspension culture and G1-S transition during the cell cycle, diminished the number of apoptotic cells, but induced cellular senescence. The addition of haematopoetic growth factors could not rescue RUNX1-CBFA2T1-depleted cells from senescence, and could only partially restore their clonogenicity.\nCONCLUSIONS: RUNX1-CBFA2T1 supports the proliferation and expansion of t(8;21)-positive leukaemic cells by preventing cellular senescence. These findings suggest a central role of RUNX1-CBFA2T1 in the maintenance of the leukaemia. Therefore, RUNX1-CBFA2T1 is a promising and leukaemia-specific target for molecularly defined therapeutic approaches.","container-title":"BMC cancer","DOI":"10.1186/1471-2407-4-44","ISSN":"1471-2407","journalAbbreviation":"BMC Cancer","language":"eng","note":"PMID: 15298716\nPMCID: PMC512292","page":"44","source":"PubMed","title":"The oncogenic fusion protein RUNX1-CBFA2T1 supports proliferation and inhibits senescence in t(8;21)-positive leukaemic cells","volume":"4","author":[{"family":"Martinez","given":"Natalia"},{"family":"Drescher","given":"Bettina"},{"family":"Riehle","given":"Heidemarie"},{"family":"Cullmann","given":"Claire"},{"family":"Vornlocher","given":"Hans-Peter"},{"family":"Ganser","given":"Arnold"},{"family":"Heil","given":"Gerhard"},{"family":"Nordheim","given":"Alfred"},{"family":"Krauter","given":"Jürgen"},{"family":"Heidenreich","given":"Olaf"}],"issued":{"date-parts":[["2004",8,6]]}}}],"schema":"https://github.com/citation-style-language/schema/raw/master/csl-citation.json"} </w:instrText>
      </w:r>
      <w:r>
        <w:rPr>
          <w:rFonts w:ascii="Arial" w:hAnsi="Arial" w:cs="Arial"/>
          <w:sz w:val="20"/>
          <w:szCs w:val="20"/>
          <w:lang w:eastAsia="ms-MY"/>
        </w:rPr>
        <w:fldChar w:fldCharType="separate"/>
      </w:r>
      <w:r w:rsidR="00B26DC8" w:rsidRPr="00B26DC8">
        <w:rPr>
          <w:rFonts w:ascii="Arial" w:hAnsi="Arial" w:cs="Arial"/>
          <w:sz w:val="20"/>
        </w:rPr>
        <w:t>(Martinez et al., 2004)</w:t>
      </w:r>
      <w:r>
        <w:rPr>
          <w:rFonts w:ascii="Arial" w:hAnsi="Arial" w:cs="Arial"/>
          <w:sz w:val="20"/>
          <w:szCs w:val="20"/>
          <w:lang w:eastAsia="ms-MY"/>
        </w:rPr>
        <w:fldChar w:fldCharType="end"/>
      </w:r>
      <w:r>
        <w:rPr>
          <w:rFonts w:ascii="Arial" w:hAnsi="Arial" w:cs="Arial"/>
          <w:sz w:val="20"/>
          <w:szCs w:val="20"/>
          <w:lang w:eastAsia="ms-MY"/>
        </w:rPr>
        <w:t>. Briefly, protein extracts were fractionated using tris-bis gel at 80v for 100 minutes which was followed by complete wet transfer at 400mA for 90 minutes onto PVDF membranes (Advansta). The membranes were b</w:t>
      </w:r>
      <w:r w:rsidR="0075398E">
        <w:rPr>
          <w:rFonts w:ascii="Arial" w:hAnsi="Arial" w:cs="Arial"/>
          <w:sz w:val="20"/>
          <w:szCs w:val="20"/>
          <w:lang w:eastAsia="ms-MY"/>
        </w:rPr>
        <w:t xml:space="preserve">locked with 3% BSA for  1hour at room temperature with agitation. Following this 0.1% TBST was used to wash the membranes, all membranes were washed three times with TBST for 7 minutes each wash with agitation. Following this the antibodies were added. Antidodies were suspended in 3% BSA in TBST with exception of FLT3 in which the antibody was suspened in 1.5% skim milk. The membranses were incubated overnight for antibody binding followed by washing with TBST (3X) trailed by incubation with secondary antibody suspended in 3% BSA for 2 hours at room temperature with gentle agitation. Chemoluminescence was develop using 1:1 ratio of ECL clarity solution to enhancer solution (Advansta).  </w:t>
      </w:r>
      <w:r>
        <w:rPr>
          <w:rFonts w:ascii="Arial" w:hAnsi="Arial" w:cs="Arial"/>
          <w:sz w:val="20"/>
          <w:szCs w:val="20"/>
          <w:lang w:eastAsia="ms-MY"/>
        </w:rPr>
        <w:t xml:space="preserve"> Band intensity was analysed and quantified using the Quantity One Image Software (BIO-RAD). </w:t>
      </w:r>
    </w:p>
    <w:p w14:paraId="1E7FB0A6" w14:textId="77777777" w:rsidR="000D52ED" w:rsidRDefault="000D52ED" w:rsidP="000D52ED">
      <w:pPr>
        <w:spacing w:after="0" w:line="480" w:lineRule="auto"/>
        <w:jc w:val="both"/>
        <w:rPr>
          <w:rFonts w:ascii="Arial" w:hAnsi="Arial" w:cs="Arial"/>
          <w:b/>
          <w:sz w:val="20"/>
          <w:szCs w:val="20"/>
          <w:lang w:eastAsia="ms-MY"/>
        </w:rPr>
      </w:pPr>
    </w:p>
    <w:p w14:paraId="1E7FB0A7" w14:textId="77777777" w:rsidR="000D52ED" w:rsidRPr="000D52ED" w:rsidRDefault="000D52ED" w:rsidP="000D52ED">
      <w:pPr>
        <w:spacing w:after="0" w:line="480" w:lineRule="auto"/>
        <w:jc w:val="both"/>
        <w:rPr>
          <w:rFonts w:ascii="Arial" w:hAnsi="Arial" w:cs="Arial"/>
          <w:sz w:val="20"/>
          <w:szCs w:val="20"/>
          <w:u w:val="single"/>
          <w:lang w:eastAsia="ms-MY"/>
        </w:rPr>
      </w:pPr>
      <w:r w:rsidRPr="000D52ED">
        <w:rPr>
          <w:rFonts w:ascii="Arial" w:hAnsi="Arial" w:cs="Arial"/>
          <w:sz w:val="20"/>
          <w:szCs w:val="20"/>
          <w:u w:val="single"/>
          <w:lang w:eastAsia="ms-MY"/>
        </w:rPr>
        <w:t xml:space="preserve">Nuclear Lysate Blot </w:t>
      </w:r>
    </w:p>
    <w:p w14:paraId="1E7FB0A8" w14:textId="77777777" w:rsidR="000D52ED" w:rsidRDefault="000D52ED" w:rsidP="000D52ED">
      <w:pPr>
        <w:spacing w:after="0" w:line="240" w:lineRule="auto"/>
        <w:jc w:val="both"/>
        <w:rPr>
          <w:rFonts w:ascii="Arial" w:hAnsi="Arial" w:cs="Arial"/>
          <w:sz w:val="20"/>
          <w:szCs w:val="20"/>
          <w:lang w:eastAsia="ms-MY"/>
        </w:rPr>
      </w:pPr>
      <w:r>
        <w:rPr>
          <w:rFonts w:ascii="Arial" w:hAnsi="Arial" w:cs="Arial"/>
          <w:sz w:val="20"/>
          <w:szCs w:val="20"/>
        </w:rPr>
        <w:t>Nuclear component of Kasumi-1 cells was extracted from whole cell lysate using hypotonic buffer as per manufacturer’s protocol. Briefly, hypotonic buffer (20mM TRIS-HCI, 10mM NaCI, 3mM MgCI</w:t>
      </w:r>
      <w:r>
        <w:rPr>
          <w:rFonts w:ascii="Arial" w:hAnsi="Arial" w:cs="Arial"/>
          <w:sz w:val="20"/>
          <w:szCs w:val="20"/>
          <w:vertAlign w:val="subscript"/>
        </w:rPr>
        <w:t>2</w:t>
      </w:r>
      <w:r>
        <w:rPr>
          <w:rFonts w:ascii="Arial" w:hAnsi="Arial" w:cs="Arial"/>
          <w:sz w:val="20"/>
          <w:szCs w:val="20"/>
        </w:rPr>
        <w:t xml:space="preserve">) was prepared. Cells were pelletted and washed with ice cold PBS twice before resuspending in ice cold hypotonic buffer for 15 minutes on ice. 10% NP-40 was added into the suspension at 5% v/v ratio following nuclear pelleting. The the supernatant was </w:t>
      </w:r>
      <w:r>
        <w:rPr>
          <w:rFonts w:ascii="Arial" w:hAnsi="Arial" w:cs="Arial"/>
          <w:sz w:val="20"/>
          <w:szCs w:val="20"/>
          <w:lang w:eastAsia="ms-MY"/>
        </w:rPr>
        <w:t>supplemented with 1:1000 and 1:100 of PMSF (Sigma) and Protease Inhibitor Cocktail respectively and was stored in -80</w:t>
      </w:r>
      <w:r>
        <w:rPr>
          <w:rFonts w:ascii="Arial" w:hAnsi="Arial" w:cs="Arial"/>
          <w:sz w:val="20"/>
          <w:szCs w:val="20"/>
          <w:vertAlign w:val="superscript"/>
          <w:lang w:eastAsia="ms-MY"/>
        </w:rPr>
        <w:t>0</w:t>
      </w:r>
      <w:r>
        <w:rPr>
          <w:rFonts w:ascii="Arial" w:hAnsi="Arial" w:cs="Arial"/>
          <w:sz w:val="20"/>
          <w:szCs w:val="20"/>
          <w:lang w:eastAsia="ms-MY"/>
        </w:rPr>
        <w:t>C as cytoplasmic lysate. Nuclear pellet was resuspended in RIPA lysis buffer supplemented with 1:1000 and 1:100 of PMSF (Sigma) and Protease Inhibitor Cocktail respectively and was stored in -80</w:t>
      </w:r>
      <w:r>
        <w:rPr>
          <w:rFonts w:ascii="Arial" w:hAnsi="Arial" w:cs="Arial"/>
          <w:sz w:val="20"/>
          <w:szCs w:val="20"/>
          <w:vertAlign w:val="superscript"/>
          <w:lang w:eastAsia="ms-MY"/>
        </w:rPr>
        <w:t>0</w:t>
      </w:r>
      <w:r>
        <w:rPr>
          <w:rFonts w:ascii="Arial" w:hAnsi="Arial" w:cs="Arial"/>
          <w:sz w:val="20"/>
          <w:szCs w:val="20"/>
          <w:lang w:eastAsia="ms-MY"/>
        </w:rPr>
        <w:t>C for nuclear protein. Immunoblotting was carried out as mentioned in the previous section.</w:t>
      </w:r>
    </w:p>
    <w:p w14:paraId="1E7FB0A9" w14:textId="77777777" w:rsidR="00DC63D5" w:rsidRDefault="00DC63D5" w:rsidP="00DC63D5">
      <w:pPr>
        <w:spacing w:after="0" w:line="480" w:lineRule="auto"/>
        <w:jc w:val="both"/>
        <w:rPr>
          <w:rFonts w:ascii="Arial" w:hAnsi="Arial" w:cs="Arial"/>
          <w:b/>
          <w:bCs/>
          <w:sz w:val="20"/>
          <w:szCs w:val="20"/>
        </w:rPr>
      </w:pPr>
    </w:p>
    <w:p w14:paraId="1E7FB0AA" w14:textId="77777777" w:rsidR="00CF43D1" w:rsidRDefault="00CF43D1" w:rsidP="00DC63D5">
      <w:pPr>
        <w:spacing w:after="0" w:line="480" w:lineRule="auto"/>
        <w:jc w:val="both"/>
        <w:rPr>
          <w:rFonts w:ascii="Arial" w:hAnsi="Arial" w:cs="Arial"/>
          <w:b/>
          <w:bCs/>
          <w:sz w:val="20"/>
          <w:szCs w:val="20"/>
        </w:rPr>
      </w:pPr>
    </w:p>
    <w:p w14:paraId="1E7FB0AB" w14:textId="77777777" w:rsidR="00DC63D5" w:rsidRPr="00DC63D5" w:rsidRDefault="00DC63D5" w:rsidP="00DC63D5">
      <w:pPr>
        <w:spacing w:after="0" w:line="480" w:lineRule="auto"/>
        <w:jc w:val="both"/>
        <w:rPr>
          <w:rFonts w:ascii="Arial" w:hAnsi="Arial" w:cs="Arial"/>
          <w:bCs/>
          <w:sz w:val="20"/>
          <w:szCs w:val="20"/>
          <w:u w:val="single"/>
        </w:rPr>
      </w:pPr>
      <w:r w:rsidRPr="00DC63D5">
        <w:rPr>
          <w:rFonts w:ascii="Arial" w:hAnsi="Arial" w:cs="Arial"/>
          <w:bCs/>
          <w:sz w:val="20"/>
          <w:szCs w:val="20"/>
          <w:u w:val="single"/>
        </w:rPr>
        <w:t>Bioinformatics prediction of RUNX1/ETO occupation</w:t>
      </w:r>
    </w:p>
    <w:p w14:paraId="1E7FB0AC" w14:textId="77777777" w:rsidR="000D52ED" w:rsidRDefault="00DC63D5" w:rsidP="00B26DC8">
      <w:pPr>
        <w:spacing w:after="0" w:line="240" w:lineRule="auto"/>
        <w:jc w:val="both"/>
        <w:rPr>
          <w:rFonts w:ascii="Arial" w:hAnsi="Arial" w:cs="Arial"/>
          <w:bCs/>
          <w:sz w:val="20"/>
          <w:szCs w:val="20"/>
        </w:rPr>
      </w:pPr>
      <w:r>
        <w:rPr>
          <w:rFonts w:ascii="Arial" w:hAnsi="Arial" w:cs="Arial"/>
          <w:bCs/>
          <w:sz w:val="20"/>
          <w:szCs w:val="20"/>
        </w:rPr>
        <w:t>Publicly available GEO datasets was obtained via NCBI sequence read archive. Using galaxy tools via usegalaxy main online, single end reads was trimmed to remove adapter using Trim Galore, followed by FatstQC to asses quality. The Trim Galore output was used as an input in RmDup tools to remove any PCR duplicates. The reads were subsequently aligned to the human genome (assembly hg38) using Bowtie 2. Peaks in bedgraph format was called using MACS2 peakcall tools. Binding was displayed on UCSC genome browser.</w:t>
      </w:r>
    </w:p>
    <w:p w14:paraId="1E7FB0AD" w14:textId="77777777" w:rsidR="00DC63D5" w:rsidRDefault="00DC63D5" w:rsidP="00DC63D5">
      <w:pPr>
        <w:spacing w:after="0" w:line="480" w:lineRule="auto"/>
        <w:jc w:val="both"/>
        <w:rPr>
          <w:rFonts w:ascii="Arial" w:hAnsi="Arial" w:cs="Arial"/>
          <w:bCs/>
          <w:sz w:val="20"/>
          <w:szCs w:val="20"/>
        </w:rPr>
      </w:pPr>
    </w:p>
    <w:p w14:paraId="1E7FB0AE" w14:textId="77777777" w:rsidR="00553F99" w:rsidRPr="00DC63D5" w:rsidRDefault="00F70865" w:rsidP="00DC63D5">
      <w:pPr>
        <w:spacing w:after="0" w:line="480" w:lineRule="auto"/>
        <w:jc w:val="both"/>
        <w:rPr>
          <w:rFonts w:ascii="Arial" w:hAnsi="Arial" w:cs="Arial"/>
          <w:bCs/>
          <w:sz w:val="20"/>
          <w:szCs w:val="20"/>
        </w:rPr>
      </w:pPr>
      <w:r>
        <w:rPr>
          <w:rFonts w:ascii="Arial" w:hAnsi="Arial" w:cs="Arial"/>
          <w:bCs/>
          <w:sz w:val="20"/>
          <w:szCs w:val="20"/>
        </w:rPr>
        <w:t xml:space="preserve">Public </w:t>
      </w:r>
      <w:r w:rsidR="00735CFD">
        <w:rPr>
          <w:rFonts w:ascii="Arial" w:hAnsi="Arial" w:cs="Arial"/>
          <w:bCs/>
          <w:sz w:val="20"/>
          <w:szCs w:val="20"/>
        </w:rPr>
        <w:t xml:space="preserve">Datasets </w:t>
      </w:r>
      <w:r w:rsidR="00553F99">
        <w:rPr>
          <w:rFonts w:ascii="Arial" w:hAnsi="Arial" w:cs="Arial"/>
          <w:bCs/>
          <w:sz w:val="20"/>
          <w:szCs w:val="20"/>
        </w:rPr>
        <w:t>Accession:</w:t>
      </w:r>
      <w:r w:rsidR="00735CFD">
        <w:rPr>
          <w:rFonts w:ascii="Arial" w:hAnsi="Arial" w:cs="Arial"/>
          <w:bCs/>
          <w:sz w:val="20"/>
          <w:szCs w:val="20"/>
        </w:rPr>
        <w:t xml:space="preserve"> GSE153281, GSE23730, GSE29225</w:t>
      </w:r>
      <w:r w:rsidR="0068258C">
        <w:rPr>
          <w:rFonts w:ascii="Arial" w:hAnsi="Arial" w:cs="Arial"/>
          <w:bCs/>
          <w:sz w:val="20"/>
          <w:szCs w:val="20"/>
        </w:rPr>
        <w:t xml:space="preserve"> </w:t>
      </w:r>
    </w:p>
    <w:p w14:paraId="1E7FB0AF" w14:textId="77777777" w:rsidR="00733566" w:rsidRPr="00733566" w:rsidRDefault="00733566">
      <w:pPr>
        <w:rPr>
          <w:b/>
        </w:rPr>
      </w:pPr>
      <w:r w:rsidRPr="00733566">
        <w:rPr>
          <w:b/>
        </w:rPr>
        <w:t>Tables</w:t>
      </w:r>
    </w:p>
    <w:p w14:paraId="1E7FB0B0" w14:textId="77777777" w:rsidR="007142E1" w:rsidRPr="000D52ED" w:rsidRDefault="00A52562">
      <w:pPr>
        <w:rPr>
          <w:u w:val="single"/>
        </w:rPr>
      </w:pPr>
      <w:r w:rsidRPr="000D52ED">
        <w:rPr>
          <w:u w:val="single"/>
        </w:rPr>
        <w:t>Table 1</w:t>
      </w:r>
      <w:r w:rsidR="000D52ED" w:rsidRPr="000D52ED">
        <w:rPr>
          <w:u w:val="single"/>
        </w:rPr>
        <w:t xml:space="preserve">: </w:t>
      </w:r>
      <w:r w:rsidR="007142E1" w:rsidRPr="000D52ED">
        <w:rPr>
          <w:u w:val="single"/>
        </w:rPr>
        <w:t>siRNA used</w:t>
      </w:r>
    </w:p>
    <w:tbl>
      <w:tblPr>
        <w:tblStyle w:val="TableGrid"/>
        <w:tblW w:w="0" w:type="auto"/>
        <w:tblLook w:val="04A0" w:firstRow="1" w:lastRow="0" w:firstColumn="1" w:lastColumn="0" w:noHBand="0" w:noVBand="1"/>
      </w:tblPr>
      <w:tblGrid>
        <w:gridCol w:w="1291"/>
        <w:gridCol w:w="1372"/>
        <w:gridCol w:w="4343"/>
        <w:gridCol w:w="2054"/>
      </w:tblGrid>
      <w:tr w:rsidR="00DA72F7" w14:paraId="1E7FB0B5" w14:textId="77777777" w:rsidTr="000D52ED">
        <w:tc>
          <w:tcPr>
            <w:tcW w:w="1291" w:type="dxa"/>
          </w:tcPr>
          <w:p w14:paraId="1E7FB0B1" w14:textId="77777777" w:rsidR="000D52ED" w:rsidRPr="007142E1" w:rsidRDefault="000D52ED">
            <w:r>
              <w:t>Gene</w:t>
            </w:r>
          </w:p>
        </w:tc>
        <w:tc>
          <w:tcPr>
            <w:tcW w:w="1398" w:type="dxa"/>
          </w:tcPr>
          <w:p w14:paraId="1E7FB0B2" w14:textId="77777777" w:rsidR="000D52ED" w:rsidRPr="007142E1" w:rsidRDefault="000D52ED">
            <w:r>
              <w:t>Gene Acession</w:t>
            </w:r>
          </w:p>
        </w:tc>
        <w:tc>
          <w:tcPr>
            <w:tcW w:w="4394" w:type="dxa"/>
          </w:tcPr>
          <w:p w14:paraId="1E7FB0B3" w14:textId="77777777" w:rsidR="000D52ED" w:rsidRPr="007142E1" w:rsidRDefault="000D52ED">
            <w:r w:rsidRPr="007142E1">
              <w:t>siRNA sequence</w:t>
            </w:r>
          </w:p>
        </w:tc>
        <w:tc>
          <w:tcPr>
            <w:tcW w:w="1977" w:type="dxa"/>
          </w:tcPr>
          <w:p w14:paraId="1E7FB0B4" w14:textId="77777777" w:rsidR="000D52ED" w:rsidRPr="007142E1" w:rsidRDefault="000D52ED">
            <w:r w:rsidRPr="007142E1">
              <w:t>Source</w:t>
            </w:r>
            <w:r>
              <w:t>/Reference</w:t>
            </w:r>
          </w:p>
        </w:tc>
      </w:tr>
      <w:tr w:rsidR="00DA72F7" w14:paraId="1E7FB0BB" w14:textId="77777777" w:rsidTr="000D52ED">
        <w:tc>
          <w:tcPr>
            <w:tcW w:w="1291" w:type="dxa"/>
          </w:tcPr>
          <w:p w14:paraId="1E7FB0B6" w14:textId="77777777" w:rsidR="000D52ED" w:rsidRDefault="000D52ED">
            <w:r>
              <w:t>Mismatch</w:t>
            </w:r>
          </w:p>
        </w:tc>
        <w:tc>
          <w:tcPr>
            <w:tcW w:w="1398" w:type="dxa"/>
          </w:tcPr>
          <w:p w14:paraId="1E7FB0B7" w14:textId="77777777" w:rsidR="000D52ED" w:rsidRDefault="000D52ED" w:rsidP="000D52ED">
            <w:r>
              <w:rPr>
                <w:b/>
              </w:rPr>
              <w:t>D139179</w:t>
            </w:r>
          </w:p>
          <w:p w14:paraId="1E7FB0B8" w14:textId="77777777" w:rsidR="000D52ED" w:rsidRDefault="000D52ED"/>
        </w:tc>
        <w:tc>
          <w:tcPr>
            <w:tcW w:w="4394" w:type="dxa"/>
          </w:tcPr>
          <w:p w14:paraId="1E7FB0B9" w14:textId="77777777" w:rsidR="000D52ED" w:rsidRPr="007142E1" w:rsidRDefault="000D52ED">
            <w:r>
              <w:rPr>
                <w:rFonts w:ascii="Arial" w:hAnsi="Arial" w:cs="Arial"/>
                <w:sz w:val="20"/>
                <w:szCs w:val="20"/>
              </w:rPr>
              <w:t>5’-CCUCGAAUUCGUUCUGAGAAG-3′</w:t>
            </w:r>
          </w:p>
        </w:tc>
        <w:tc>
          <w:tcPr>
            <w:tcW w:w="1977" w:type="dxa"/>
          </w:tcPr>
          <w:p w14:paraId="1E7FB0BA" w14:textId="77777777" w:rsidR="000D52ED" w:rsidRPr="007142E1" w:rsidRDefault="000D52ED">
            <w:r>
              <w:t>Qiagen,</w:t>
            </w:r>
            <w:r w:rsidR="00B26DC8">
              <w:t xml:space="preserve"> </w:t>
            </w:r>
            <w:r w:rsidR="00B26DC8">
              <w:fldChar w:fldCharType="begin"/>
            </w:r>
            <w:r w:rsidR="00B26DC8">
              <w:instrText xml:space="preserve"> ADDIN ZOTERO_ITEM CSL_CITATION {"citationID":"HiDOqQzn","properties":{"formattedCitation":"(Heidenreich et al., 2003)","plainCitation":"(Heidenreich et al., 2003)","noteIndex":0},"citationItems":[{"id":55,"uris":["http://zotero.org/users/local/8IA2mv5H/items/IST2DQKA"],"itemData":{"id":55,"type":"article-journal","abstract":"The translocation t(8;21) yields the leukemic fusion gene AML1/MTG8 and is associated with 10%-15% of all de novo cases of acute myeloid leukemia. We demonstrate the efficient and specific suppression of AML1/MTG8 by small interfering RNAs (siRNAs) in the human leukemic cell lines Kasumi-1 and SKNO-1. siRNAs targeted against the fusion site of the AML1/MTG8 mRNA reduce the levels of AML1/MTG8 without affecting the amount of wild-type AML1. These data argue against a transitive RNA interference mechanism potentially induced by siRNAs in such leukemic cells. Depletion of AML1/MTG8 correlates with an increased susceptibility of both Kasumi-1 and SKNO-1 cells to tumor growth factor beta(1) (TGF beta(1))/vitamin D(3)-induced differentiation, leading to increased expression of CD11b, macrophage colony-stimulating factor (M-CSF) receptor, and C/EBP alpha (CAAT/enhancer binding protein). Moreover, siRNA-mediated AML1/MTG8 suppression results in changes in cell shape and, in combination with TGF beta(1)/vitamin D(3), severely reduces clonogenicity of Kasumi-1 cells. These results suggest an important role for AML1/MTG8 in preventing differentiation, thereby propagating leukemic blast cells. Therefore, siRNAs are promising tools for a functional analysis of AML1/MTG8 and may be used in a molecularly defined therapeutic approach for t(8;21)-positive leukemia.","container-title":"Blood","DOI":"10.1182/blood-2002-05-1589","ISSN":"0006-4971","issue":"8","journalAbbreviation":"Blood","language":"eng","note":"PMID: 12480707","page":"3157-3163","source":"PubMed","title":"AML1/MTG8 oncogene suppression by small interfering RNAs supports myeloid differentiation of t(8;21)-positive leukemic cells","volume":"101","author":[{"family":"Heidenreich","given":"Olaf"},{"family":"Krauter","given":"Jürgen"},{"family":"Riehle","given":"Heidemarie"},{"family":"Hadwiger","given":"Philipp"},{"family":"John","given":"Matthias"},{"family":"Heil","given":"Gerhard"},{"family":"Vornlocher","given":"Hans-Peter"},{"family":"Nordheim","given":"Alfred"}],"issued":{"date-parts":[["2003",4,15]]}}}],"schema":"https://github.com/citation-style-language/schema/raw/master/csl-citation.json"} </w:instrText>
            </w:r>
            <w:r w:rsidR="00B26DC8">
              <w:fldChar w:fldCharType="separate"/>
            </w:r>
            <w:r w:rsidR="00B26DC8" w:rsidRPr="00B26DC8">
              <w:rPr>
                <w:rFonts w:ascii="Calibri" w:hAnsi="Calibri"/>
              </w:rPr>
              <w:t>(Heidenreich et al., 2003)</w:t>
            </w:r>
            <w:r w:rsidR="00B26DC8">
              <w:fldChar w:fldCharType="end"/>
            </w:r>
          </w:p>
        </w:tc>
      </w:tr>
      <w:tr w:rsidR="00DA72F7" w14:paraId="1E7FB0C1" w14:textId="77777777" w:rsidTr="000D52ED">
        <w:tc>
          <w:tcPr>
            <w:tcW w:w="1291" w:type="dxa"/>
          </w:tcPr>
          <w:p w14:paraId="1E7FB0BC" w14:textId="77777777" w:rsidR="000D52ED" w:rsidRDefault="000D52ED">
            <w:r>
              <w:t>RUNX1/ETO</w:t>
            </w:r>
          </w:p>
        </w:tc>
        <w:tc>
          <w:tcPr>
            <w:tcW w:w="1398" w:type="dxa"/>
          </w:tcPr>
          <w:p w14:paraId="1E7FB0BD" w14:textId="77777777" w:rsidR="000D52ED" w:rsidRDefault="000D52ED" w:rsidP="000D52ED">
            <w:r>
              <w:rPr>
                <w:b/>
              </w:rPr>
              <w:t>D139179</w:t>
            </w:r>
          </w:p>
          <w:p w14:paraId="1E7FB0BE" w14:textId="77777777" w:rsidR="000D52ED" w:rsidRDefault="000D52ED"/>
        </w:tc>
        <w:tc>
          <w:tcPr>
            <w:tcW w:w="4394" w:type="dxa"/>
          </w:tcPr>
          <w:p w14:paraId="1E7FB0BF" w14:textId="77777777" w:rsidR="000D52ED" w:rsidRDefault="000D52ED">
            <w:r>
              <w:rPr>
                <w:rFonts w:ascii="Arial" w:hAnsi="Arial" w:cs="Arial"/>
                <w:sz w:val="20"/>
                <w:szCs w:val="20"/>
              </w:rPr>
              <w:t>5′-CCUCGAAAUCGUACUGAGAAG-3′</w:t>
            </w:r>
          </w:p>
        </w:tc>
        <w:tc>
          <w:tcPr>
            <w:tcW w:w="1977" w:type="dxa"/>
          </w:tcPr>
          <w:p w14:paraId="1E7FB0C0" w14:textId="77777777" w:rsidR="000D52ED" w:rsidRPr="007142E1" w:rsidRDefault="000D52ED">
            <w:r>
              <w:t>Qiagen,</w:t>
            </w:r>
            <w:r w:rsidR="00B26DC8">
              <w:fldChar w:fldCharType="begin"/>
            </w:r>
            <w:r w:rsidR="00B26DC8">
              <w:instrText xml:space="preserve"> ADDIN ZOTERO_ITEM CSL_CITATION {"citationID":"zwz1Yj5P","properties":{"formattedCitation":"(Heidenreich et al., 2003)","plainCitation":"(Heidenreich et al., 2003)","noteIndex":0},"citationItems":[{"id":55,"uris":["http://zotero.org/users/local/8IA2mv5H/items/IST2DQKA"],"itemData":{"id":55,"type":"article-journal","abstract":"The translocation t(8;21) yields the leukemic fusion gene AML1/MTG8 and is associated with 10%-15% of all de novo cases of acute myeloid leukemia. We demonstrate the efficient and specific suppression of AML1/MTG8 by small interfering RNAs (siRNAs) in the human leukemic cell lines Kasumi-1 and SKNO-1. siRNAs targeted against the fusion site of the AML1/MTG8 mRNA reduce the levels of AML1/MTG8 without affecting the amount of wild-type AML1. These data argue against a transitive RNA interference mechanism potentially induced by siRNAs in such leukemic cells. Depletion of AML1/MTG8 correlates with an increased susceptibility of both Kasumi-1 and SKNO-1 cells to tumor growth factor beta(1) (TGF beta(1))/vitamin D(3)-induced differentiation, leading to increased expression of CD11b, macrophage colony-stimulating factor (M-CSF) receptor, and C/EBP alpha (CAAT/enhancer binding protein). Moreover, siRNA-mediated AML1/MTG8 suppression results in changes in cell shape and, in combination with TGF beta(1)/vitamin D(3), severely reduces clonogenicity of Kasumi-1 cells. These results suggest an important role for AML1/MTG8 in preventing differentiation, thereby propagating leukemic blast cells. Therefore, siRNAs are promising tools for a functional analysis of AML1/MTG8 and may be used in a molecularly defined therapeutic approach for t(8;21)-positive leukemia.","container-title":"Blood","DOI":"10.1182/blood-2002-05-1589","ISSN":"0006-4971","issue":"8","journalAbbreviation":"Blood","language":"eng","note":"PMID: 12480707","page":"3157-3163","source":"PubMed","title":"AML1/MTG8 oncogene suppression by small interfering RNAs supports myeloid differentiation of t(8;21)-positive leukemic cells","volume":"101","author":[{"family":"Heidenreich","given":"Olaf"},{"family":"Krauter","given":"Jürgen"},{"family":"Riehle","given":"Heidemarie"},{"family":"Hadwiger","given":"Philipp"},{"family":"John","given":"Matthias"},{"family":"Heil","given":"Gerhard"},{"family":"Vornlocher","given":"Hans-Peter"},{"family":"Nordheim","given":"Alfred"}],"issued":{"date-parts":[["2003",4,15]]}}}],"schema":"https://github.com/citation-style-language/schema/raw/master/csl-citation.json"} </w:instrText>
            </w:r>
            <w:r w:rsidR="00B26DC8">
              <w:fldChar w:fldCharType="separate"/>
            </w:r>
            <w:r w:rsidR="00B26DC8" w:rsidRPr="00B26DC8">
              <w:rPr>
                <w:rFonts w:ascii="Calibri" w:hAnsi="Calibri"/>
              </w:rPr>
              <w:t>(Heidenreich et al., 2003)</w:t>
            </w:r>
            <w:r w:rsidR="00B26DC8">
              <w:fldChar w:fldCharType="end"/>
            </w:r>
          </w:p>
        </w:tc>
      </w:tr>
      <w:tr w:rsidR="00DA72F7" w14:paraId="1E7FB0C7" w14:textId="77777777" w:rsidTr="000D52ED">
        <w:tc>
          <w:tcPr>
            <w:tcW w:w="1291" w:type="dxa"/>
          </w:tcPr>
          <w:p w14:paraId="1E7FB0C2" w14:textId="77777777" w:rsidR="000D52ED" w:rsidRDefault="000D52ED">
            <w:r>
              <w:t>RAC1</w:t>
            </w:r>
          </w:p>
        </w:tc>
        <w:tc>
          <w:tcPr>
            <w:tcW w:w="1398" w:type="dxa"/>
          </w:tcPr>
          <w:p w14:paraId="1E7FB0C3" w14:textId="77777777" w:rsidR="000D52ED" w:rsidRPr="00DA72F7" w:rsidRDefault="00DA72F7">
            <w:pPr>
              <w:rPr>
                <w:b/>
              </w:rPr>
            </w:pPr>
            <w:r w:rsidRPr="00DA72F7">
              <w:rPr>
                <w:b/>
              </w:rPr>
              <w:t>EntrezID 5879</w:t>
            </w:r>
          </w:p>
        </w:tc>
        <w:tc>
          <w:tcPr>
            <w:tcW w:w="4394" w:type="dxa"/>
          </w:tcPr>
          <w:p w14:paraId="1E7FB0C4" w14:textId="77777777" w:rsidR="000D52ED" w:rsidRDefault="000D52ED">
            <w:pPr>
              <w:rPr>
                <w:rFonts w:ascii="Arial" w:hAnsi="Arial" w:cs="Arial"/>
                <w:sz w:val="20"/>
                <w:szCs w:val="20"/>
                <w:lang w:eastAsia="ms-MY"/>
              </w:rPr>
            </w:pPr>
            <w:r>
              <w:rPr>
                <w:rFonts w:ascii="Arial" w:hAnsi="Arial" w:cs="Arial"/>
                <w:sz w:val="20"/>
                <w:szCs w:val="20"/>
                <w:lang w:eastAsia="ms-MY"/>
              </w:rPr>
              <w:t>5’-AGGGUCUAGCCAUGGCUAAGGAGAU-3’</w:t>
            </w:r>
          </w:p>
          <w:p w14:paraId="1E7FB0C5" w14:textId="77777777" w:rsidR="000D52ED" w:rsidRDefault="000D52ED"/>
        </w:tc>
        <w:tc>
          <w:tcPr>
            <w:tcW w:w="1977" w:type="dxa"/>
          </w:tcPr>
          <w:p w14:paraId="1E7FB0C6" w14:textId="77777777" w:rsidR="000D52ED" w:rsidRPr="007142E1" w:rsidRDefault="00DA72F7">
            <w:r>
              <w:t>VHS 40447 Stealth RNAi Thermo Scientific</w:t>
            </w:r>
          </w:p>
        </w:tc>
      </w:tr>
      <w:tr w:rsidR="00DA72F7" w14:paraId="1E7FB0CC" w14:textId="77777777" w:rsidTr="000D52ED">
        <w:tc>
          <w:tcPr>
            <w:tcW w:w="1291" w:type="dxa"/>
          </w:tcPr>
          <w:p w14:paraId="1E7FB0C8" w14:textId="77777777" w:rsidR="000D52ED" w:rsidRDefault="000D52ED">
            <w:r>
              <w:t>FLT3</w:t>
            </w:r>
          </w:p>
        </w:tc>
        <w:tc>
          <w:tcPr>
            <w:tcW w:w="1398" w:type="dxa"/>
          </w:tcPr>
          <w:p w14:paraId="1E7FB0C9" w14:textId="77777777" w:rsidR="000D52ED" w:rsidRDefault="000D52ED">
            <w:r>
              <w:t>Qiagen Propietary</w:t>
            </w:r>
          </w:p>
        </w:tc>
        <w:tc>
          <w:tcPr>
            <w:tcW w:w="4394" w:type="dxa"/>
          </w:tcPr>
          <w:p w14:paraId="1E7FB0CA" w14:textId="77777777" w:rsidR="000D52ED" w:rsidRDefault="000D52ED">
            <w:r>
              <w:t>Manufacturer’s sequence</w:t>
            </w:r>
          </w:p>
        </w:tc>
        <w:tc>
          <w:tcPr>
            <w:tcW w:w="1977" w:type="dxa"/>
          </w:tcPr>
          <w:p w14:paraId="1E7FB0CB" w14:textId="77777777" w:rsidR="000D52ED" w:rsidRPr="007142E1" w:rsidRDefault="000D52ED">
            <w:r>
              <w:t>Qiagen, propietary</w:t>
            </w:r>
          </w:p>
        </w:tc>
      </w:tr>
    </w:tbl>
    <w:p w14:paraId="1E7FB0CD" w14:textId="77777777" w:rsidR="00A52562" w:rsidRPr="000D52ED" w:rsidRDefault="00A52562">
      <w:pPr>
        <w:rPr>
          <w:b/>
          <w:u w:val="single"/>
        </w:rPr>
      </w:pPr>
    </w:p>
    <w:p w14:paraId="1E7FB0CE" w14:textId="77777777" w:rsidR="007142E1" w:rsidRPr="000D52ED" w:rsidRDefault="007142E1">
      <w:pPr>
        <w:rPr>
          <w:u w:val="single"/>
        </w:rPr>
      </w:pPr>
      <w:r w:rsidRPr="000D52ED">
        <w:rPr>
          <w:u w:val="single"/>
        </w:rPr>
        <w:t>Table 2</w:t>
      </w:r>
      <w:r w:rsidR="000D52ED" w:rsidRPr="000D52ED">
        <w:rPr>
          <w:u w:val="single"/>
        </w:rPr>
        <w:t xml:space="preserve">: </w:t>
      </w:r>
      <w:r w:rsidRPr="000D52ED">
        <w:rPr>
          <w:u w:val="single"/>
        </w:rPr>
        <w:t>Primers used</w:t>
      </w:r>
    </w:p>
    <w:tbl>
      <w:tblPr>
        <w:tblStyle w:val="TableGrid"/>
        <w:tblW w:w="0" w:type="auto"/>
        <w:tblLook w:val="04A0" w:firstRow="1" w:lastRow="0" w:firstColumn="1" w:lastColumn="0" w:noHBand="0" w:noVBand="1"/>
      </w:tblPr>
      <w:tblGrid>
        <w:gridCol w:w="1838"/>
        <w:gridCol w:w="4678"/>
        <w:gridCol w:w="2544"/>
      </w:tblGrid>
      <w:tr w:rsidR="007142E1" w14:paraId="1E7FB0D2" w14:textId="77777777" w:rsidTr="007142E1">
        <w:tc>
          <w:tcPr>
            <w:tcW w:w="1838" w:type="dxa"/>
          </w:tcPr>
          <w:p w14:paraId="1E7FB0CF" w14:textId="77777777" w:rsidR="007142E1" w:rsidRPr="007142E1" w:rsidRDefault="007142E1">
            <w:r w:rsidRPr="007142E1">
              <w:t>Gene</w:t>
            </w:r>
          </w:p>
        </w:tc>
        <w:tc>
          <w:tcPr>
            <w:tcW w:w="4678" w:type="dxa"/>
          </w:tcPr>
          <w:p w14:paraId="1E7FB0D0" w14:textId="77777777" w:rsidR="007142E1" w:rsidRPr="007142E1" w:rsidRDefault="007142E1">
            <w:r w:rsidRPr="007142E1">
              <w:t>Primer sequence</w:t>
            </w:r>
          </w:p>
        </w:tc>
        <w:tc>
          <w:tcPr>
            <w:tcW w:w="2544" w:type="dxa"/>
          </w:tcPr>
          <w:p w14:paraId="1E7FB0D1" w14:textId="77777777" w:rsidR="007142E1" w:rsidRPr="007142E1" w:rsidRDefault="007142E1">
            <w:r w:rsidRPr="007142E1">
              <w:t>Source</w:t>
            </w:r>
          </w:p>
        </w:tc>
      </w:tr>
      <w:tr w:rsidR="007142E1" w14:paraId="1E7FB0D8" w14:textId="77777777" w:rsidTr="00D64A85">
        <w:tc>
          <w:tcPr>
            <w:tcW w:w="1838" w:type="dxa"/>
            <w:shd w:val="clear" w:color="auto" w:fill="BFBFBF" w:themeFill="background1" w:themeFillShade="BF"/>
          </w:tcPr>
          <w:p w14:paraId="1E7FB0D3" w14:textId="77777777" w:rsidR="007142E1" w:rsidRPr="00D64A85" w:rsidRDefault="007142E1"/>
          <w:p w14:paraId="1E7FB0D4" w14:textId="77777777" w:rsidR="007142E1" w:rsidRPr="00D64A85" w:rsidRDefault="007142E1">
            <w:r w:rsidRPr="00D64A85">
              <w:t>qPCR Primers</w:t>
            </w:r>
          </w:p>
          <w:p w14:paraId="1E7FB0D5" w14:textId="77777777" w:rsidR="007142E1" w:rsidRPr="00D64A85" w:rsidRDefault="007142E1">
            <w:pPr>
              <w:rPr>
                <w:highlight w:val="yellow"/>
              </w:rPr>
            </w:pPr>
          </w:p>
        </w:tc>
        <w:tc>
          <w:tcPr>
            <w:tcW w:w="4678" w:type="dxa"/>
            <w:shd w:val="clear" w:color="auto" w:fill="BFBFBF" w:themeFill="background1" w:themeFillShade="BF"/>
          </w:tcPr>
          <w:p w14:paraId="1E7FB0D6" w14:textId="77777777" w:rsidR="007142E1" w:rsidRPr="00D64A85" w:rsidRDefault="007142E1">
            <w:pPr>
              <w:rPr>
                <w:highlight w:val="yellow"/>
              </w:rPr>
            </w:pPr>
          </w:p>
        </w:tc>
        <w:tc>
          <w:tcPr>
            <w:tcW w:w="2544" w:type="dxa"/>
            <w:shd w:val="clear" w:color="auto" w:fill="BFBFBF" w:themeFill="background1" w:themeFillShade="BF"/>
          </w:tcPr>
          <w:p w14:paraId="1E7FB0D7" w14:textId="77777777" w:rsidR="007142E1" w:rsidRPr="00D64A85" w:rsidRDefault="007142E1">
            <w:pPr>
              <w:rPr>
                <w:highlight w:val="yellow"/>
              </w:rPr>
            </w:pPr>
          </w:p>
        </w:tc>
      </w:tr>
      <w:tr w:rsidR="007142E1" w14:paraId="1E7FB0DD" w14:textId="77777777" w:rsidTr="007142E1">
        <w:tc>
          <w:tcPr>
            <w:tcW w:w="1838" w:type="dxa"/>
          </w:tcPr>
          <w:p w14:paraId="1E7FB0D9" w14:textId="77777777" w:rsidR="007142E1" w:rsidRPr="007142E1" w:rsidRDefault="007142E1">
            <w:r w:rsidRPr="007142E1">
              <w:t>RUNX1/ETO</w:t>
            </w:r>
          </w:p>
        </w:tc>
        <w:tc>
          <w:tcPr>
            <w:tcW w:w="4678" w:type="dxa"/>
          </w:tcPr>
          <w:p w14:paraId="1E7FB0DA" w14:textId="77777777" w:rsidR="007142E1" w:rsidRDefault="007142E1">
            <w:pPr>
              <w:rPr>
                <w:rFonts w:ascii="Arial" w:hAnsi="Arial" w:cs="Arial"/>
                <w:sz w:val="20"/>
                <w:szCs w:val="20"/>
                <w:lang w:eastAsia="ms-MY"/>
              </w:rPr>
            </w:pPr>
            <w:r>
              <w:rPr>
                <w:rFonts w:ascii="Arial" w:hAnsi="Arial" w:cs="Arial"/>
                <w:sz w:val="20"/>
                <w:szCs w:val="20"/>
                <w:lang w:eastAsia="ms-MY"/>
              </w:rPr>
              <w:t xml:space="preserve">F: 5′-AATCACAGTGGATGGGCCC -3′ </w:t>
            </w:r>
          </w:p>
          <w:p w14:paraId="1E7FB0DB" w14:textId="77777777" w:rsidR="007142E1" w:rsidRPr="007142E1" w:rsidRDefault="007142E1">
            <w:r>
              <w:rPr>
                <w:rFonts w:ascii="Arial" w:hAnsi="Arial" w:cs="Arial"/>
                <w:sz w:val="20"/>
                <w:szCs w:val="20"/>
                <w:lang w:eastAsia="ms-MY"/>
              </w:rPr>
              <w:t>R: 5′-TGCGTCTTCACATCCACAGG-3’</w:t>
            </w:r>
          </w:p>
        </w:tc>
        <w:tc>
          <w:tcPr>
            <w:tcW w:w="2544" w:type="dxa"/>
          </w:tcPr>
          <w:p w14:paraId="1E7FB0DC" w14:textId="77777777" w:rsidR="007142E1" w:rsidRPr="007142E1" w:rsidRDefault="00B26DC8">
            <w:r>
              <w:fldChar w:fldCharType="begin"/>
            </w:r>
            <w:r>
              <w:instrText xml:space="preserve"> ADDIN ZOTERO_ITEM CSL_CITATION {"citationID":"sHAVwEuz","properties":{"formattedCitation":"(Heidenreich et al., 2003)","plainCitation":"(Heidenreich et al., 2003)","noteIndex":0},"citationItems":[{"id":55,"uris":["http://zotero.org/users/local/8IA2mv5H/items/IST2DQKA"],"itemData":{"id":55,"type":"article-journal","abstract":"The translocation t(8;21) yields the leukemic fusion gene AML1/MTG8 and is associated with 10%-15% of all de novo cases of acute myeloid leukemia. We demonstrate the efficient and specific suppression of AML1/MTG8 by small interfering RNAs (siRNAs) in the human leukemic cell lines Kasumi-1 and SKNO-1. siRNAs targeted against the fusion site of the AML1/MTG8 mRNA reduce the levels of AML1/MTG8 without affecting the amount of wild-type AML1. These data argue against a transitive RNA interference mechanism potentially induced by siRNAs in such leukemic cells. Depletion of AML1/MTG8 correlates with an increased susceptibility of both Kasumi-1 and SKNO-1 cells to tumor growth factor beta(1) (TGF beta(1))/vitamin D(3)-induced differentiation, leading to increased expression of CD11b, macrophage colony-stimulating factor (M-CSF) receptor, and C/EBP alpha (CAAT/enhancer binding protein). Moreover, siRNA-mediated AML1/MTG8 suppression results in changes in cell shape and, in combination with TGF beta(1)/vitamin D(3), severely reduces clonogenicity of Kasumi-1 cells. These results suggest an important role for AML1/MTG8 in preventing differentiation, thereby propagating leukemic blast cells. Therefore, siRNAs are promising tools for a functional analysis of AML1/MTG8 and may be used in a molecularly defined therapeutic approach for t(8;21)-positive leukemia.","container-title":"Blood","DOI":"10.1182/blood-2002-05-1589","ISSN":"0006-4971","issue":"8","journalAbbreviation":"Blood","language":"eng","note":"PMID: 12480707","page":"3157-3163","source":"PubMed","title":"AML1/MTG8 oncogene suppression by small interfering RNAs supports myeloid differentiation of t(8;21)-positive leukemic cells","volume":"101","author":[{"family":"Heidenreich","given":"Olaf"},{"family":"Krauter","given":"Jürgen"},{"family":"Riehle","given":"Heidemarie"},{"family":"Hadwiger","given":"Philipp"},{"family":"John","given":"Matthias"},{"family":"Heil","given":"Gerhard"},{"family":"Vornlocher","given":"Hans-Peter"},{"family":"Nordheim","given":"Alfred"}],"issued":{"date-parts":[["2003",4,15]]}}}],"schema":"https://github.com/citation-style-language/schema/raw/master/csl-citation.json"} </w:instrText>
            </w:r>
            <w:r>
              <w:fldChar w:fldCharType="separate"/>
            </w:r>
            <w:r w:rsidRPr="00B26DC8">
              <w:rPr>
                <w:rFonts w:ascii="Calibri" w:hAnsi="Calibri"/>
              </w:rPr>
              <w:t>(Heidenreich et al., 2003)</w:t>
            </w:r>
            <w:r>
              <w:fldChar w:fldCharType="end"/>
            </w:r>
          </w:p>
        </w:tc>
      </w:tr>
      <w:tr w:rsidR="007142E1" w14:paraId="1E7FB0E2" w14:textId="77777777" w:rsidTr="007142E1">
        <w:tc>
          <w:tcPr>
            <w:tcW w:w="1838" w:type="dxa"/>
          </w:tcPr>
          <w:p w14:paraId="1E7FB0DE" w14:textId="77777777" w:rsidR="007142E1" w:rsidRPr="007142E1" w:rsidRDefault="007142E1">
            <w:r w:rsidRPr="007142E1">
              <w:t>RAC1</w:t>
            </w:r>
          </w:p>
        </w:tc>
        <w:tc>
          <w:tcPr>
            <w:tcW w:w="4678" w:type="dxa"/>
          </w:tcPr>
          <w:p w14:paraId="1E7FB0DF" w14:textId="77777777" w:rsidR="007142E1" w:rsidRDefault="007142E1">
            <w:pPr>
              <w:rPr>
                <w:rFonts w:ascii="Arial" w:hAnsi="Arial" w:cs="Arial"/>
                <w:sz w:val="20"/>
                <w:szCs w:val="20"/>
                <w:lang w:eastAsia="ms-MY"/>
              </w:rPr>
            </w:pPr>
            <w:r>
              <w:rPr>
                <w:rFonts w:ascii="Arial" w:hAnsi="Arial" w:cs="Arial"/>
                <w:sz w:val="20"/>
                <w:szCs w:val="20"/>
                <w:lang w:eastAsia="ms-MY"/>
              </w:rPr>
              <w:t xml:space="preserve">F: 5′-GCCAATGTTATGGTAGAT-3′ </w:t>
            </w:r>
          </w:p>
          <w:p w14:paraId="1E7FB0E0" w14:textId="77777777" w:rsidR="007142E1" w:rsidRPr="007142E1" w:rsidRDefault="007142E1">
            <w:r>
              <w:rPr>
                <w:rFonts w:ascii="Arial" w:hAnsi="Arial" w:cs="Arial"/>
                <w:sz w:val="20"/>
                <w:szCs w:val="20"/>
                <w:lang w:eastAsia="ms-MY"/>
              </w:rPr>
              <w:t>R: 5′-GACTCACAAGGGAAAAGC-3′</w:t>
            </w:r>
          </w:p>
        </w:tc>
        <w:tc>
          <w:tcPr>
            <w:tcW w:w="2544" w:type="dxa"/>
          </w:tcPr>
          <w:p w14:paraId="1E7FB0E1" w14:textId="77777777" w:rsidR="007142E1" w:rsidRPr="007142E1" w:rsidRDefault="00881000">
            <w:r>
              <w:fldChar w:fldCharType="begin"/>
            </w:r>
            <w:r>
              <w:instrText xml:space="preserve"> ADDIN ZOTERO_ITEM CSL_CITATION {"citationID":"IRqeDKsi","properties":{"formattedCitation":"(L.-J. Zhang et al., 2012)","plainCitation":"(L.-J. Zhang et al., 2012)","noteIndex":0},"citationItems":[{"id":1535,"uris":["http://zotero.org/users/local/8IA2mv5H/items/73J6YHBR"],"itemData":{"id":1535,"type":"article-journal","abstract":"Hydrogen sulfide (H(2)S) is now considered as the third gaseotransmitter, however, the signaling pathways that modulate the biomedical effect of H(2)S on endothelial cells are poorly defined. In the present study, we found in human endothelial cells that H(2)S increased cell migration rates and induced a marked reorganization of the actin cytoskeleton, which was prevented by depletion of Rac1. Pharmacologic inhibiting vascular endothelial growth factor receptor (VEGFR) and phosphoinositide 3-kinase (PI3K) both blunted the activation of Rac1 and the promotion of cell migration induced by H(2)S. Moreover, H(2)S-induced Rac1 activation was selectively dependent on the presence of the PI3K p110α isoform. Activated Rac1 by H(2)S thus in turn resulted in the phosphorylation of the F-actin polymerization modulator, cofilin. Additionally, inhibiting of extracellular signal-regulated kinase (ERK) decreased the augmented cell migration rate by H(2)S, but had no effect on Rac1 activation. These results indicate that Rac1 conveys the H(2)S signal to microfilaments inducing rearrangements of actin cytoskeleton that regulates cell migration. VEGFR-PI3K was found to be upstream pathway of Rac1, while cofilin acted as a downstream effector of Rac1. ERK was also shown to be involved in the action of H(2)S on endothelial cell migration, but independently of Rac1.","container-title":"PloS One","DOI":"10.1371/journal.pone.0044590","ISSN":"1932-6203","issue":"9","journalAbbreviation":"PLoS One","language":"eng","note":"PMID: 22970259\nPMCID: PMC3436785","page":"e44590","source":"PubMed","title":"PI3K p110α isoform-dependent Rho GTPase Rac1 activation mediates H2S-promoted endothelial cell migration via actin cytoskeleton reorganization","volume":"7","author":[{"family":"Zhang","given":"Li-Jia"},{"family":"Tao","given":"Bei-Bei"},{"family":"Wang","given":"Ming-Jie"},{"family":"Jin","given":"Hui-Ming"},{"family":"Zhu","given":"Yi-Chun"}],"issued":{"date-parts":[["2012"]]}}}],"schema":"https://github.com/citation-style-language/schema/raw/master/csl-citation.json"} </w:instrText>
            </w:r>
            <w:r>
              <w:fldChar w:fldCharType="separate"/>
            </w:r>
            <w:r w:rsidRPr="00881000">
              <w:rPr>
                <w:rFonts w:ascii="Calibri" w:hAnsi="Calibri"/>
              </w:rPr>
              <w:t>(L.-J. Zhang et al., 2012)</w:t>
            </w:r>
            <w:r>
              <w:fldChar w:fldCharType="end"/>
            </w:r>
          </w:p>
        </w:tc>
      </w:tr>
      <w:tr w:rsidR="007142E1" w14:paraId="1E7FB0E7" w14:textId="77777777" w:rsidTr="007142E1">
        <w:tc>
          <w:tcPr>
            <w:tcW w:w="1838" w:type="dxa"/>
          </w:tcPr>
          <w:p w14:paraId="1E7FB0E3" w14:textId="77777777" w:rsidR="007142E1" w:rsidRPr="007142E1" w:rsidRDefault="007142E1">
            <w:r w:rsidRPr="007142E1">
              <w:t>FLT3</w:t>
            </w:r>
          </w:p>
        </w:tc>
        <w:tc>
          <w:tcPr>
            <w:tcW w:w="4678" w:type="dxa"/>
          </w:tcPr>
          <w:p w14:paraId="1E7FB0E4" w14:textId="77777777" w:rsidR="007142E1" w:rsidRDefault="007142E1">
            <w:pPr>
              <w:rPr>
                <w:rFonts w:ascii="Arial" w:hAnsi="Arial" w:cs="Arial"/>
                <w:sz w:val="20"/>
                <w:szCs w:val="20"/>
                <w:lang w:eastAsia="ms-MY"/>
              </w:rPr>
            </w:pPr>
            <w:r>
              <w:rPr>
                <w:rFonts w:ascii="Arial" w:hAnsi="Arial" w:cs="Arial"/>
                <w:sz w:val="20"/>
                <w:szCs w:val="20"/>
                <w:lang w:eastAsia="ms-MY"/>
              </w:rPr>
              <w:t xml:space="preserve">F: 5′-TTTCACAGGACTTGGACAGAGATTT-3′ </w:t>
            </w:r>
          </w:p>
          <w:p w14:paraId="1E7FB0E5" w14:textId="77777777" w:rsidR="007142E1" w:rsidRPr="007142E1" w:rsidRDefault="007142E1">
            <w:r>
              <w:rPr>
                <w:rFonts w:ascii="Arial" w:hAnsi="Arial" w:cs="Arial"/>
                <w:sz w:val="20"/>
                <w:szCs w:val="20"/>
                <w:lang w:eastAsia="ms-MY"/>
              </w:rPr>
              <w:t>R: 5′-GAGTCCGGGTGTATCTGAACTTCT-3</w:t>
            </w:r>
          </w:p>
        </w:tc>
        <w:tc>
          <w:tcPr>
            <w:tcW w:w="2544" w:type="dxa"/>
          </w:tcPr>
          <w:p w14:paraId="1E7FB0E6" w14:textId="77777777" w:rsidR="007142E1" w:rsidRPr="007142E1" w:rsidRDefault="00155581">
            <w:r>
              <w:fldChar w:fldCharType="begin"/>
            </w:r>
            <w:r>
              <w:instrText xml:space="preserve"> ADDIN ZOTERO_ITEM CSL_CITATION {"citationID":"R3VIiI8M","properties":{"formattedCitation":"(Ozeki et al., 2004)","plainCitation":"(Ozeki et al., 2004)","noteIndex":0},"citationItems":[{"id":1533,"uris":["http://zotero.org/users/local/8IA2mv5H/items/VWJV7QYF"],"itemData":{"id":1533,"type":"article-journal","abstract":"Although FLT3 mutations are essentially found in myeloid-lineage leukemia cells, a high level of FLT3 expression was recently observed in MLL gene-rearranged acute lymphoblastic leukemia without FLT3 mutations. Here, we analyzed the biologic and clinical significance of the FLT3 transcript level in comparison with several gene alterations in 181 de novo acute myeloid leukemia (AML) cases. The mean expression level in AML was higher than that in normal mononuclear cells, whereas the range varied widely. A high level of FLT3 is related to internal tandem duplication of the FLT3 gene (FLT3/ITD), the mutations within the activation loop of FLT3 (FLT3/D835Mt), and tandem duplication of the MLL gene (MLL-TD) but not to p53 or N-RAS gene mutations. Furthermore, a high expression level in AML cases with FLT3 mutations was not related to MLL-TD. Overexpressed FLT3 revealed autophosphorylation and had the same sensitivity to the FLT3 inhibitor as FLT3/ITD. Overexpression of FLT3 (more than 200,000 copies/microgRNA) was an unfavorable prognostic factor for overall survival in 91 AML cases without FLT3/ITD. These results indicated that FLT3 overexpression may distinguish a novel disease entity in AML without FLT3 mutations and serve as a therapeutic target for FLT3 inhibitors.","container-title":"Blood","DOI":"10.1182/blood-2003-06-1845","ISSN":"0006-4971","issue":"5","journalAbbreviation":"Blood","language":"eng","note":"PMID: 14604973","page":"1901-1908","source":"PubMed","title":"Biologic and clinical significance of the FLT3 transcript level in acute myeloid leukemia","volume":"103","author":[{"family":"Ozeki","given":"Kazutaka"},{"family":"Kiyoi","given":"Hitoshi"},{"family":"Hirose","given":"Yuka"},{"family":"Iwai","given":"Masanori"},{"family":"Ninomiya","given":"Manabu"},{"family":"Kodera","given":"Yoshihisa"},{"family":"Miyawaki","given":"Shuichi"},{"family":"Kuriyama","given":"Kazutaka"},{"family":"Shimazaki","given":"Chihiro"},{"family":"Akiyama","given":"Hideki"},{"family":"Nishimura","given":"Miki"},{"family":"Motoji","given":"Toshiko"},{"family":"Shinagawa","given":"Katsuji"},{"family":"Takeshita","given":"Akihiro"},{"family":"Ueda","given":"Ryuzo"},{"family":"Ohno","given":"Ryuzo"},{"family":"Emi","given":"Nobuhiko"},{"family":"Naoe","given":"Tomoki"}],"issued":{"date-parts":[["2004",3,1]]}}}],"schema":"https://github.com/citation-style-language/schema/raw/master/csl-citation.json"} </w:instrText>
            </w:r>
            <w:r>
              <w:fldChar w:fldCharType="separate"/>
            </w:r>
            <w:r w:rsidRPr="00155581">
              <w:rPr>
                <w:rFonts w:ascii="Calibri" w:hAnsi="Calibri"/>
              </w:rPr>
              <w:t>(Ozeki et al., 2004)</w:t>
            </w:r>
            <w:r>
              <w:fldChar w:fldCharType="end"/>
            </w:r>
          </w:p>
        </w:tc>
      </w:tr>
      <w:tr w:rsidR="007142E1" w14:paraId="1E7FB0EC" w14:textId="77777777" w:rsidTr="007142E1">
        <w:tc>
          <w:tcPr>
            <w:tcW w:w="1838" w:type="dxa"/>
          </w:tcPr>
          <w:p w14:paraId="1E7FB0E8" w14:textId="77777777" w:rsidR="007142E1" w:rsidRPr="007142E1" w:rsidRDefault="007142E1">
            <w:r w:rsidRPr="007142E1">
              <w:t>GAPDH</w:t>
            </w:r>
          </w:p>
        </w:tc>
        <w:tc>
          <w:tcPr>
            <w:tcW w:w="4678" w:type="dxa"/>
          </w:tcPr>
          <w:p w14:paraId="1E7FB0E9" w14:textId="77777777" w:rsidR="007142E1" w:rsidRDefault="007142E1">
            <w:pPr>
              <w:rPr>
                <w:rFonts w:ascii="Arial" w:hAnsi="Arial" w:cs="Arial"/>
                <w:sz w:val="20"/>
                <w:szCs w:val="20"/>
                <w:lang w:eastAsia="ms-MY"/>
              </w:rPr>
            </w:pPr>
            <w:r>
              <w:rPr>
                <w:rFonts w:ascii="Arial" w:hAnsi="Arial" w:cs="Arial"/>
                <w:sz w:val="20"/>
                <w:szCs w:val="20"/>
                <w:lang w:eastAsia="ms-MY"/>
              </w:rPr>
              <w:t xml:space="preserve">F: 5′-AACGGATTTGGTCGTATTG-3′ </w:t>
            </w:r>
          </w:p>
          <w:p w14:paraId="1E7FB0EA" w14:textId="77777777" w:rsidR="007142E1" w:rsidRPr="007142E1" w:rsidRDefault="007142E1">
            <w:r>
              <w:rPr>
                <w:rFonts w:ascii="Arial" w:hAnsi="Arial" w:cs="Arial"/>
                <w:sz w:val="20"/>
                <w:szCs w:val="20"/>
                <w:lang w:eastAsia="ms-MY"/>
              </w:rPr>
              <w:t>R: 5′-GCTCCTGGAAGATGGTGAT-3′</w:t>
            </w:r>
          </w:p>
        </w:tc>
        <w:tc>
          <w:tcPr>
            <w:tcW w:w="2544" w:type="dxa"/>
          </w:tcPr>
          <w:p w14:paraId="1E7FB0EB" w14:textId="77777777" w:rsidR="007142E1" w:rsidRPr="007142E1" w:rsidRDefault="00881000">
            <w:r>
              <w:fldChar w:fldCharType="begin"/>
            </w:r>
            <w:r>
              <w:instrText xml:space="preserve"> ADDIN ZOTERO_ITEM CSL_CITATION {"citationID":"DZgb5Y6e","properties":{"formattedCitation":"(J. Zhang et al., 2012)","plainCitation":"(J. Zhang et al., 2012)","noteIndex":0},"citationItems":[{"id":1538,"uris":["http://zotero.org/users/local/8IA2mv5H/items/6RERAU48"],"itemData":{"id":1538,"type":"article-journal","container-title":"Blood","issue":"21","note":"publisher: Elsevier","page":"2447","source":"Google Scholar","title":"Canonical NF-κB Signalling Is a Potential Target in FLT3/ITD AML.","volume":"120","author":[{"family":"Zhang","given":"Jing"},{"family":"Li","given":"Li"},{"family":"Friedman","given":"Alan D."},{"family":"Small","given":"Donald"},{"family":"Paz-Priel","given":"Ido"}],"issued":{"date-parts":[["2012"]]}}}],"schema":"https://github.com/citation-style-language/schema/raw/master/csl-citation.json"} </w:instrText>
            </w:r>
            <w:r>
              <w:fldChar w:fldCharType="separate"/>
            </w:r>
            <w:r w:rsidRPr="00881000">
              <w:rPr>
                <w:rFonts w:ascii="Calibri" w:hAnsi="Calibri"/>
              </w:rPr>
              <w:t>(J. Zhang et al., 2012)</w:t>
            </w:r>
            <w:r>
              <w:fldChar w:fldCharType="end"/>
            </w:r>
          </w:p>
        </w:tc>
      </w:tr>
      <w:tr w:rsidR="007142E1" w14:paraId="1E7FB0F2" w14:textId="77777777" w:rsidTr="00D64A85">
        <w:tc>
          <w:tcPr>
            <w:tcW w:w="1838" w:type="dxa"/>
            <w:shd w:val="clear" w:color="auto" w:fill="BFBFBF" w:themeFill="background1" w:themeFillShade="BF"/>
          </w:tcPr>
          <w:p w14:paraId="1E7FB0ED" w14:textId="77777777" w:rsidR="007142E1" w:rsidRPr="007142E1" w:rsidRDefault="007142E1"/>
          <w:p w14:paraId="1E7FB0EE" w14:textId="77777777" w:rsidR="007142E1" w:rsidRDefault="007142E1">
            <w:r w:rsidRPr="007142E1">
              <w:t>ChIP Primers</w:t>
            </w:r>
          </w:p>
          <w:p w14:paraId="1E7FB0EF" w14:textId="77777777" w:rsidR="007142E1" w:rsidRPr="007142E1" w:rsidRDefault="007142E1"/>
        </w:tc>
        <w:tc>
          <w:tcPr>
            <w:tcW w:w="4678" w:type="dxa"/>
            <w:shd w:val="clear" w:color="auto" w:fill="BFBFBF" w:themeFill="background1" w:themeFillShade="BF"/>
          </w:tcPr>
          <w:p w14:paraId="1E7FB0F0" w14:textId="77777777" w:rsidR="007142E1" w:rsidRPr="007142E1" w:rsidRDefault="007142E1"/>
        </w:tc>
        <w:tc>
          <w:tcPr>
            <w:tcW w:w="2544" w:type="dxa"/>
            <w:shd w:val="clear" w:color="auto" w:fill="BFBFBF" w:themeFill="background1" w:themeFillShade="BF"/>
          </w:tcPr>
          <w:p w14:paraId="1E7FB0F1" w14:textId="77777777" w:rsidR="007142E1" w:rsidRPr="007142E1" w:rsidRDefault="007142E1"/>
        </w:tc>
      </w:tr>
      <w:tr w:rsidR="007142E1" w14:paraId="1E7FB0F7" w14:textId="77777777" w:rsidTr="007142E1">
        <w:tc>
          <w:tcPr>
            <w:tcW w:w="1838" w:type="dxa"/>
          </w:tcPr>
          <w:p w14:paraId="1E7FB0F3" w14:textId="77777777" w:rsidR="007142E1" w:rsidRPr="007142E1" w:rsidRDefault="007142E1">
            <w:r w:rsidRPr="007142E1">
              <w:t>1.5Mbp (FLT3en)</w:t>
            </w:r>
          </w:p>
        </w:tc>
        <w:tc>
          <w:tcPr>
            <w:tcW w:w="4678" w:type="dxa"/>
          </w:tcPr>
          <w:p w14:paraId="1E7FB0F4" w14:textId="77777777" w:rsidR="001F2135" w:rsidRPr="001F2135" w:rsidRDefault="001F2135" w:rsidP="001F2135">
            <w:pPr>
              <w:rPr>
                <w:rFonts w:ascii="Arial" w:eastAsia="Times New Roman" w:hAnsi="Arial" w:cs="Arial"/>
                <w:sz w:val="20"/>
                <w:szCs w:val="20"/>
                <w:lang w:eastAsia="ms-MY"/>
              </w:rPr>
            </w:pPr>
            <w:r>
              <w:rPr>
                <w:rFonts w:ascii="Arial" w:eastAsia="Times New Roman" w:hAnsi="Arial" w:cs="Arial"/>
                <w:color w:val="000000"/>
                <w:sz w:val="20"/>
                <w:szCs w:val="20"/>
                <w:lang w:eastAsia="ms-MY"/>
              </w:rPr>
              <w:t>F:</w:t>
            </w:r>
            <w:r w:rsidRPr="001F2135">
              <w:rPr>
                <w:rFonts w:ascii="Arial" w:eastAsia="Times New Roman" w:hAnsi="Arial" w:cs="Arial"/>
                <w:color w:val="000000"/>
                <w:sz w:val="20"/>
                <w:szCs w:val="20"/>
                <w:lang w:eastAsia="ms-MY"/>
              </w:rPr>
              <w:t xml:space="preserve"> 5’-AACACCCCACCCTGCTTT-3' </w:t>
            </w:r>
          </w:p>
          <w:p w14:paraId="1E7FB0F5" w14:textId="77777777" w:rsidR="007142E1" w:rsidRPr="001F2135" w:rsidRDefault="001F2135" w:rsidP="001F2135">
            <w:pPr>
              <w:rPr>
                <w:rFonts w:ascii="Arial" w:hAnsi="Arial" w:cs="Arial"/>
                <w:sz w:val="20"/>
                <w:szCs w:val="20"/>
              </w:rPr>
            </w:pPr>
            <w:r>
              <w:rPr>
                <w:rFonts w:ascii="Arial" w:eastAsia="Times New Roman" w:hAnsi="Arial" w:cs="Arial"/>
                <w:color w:val="000000"/>
                <w:sz w:val="20"/>
                <w:szCs w:val="20"/>
                <w:lang w:eastAsia="ms-MY"/>
              </w:rPr>
              <w:t>R:</w:t>
            </w:r>
            <w:r w:rsidRPr="001F2135">
              <w:rPr>
                <w:rFonts w:ascii="Arial" w:eastAsia="Times New Roman" w:hAnsi="Arial" w:cs="Arial"/>
                <w:color w:val="000000"/>
                <w:sz w:val="20"/>
                <w:szCs w:val="20"/>
                <w:lang w:eastAsia="ms-MY"/>
              </w:rPr>
              <w:t xml:space="preserve"> 5’-TAGGAACTGCTGTGGTCTGC-3’</w:t>
            </w:r>
          </w:p>
        </w:tc>
        <w:tc>
          <w:tcPr>
            <w:tcW w:w="2544" w:type="dxa"/>
          </w:tcPr>
          <w:p w14:paraId="1E7FB0F6" w14:textId="77777777" w:rsidR="007142E1" w:rsidRPr="007142E1" w:rsidRDefault="00733566" w:rsidP="00AC7AD3">
            <w:r>
              <w:t xml:space="preserve">Designed via primer3plus </w:t>
            </w:r>
          </w:p>
        </w:tc>
      </w:tr>
      <w:tr w:rsidR="007142E1" w14:paraId="1E7FB0FC" w14:textId="77777777" w:rsidTr="007142E1">
        <w:tc>
          <w:tcPr>
            <w:tcW w:w="1838" w:type="dxa"/>
          </w:tcPr>
          <w:p w14:paraId="1E7FB0F8" w14:textId="77777777" w:rsidR="007142E1" w:rsidRPr="007142E1" w:rsidRDefault="007142E1">
            <w:r w:rsidRPr="007142E1">
              <w:t>Reduced Dnase Site (Neg control)</w:t>
            </w:r>
          </w:p>
        </w:tc>
        <w:tc>
          <w:tcPr>
            <w:tcW w:w="4678" w:type="dxa"/>
          </w:tcPr>
          <w:p w14:paraId="1E7FB0F9" w14:textId="77777777" w:rsidR="007142E1" w:rsidRPr="001F2135" w:rsidRDefault="001F2135">
            <w:pPr>
              <w:rPr>
                <w:rFonts w:ascii="Arial" w:hAnsi="Arial" w:cs="Arial"/>
                <w:sz w:val="20"/>
                <w:szCs w:val="20"/>
              </w:rPr>
            </w:pPr>
            <w:r w:rsidRPr="001F2135">
              <w:rPr>
                <w:rFonts w:ascii="Arial" w:hAnsi="Arial" w:cs="Arial"/>
                <w:sz w:val="20"/>
                <w:szCs w:val="20"/>
              </w:rPr>
              <w:t xml:space="preserve">F: </w:t>
            </w:r>
            <w:r w:rsidR="00DA72F7" w:rsidRPr="001F2135">
              <w:rPr>
                <w:rFonts w:ascii="Arial" w:hAnsi="Arial" w:cs="Arial"/>
                <w:sz w:val="20"/>
                <w:szCs w:val="20"/>
              </w:rPr>
              <w:t>5’-TTTTGAGGCAGGTTCTTGCT-3’</w:t>
            </w:r>
          </w:p>
          <w:p w14:paraId="1E7FB0FA" w14:textId="77777777" w:rsidR="00DA72F7" w:rsidRPr="001F2135" w:rsidRDefault="001F2135">
            <w:pPr>
              <w:rPr>
                <w:rFonts w:ascii="Arial" w:hAnsi="Arial" w:cs="Arial"/>
                <w:sz w:val="20"/>
                <w:szCs w:val="20"/>
              </w:rPr>
            </w:pPr>
            <w:r w:rsidRPr="001F2135">
              <w:rPr>
                <w:rFonts w:ascii="Arial" w:hAnsi="Arial" w:cs="Arial"/>
                <w:sz w:val="20"/>
                <w:szCs w:val="20"/>
              </w:rPr>
              <w:t xml:space="preserve">R: </w:t>
            </w:r>
            <w:r w:rsidR="00DA72F7" w:rsidRPr="001F2135">
              <w:rPr>
                <w:rFonts w:ascii="Arial" w:hAnsi="Arial" w:cs="Arial"/>
                <w:sz w:val="20"/>
                <w:szCs w:val="20"/>
              </w:rPr>
              <w:t>5’-CATGGCAAAATCCCATCTCT-3’</w:t>
            </w:r>
          </w:p>
        </w:tc>
        <w:tc>
          <w:tcPr>
            <w:tcW w:w="2544" w:type="dxa"/>
          </w:tcPr>
          <w:p w14:paraId="1E7FB0FB" w14:textId="77777777" w:rsidR="007142E1" w:rsidRPr="007142E1" w:rsidRDefault="00AC7AD3" w:rsidP="00AC7AD3">
            <w:r>
              <w:t>Designed via primer</w:t>
            </w:r>
            <w:r w:rsidR="00733566">
              <w:t>3</w:t>
            </w:r>
            <w:r>
              <w:t>plus</w:t>
            </w:r>
            <w:r w:rsidR="00733566">
              <w:t xml:space="preserve"> </w:t>
            </w:r>
          </w:p>
        </w:tc>
      </w:tr>
    </w:tbl>
    <w:p w14:paraId="1E7FB0FD" w14:textId="77777777" w:rsidR="007142E1" w:rsidRDefault="007142E1">
      <w:pPr>
        <w:rPr>
          <w:b/>
          <w:u w:val="single"/>
        </w:rPr>
      </w:pPr>
    </w:p>
    <w:p w14:paraId="1E7FB0FE" w14:textId="77777777" w:rsidR="00AC7AD3" w:rsidRDefault="00AC7AD3">
      <w:pPr>
        <w:rPr>
          <w:b/>
          <w:u w:val="single"/>
        </w:rPr>
      </w:pPr>
    </w:p>
    <w:p w14:paraId="1E7FB0FF" w14:textId="77777777" w:rsidR="00DA72F7" w:rsidRDefault="00DA72F7">
      <w:pPr>
        <w:rPr>
          <w:b/>
          <w:u w:val="single"/>
        </w:rPr>
      </w:pPr>
    </w:p>
    <w:p w14:paraId="1E7FB100" w14:textId="77777777" w:rsidR="00DA72F7" w:rsidRDefault="00DA72F7">
      <w:pPr>
        <w:rPr>
          <w:b/>
          <w:u w:val="single"/>
        </w:rPr>
      </w:pPr>
    </w:p>
    <w:p w14:paraId="1E7FB101" w14:textId="77777777" w:rsidR="00D64A85" w:rsidRPr="000D52ED" w:rsidRDefault="00D64A85">
      <w:pPr>
        <w:rPr>
          <w:u w:val="single"/>
        </w:rPr>
      </w:pPr>
      <w:r w:rsidRPr="000D52ED">
        <w:rPr>
          <w:u w:val="single"/>
        </w:rPr>
        <w:t>Table 3</w:t>
      </w:r>
      <w:r w:rsidR="000D52ED" w:rsidRPr="000D52ED">
        <w:rPr>
          <w:u w:val="single"/>
        </w:rPr>
        <w:t xml:space="preserve">: </w:t>
      </w:r>
      <w:r w:rsidRPr="000D52ED">
        <w:rPr>
          <w:u w:val="single"/>
        </w:rPr>
        <w:t>Antibodies used</w:t>
      </w:r>
    </w:p>
    <w:tbl>
      <w:tblPr>
        <w:tblStyle w:val="TableGrid"/>
        <w:tblW w:w="0" w:type="auto"/>
        <w:tblLook w:val="04A0" w:firstRow="1" w:lastRow="0" w:firstColumn="1" w:lastColumn="0" w:noHBand="0" w:noVBand="1"/>
      </w:tblPr>
      <w:tblGrid>
        <w:gridCol w:w="1696"/>
        <w:gridCol w:w="1418"/>
        <w:gridCol w:w="1939"/>
        <w:gridCol w:w="1840"/>
        <w:gridCol w:w="2167"/>
      </w:tblGrid>
      <w:tr w:rsidR="000D52ED" w14:paraId="1E7FB107" w14:textId="77777777" w:rsidTr="00C17F69">
        <w:tc>
          <w:tcPr>
            <w:tcW w:w="1696" w:type="dxa"/>
          </w:tcPr>
          <w:p w14:paraId="1E7FB102" w14:textId="77777777" w:rsidR="000D52ED" w:rsidRPr="00D64A85" w:rsidRDefault="000D52ED">
            <w:r w:rsidRPr="00D64A85">
              <w:t>Antibody</w:t>
            </w:r>
          </w:p>
        </w:tc>
        <w:tc>
          <w:tcPr>
            <w:tcW w:w="1418" w:type="dxa"/>
          </w:tcPr>
          <w:p w14:paraId="1E7FB103" w14:textId="77777777" w:rsidR="000D52ED" w:rsidRPr="00D64A85" w:rsidRDefault="000D52ED">
            <w:r>
              <w:t>Size</w:t>
            </w:r>
          </w:p>
        </w:tc>
        <w:tc>
          <w:tcPr>
            <w:tcW w:w="1939" w:type="dxa"/>
          </w:tcPr>
          <w:p w14:paraId="1E7FB104" w14:textId="77777777" w:rsidR="000D52ED" w:rsidRPr="00D64A85" w:rsidRDefault="000D52ED">
            <w:r>
              <w:t>Isotype</w:t>
            </w:r>
          </w:p>
        </w:tc>
        <w:tc>
          <w:tcPr>
            <w:tcW w:w="1840" w:type="dxa"/>
          </w:tcPr>
          <w:p w14:paraId="1E7FB105" w14:textId="77777777" w:rsidR="000D52ED" w:rsidRPr="00D64A85" w:rsidRDefault="000D52ED">
            <w:r>
              <w:t>Catalog</w:t>
            </w:r>
          </w:p>
        </w:tc>
        <w:tc>
          <w:tcPr>
            <w:tcW w:w="2167" w:type="dxa"/>
          </w:tcPr>
          <w:p w14:paraId="1E7FB106" w14:textId="77777777" w:rsidR="000D52ED" w:rsidRPr="00D64A85" w:rsidRDefault="000D52ED">
            <w:r>
              <w:t>Source</w:t>
            </w:r>
          </w:p>
        </w:tc>
      </w:tr>
      <w:tr w:rsidR="000D52ED" w14:paraId="1E7FB111" w14:textId="77777777" w:rsidTr="00C17F69">
        <w:tc>
          <w:tcPr>
            <w:tcW w:w="1696" w:type="dxa"/>
          </w:tcPr>
          <w:p w14:paraId="1E7FB108" w14:textId="77777777" w:rsidR="00C17F69" w:rsidRDefault="00C17F69">
            <w:pPr>
              <w:rPr>
                <w:rFonts w:ascii="Arial" w:hAnsi="Arial" w:cs="Arial"/>
                <w:sz w:val="20"/>
                <w:szCs w:val="20"/>
                <w:lang w:eastAsia="ms-MY"/>
              </w:rPr>
            </w:pPr>
          </w:p>
          <w:p w14:paraId="1E7FB109" w14:textId="77777777" w:rsidR="000D52ED" w:rsidRPr="00D64A85" w:rsidRDefault="000D52ED">
            <w:r w:rsidRPr="00D64A85">
              <w:rPr>
                <w:rFonts w:ascii="Arial" w:hAnsi="Arial" w:cs="Arial"/>
                <w:sz w:val="20"/>
                <w:szCs w:val="20"/>
                <w:lang w:eastAsia="ms-MY"/>
              </w:rPr>
              <w:t xml:space="preserve">RUNX1 </w:t>
            </w:r>
          </w:p>
        </w:tc>
        <w:tc>
          <w:tcPr>
            <w:tcW w:w="1418" w:type="dxa"/>
          </w:tcPr>
          <w:p w14:paraId="1E7FB10A" w14:textId="77777777" w:rsidR="00C17F69" w:rsidRDefault="00C17F69">
            <w:pPr>
              <w:rPr>
                <w:rFonts w:ascii="Arial" w:hAnsi="Arial" w:cs="Arial"/>
                <w:sz w:val="20"/>
                <w:szCs w:val="20"/>
                <w:lang w:eastAsia="ms-MY"/>
              </w:rPr>
            </w:pPr>
          </w:p>
          <w:p w14:paraId="1E7FB10B" w14:textId="77777777" w:rsidR="000D52ED" w:rsidRPr="00D64A85" w:rsidRDefault="000D52ED">
            <w:pPr>
              <w:rPr>
                <w:rFonts w:ascii="Arial" w:hAnsi="Arial" w:cs="Arial"/>
                <w:sz w:val="20"/>
                <w:szCs w:val="20"/>
                <w:lang w:eastAsia="ms-MY"/>
              </w:rPr>
            </w:pPr>
            <w:r>
              <w:rPr>
                <w:rFonts w:ascii="Arial" w:hAnsi="Arial" w:cs="Arial"/>
                <w:sz w:val="20"/>
                <w:szCs w:val="20"/>
                <w:lang w:eastAsia="ms-MY"/>
              </w:rPr>
              <w:t>110kDa</w:t>
            </w:r>
          </w:p>
        </w:tc>
        <w:tc>
          <w:tcPr>
            <w:tcW w:w="1939" w:type="dxa"/>
          </w:tcPr>
          <w:p w14:paraId="1E7FB10C" w14:textId="77777777" w:rsidR="00C17F69" w:rsidRDefault="00C17F69">
            <w:pPr>
              <w:rPr>
                <w:rFonts w:ascii="Arial" w:hAnsi="Arial" w:cs="Arial"/>
                <w:sz w:val="20"/>
                <w:szCs w:val="20"/>
                <w:lang w:eastAsia="ms-MY"/>
              </w:rPr>
            </w:pPr>
          </w:p>
          <w:p w14:paraId="1E7FB10D" w14:textId="77777777" w:rsidR="000D52ED" w:rsidRPr="00D64A85" w:rsidRDefault="000D52ED">
            <w:pPr>
              <w:rPr>
                <w:rFonts w:ascii="Arial" w:hAnsi="Arial" w:cs="Arial"/>
                <w:sz w:val="20"/>
                <w:szCs w:val="20"/>
                <w:lang w:eastAsia="ms-MY"/>
              </w:rPr>
            </w:pPr>
            <w:r w:rsidRPr="00D64A85">
              <w:rPr>
                <w:rFonts w:ascii="Arial" w:hAnsi="Arial" w:cs="Arial"/>
                <w:sz w:val="20"/>
                <w:szCs w:val="20"/>
                <w:lang w:eastAsia="ms-MY"/>
              </w:rPr>
              <w:t>Rabbit Polyclonal</w:t>
            </w:r>
          </w:p>
        </w:tc>
        <w:tc>
          <w:tcPr>
            <w:tcW w:w="1840" w:type="dxa"/>
          </w:tcPr>
          <w:p w14:paraId="1E7FB10E" w14:textId="77777777" w:rsidR="00C17F69" w:rsidRDefault="00C17F69">
            <w:pPr>
              <w:rPr>
                <w:rFonts w:ascii="Arial" w:hAnsi="Arial" w:cs="Arial"/>
                <w:sz w:val="20"/>
                <w:szCs w:val="20"/>
                <w:lang w:eastAsia="ms-MY"/>
              </w:rPr>
            </w:pPr>
          </w:p>
          <w:p w14:paraId="1E7FB10F" w14:textId="77777777" w:rsidR="000D52ED" w:rsidRPr="00D64A85" w:rsidRDefault="000D52ED">
            <w:pPr>
              <w:rPr>
                <w:rFonts w:ascii="Arial" w:hAnsi="Arial" w:cs="Arial"/>
                <w:sz w:val="20"/>
                <w:szCs w:val="20"/>
                <w:lang w:eastAsia="ms-MY"/>
              </w:rPr>
            </w:pPr>
            <w:r>
              <w:rPr>
                <w:rFonts w:ascii="Arial" w:hAnsi="Arial" w:cs="Arial"/>
                <w:sz w:val="20"/>
                <w:szCs w:val="20"/>
                <w:lang w:eastAsia="ms-MY"/>
              </w:rPr>
              <w:t>4334</w:t>
            </w:r>
          </w:p>
        </w:tc>
        <w:tc>
          <w:tcPr>
            <w:tcW w:w="2167" w:type="dxa"/>
          </w:tcPr>
          <w:p w14:paraId="1E7FB110" w14:textId="77777777" w:rsidR="000D52ED" w:rsidRPr="00D64A85" w:rsidRDefault="000D52ED">
            <w:r>
              <w:rPr>
                <w:rFonts w:ascii="Arial" w:hAnsi="Arial" w:cs="Arial"/>
                <w:sz w:val="20"/>
                <w:szCs w:val="20"/>
                <w:lang w:eastAsia="ms-MY"/>
              </w:rPr>
              <w:t>Cell Signaling Technology</w:t>
            </w:r>
          </w:p>
        </w:tc>
      </w:tr>
      <w:tr w:rsidR="000D52ED" w14:paraId="1E7FB11B" w14:textId="77777777" w:rsidTr="00C17F69">
        <w:tc>
          <w:tcPr>
            <w:tcW w:w="1696" w:type="dxa"/>
          </w:tcPr>
          <w:p w14:paraId="1E7FB112" w14:textId="77777777" w:rsidR="00C17F69" w:rsidRDefault="00C17F69"/>
          <w:p w14:paraId="1E7FB113" w14:textId="77777777" w:rsidR="000D52ED" w:rsidRPr="00D64A85" w:rsidRDefault="000D52ED">
            <w:r w:rsidRPr="00D64A85">
              <w:t>FLT3</w:t>
            </w:r>
          </w:p>
        </w:tc>
        <w:tc>
          <w:tcPr>
            <w:tcW w:w="1418" w:type="dxa"/>
          </w:tcPr>
          <w:p w14:paraId="1E7FB114" w14:textId="77777777" w:rsidR="00C17F69" w:rsidRDefault="00C17F69">
            <w:pPr>
              <w:rPr>
                <w:rFonts w:ascii="Arial" w:hAnsi="Arial" w:cs="Arial"/>
                <w:sz w:val="20"/>
                <w:szCs w:val="20"/>
                <w:lang w:eastAsia="ms-MY"/>
              </w:rPr>
            </w:pPr>
          </w:p>
          <w:p w14:paraId="1E7FB115" w14:textId="77777777" w:rsidR="000D52ED" w:rsidRPr="00D64A85" w:rsidRDefault="000D52ED">
            <w:pPr>
              <w:rPr>
                <w:rFonts w:ascii="Arial" w:hAnsi="Arial" w:cs="Arial"/>
                <w:sz w:val="20"/>
                <w:szCs w:val="20"/>
                <w:lang w:eastAsia="ms-MY"/>
              </w:rPr>
            </w:pPr>
            <w:r>
              <w:rPr>
                <w:rFonts w:ascii="Arial" w:hAnsi="Arial" w:cs="Arial"/>
                <w:sz w:val="20"/>
                <w:szCs w:val="20"/>
                <w:lang w:eastAsia="ms-MY"/>
              </w:rPr>
              <w:t>130-160kDa</w:t>
            </w:r>
          </w:p>
        </w:tc>
        <w:tc>
          <w:tcPr>
            <w:tcW w:w="1939" w:type="dxa"/>
          </w:tcPr>
          <w:p w14:paraId="1E7FB116" w14:textId="77777777" w:rsidR="00C17F69" w:rsidRDefault="00C17F69">
            <w:pPr>
              <w:rPr>
                <w:rFonts w:ascii="Arial" w:hAnsi="Arial" w:cs="Arial"/>
                <w:sz w:val="20"/>
                <w:szCs w:val="20"/>
                <w:lang w:eastAsia="ms-MY"/>
              </w:rPr>
            </w:pPr>
          </w:p>
          <w:p w14:paraId="1E7FB117" w14:textId="77777777" w:rsidR="000D52ED" w:rsidRPr="00D64A85" w:rsidRDefault="000D52ED">
            <w:pPr>
              <w:rPr>
                <w:rFonts w:ascii="Arial" w:hAnsi="Arial" w:cs="Arial"/>
                <w:sz w:val="20"/>
                <w:szCs w:val="20"/>
                <w:lang w:eastAsia="ms-MY"/>
              </w:rPr>
            </w:pPr>
            <w:r>
              <w:rPr>
                <w:rFonts w:ascii="Arial" w:hAnsi="Arial" w:cs="Arial"/>
                <w:sz w:val="20"/>
                <w:szCs w:val="20"/>
                <w:lang w:eastAsia="ms-MY"/>
              </w:rPr>
              <w:t>Rabbit Mono</w:t>
            </w:r>
            <w:r w:rsidRPr="00D64A85">
              <w:rPr>
                <w:rFonts w:ascii="Arial" w:hAnsi="Arial" w:cs="Arial"/>
                <w:sz w:val="20"/>
                <w:szCs w:val="20"/>
                <w:lang w:eastAsia="ms-MY"/>
              </w:rPr>
              <w:t>clonal</w:t>
            </w:r>
          </w:p>
        </w:tc>
        <w:tc>
          <w:tcPr>
            <w:tcW w:w="1840" w:type="dxa"/>
          </w:tcPr>
          <w:p w14:paraId="1E7FB118" w14:textId="77777777" w:rsidR="00C17F69" w:rsidRDefault="00C17F69">
            <w:pPr>
              <w:rPr>
                <w:rFonts w:ascii="Arial" w:hAnsi="Arial" w:cs="Arial"/>
                <w:sz w:val="20"/>
                <w:szCs w:val="20"/>
                <w:lang w:eastAsia="ms-MY"/>
              </w:rPr>
            </w:pPr>
          </w:p>
          <w:p w14:paraId="1E7FB119" w14:textId="77777777" w:rsidR="000D52ED" w:rsidRPr="00D64A85" w:rsidRDefault="000D52ED">
            <w:pPr>
              <w:rPr>
                <w:rFonts w:ascii="Arial" w:hAnsi="Arial" w:cs="Arial"/>
                <w:sz w:val="20"/>
                <w:szCs w:val="20"/>
                <w:lang w:eastAsia="ms-MY"/>
              </w:rPr>
            </w:pPr>
            <w:r>
              <w:rPr>
                <w:rFonts w:ascii="Arial" w:hAnsi="Arial" w:cs="Arial"/>
                <w:sz w:val="20"/>
                <w:szCs w:val="20"/>
                <w:lang w:eastAsia="ms-MY"/>
              </w:rPr>
              <w:t>3462</w:t>
            </w:r>
          </w:p>
        </w:tc>
        <w:tc>
          <w:tcPr>
            <w:tcW w:w="2167" w:type="dxa"/>
          </w:tcPr>
          <w:p w14:paraId="1E7FB11A" w14:textId="77777777" w:rsidR="000D52ED" w:rsidRPr="00D64A85" w:rsidRDefault="000D52ED">
            <w:r w:rsidRPr="00D64A85">
              <w:rPr>
                <w:rFonts w:ascii="Arial" w:hAnsi="Arial" w:cs="Arial"/>
                <w:sz w:val="20"/>
                <w:szCs w:val="20"/>
                <w:lang w:eastAsia="ms-MY"/>
              </w:rPr>
              <w:t>Cell S</w:t>
            </w:r>
            <w:r>
              <w:rPr>
                <w:rFonts w:ascii="Arial" w:hAnsi="Arial" w:cs="Arial"/>
                <w:sz w:val="20"/>
                <w:szCs w:val="20"/>
                <w:lang w:eastAsia="ms-MY"/>
              </w:rPr>
              <w:t>ignalling Technology</w:t>
            </w:r>
          </w:p>
        </w:tc>
      </w:tr>
      <w:tr w:rsidR="000D52ED" w14:paraId="1E7FB125" w14:textId="77777777" w:rsidTr="00C17F69">
        <w:tc>
          <w:tcPr>
            <w:tcW w:w="1696" w:type="dxa"/>
          </w:tcPr>
          <w:p w14:paraId="1E7FB11C" w14:textId="77777777" w:rsidR="00C17F69" w:rsidRDefault="00C17F69"/>
          <w:p w14:paraId="1E7FB11D" w14:textId="77777777" w:rsidR="000D52ED" w:rsidRPr="00D64A85" w:rsidRDefault="000D52ED">
            <w:r w:rsidRPr="00D64A85">
              <w:t>RAC1</w:t>
            </w:r>
          </w:p>
        </w:tc>
        <w:tc>
          <w:tcPr>
            <w:tcW w:w="1418" w:type="dxa"/>
          </w:tcPr>
          <w:p w14:paraId="1E7FB11E" w14:textId="77777777" w:rsidR="00C17F69" w:rsidRDefault="00C17F69">
            <w:pPr>
              <w:rPr>
                <w:rFonts w:ascii="Arial" w:hAnsi="Arial" w:cs="Arial"/>
                <w:sz w:val="20"/>
                <w:szCs w:val="20"/>
                <w:lang w:eastAsia="ms-MY"/>
              </w:rPr>
            </w:pPr>
          </w:p>
          <w:p w14:paraId="1E7FB11F" w14:textId="77777777" w:rsidR="000D52ED" w:rsidRPr="00D64A85" w:rsidRDefault="000D52ED">
            <w:pPr>
              <w:rPr>
                <w:rFonts w:ascii="Arial" w:hAnsi="Arial" w:cs="Arial"/>
                <w:sz w:val="20"/>
                <w:szCs w:val="20"/>
                <w:lang w:eastAsia="ms-MY"/>
              </w:rPr>
            </w:pPr>
            <w:r>
              <w:rPr>
                <w:rFonts w:ascii="Arial" w:hAnsi="Arial" w:cs="Arial"/>
                <w:sz w:val="20"/>
                <w:szCs w:val="20"/>
                <w:lang w:eastAsia="ms-MY"/>
              </w:rPr>
              <w:t>20kDa</w:t>
            </w:r>
          </w:p>
        </w:tc>
        <w:tc>
          <w:tcPr>
            <w:tcW w:w="1939" w:type="dxa"/>
          </w:tcPr>
          <w:p w14:paraId="1E7FB120" w14:textId="77777777" w:rsidR="00C17F69" w:rsidRDefault="00C17F69">
            <w:pPr>
              <w:rPr>
                <w:rFonts w:ascii="Arial" w:hAnsi="Arial" w:cs="Arial"/>
                <w:sz w:val="20"/>
                <w:szCs w:val="20"/>
                <w:lang w:eastAsia="ms-MY"/>
              </w:rPr>
            </w:pPr>
          </w:p>
          <w:p w14:paraId="1E7FB121" w14:textId="77777777" w:rsidR="000D52ED" w:rsidRPr="00D64A85" w:rsidRDefault="000D52ED">
            <w:pPr>
              <w:rPr>
                <w:rFonts w:ascii="Arial" w:hAnsi="Arial" w:cs="Arial"/>
                <w:sz w:val="20"/>
                <w:szCs w:val="20"/>
                <w:lang w:eastAsia="ms-MY"/>
              </w:rPr>
            </w:pPr>
            <w:r w:rsidRPr="00D64A85">
              <w:rPr>
                <w:rFonts w:ascii="Arial" w:hAnsi="Arial" w:cs="Arial"/>
                <w:sz w:val="20"/>
                <w:szCs w:val="20"/>
                <w:lang w:eastAsia="ms-MY"/>
              </w:rPr>
              <w:t>Rabbit Polyclonal</w:t>
            </w:r>
          </w:p>
        </w:tc>
        <w:tc>
          <w:tcPr>
            <w:tcW w:w="1840" w:type="dxa"/>
          </w:tcPr>
          <w:p w14:paraId="1E7FB122" w14:textId="77777777" w:rsidR="00C17F69" w:rsidRDefault="00C17F69">
            <w:pPr>
              <w:rPr>
                <w:rFonts w:ascii="Arial" w:hAnsi="Arial" w:cs="Arial"/>
                <w:sz w:val="20"/>
                <w:szCs w:val="20"/>
                <w:lang w:eastAsia="ms-MY"/>
              </w:rPr>
            </w:pPr>
          </w:p>
          <w:p w14:paraId="1E7FB123" w14:textId="77777777" w:rsidR="000D52ED" w:rsidRPr="00D64A85" w:rsidRDefault="000D52ED">
            <w:pPr>
              <w:rPr>
                <w:rFonts w:ascii="Arial" w:hAnsi="Arial" w:cs="Arial"/>
                <w:sz w:val="20"/>
                <w:szCs w:val="20"/>
                <w:lang w:eastAsia="ms-MY"/>
              </w:rPr>
            </w:pPr>
            <w:r>
              <w:rPr>
                <w:rFonts w:ascii="Arial" w:hAnsi="Arial" w:cs="Arial"/>
                <w:sz w:val="20"/>
                <w:szCs w:val="20"/>
                <w:lang w:eastAsia="ms-MY"/>
              </w:rPr>
              <w:t>2465</w:t>
            </w:r>
          </w:p>
        </w:tc>
        <w:tc>
          <w:tcPr>
            <w:tcW w:w="2167" w:type="dxa"/>
          </w:tcPr>
          <w:p w14:paraId="1E7FB124" w14:textId="77777777" w:rsidR="000D52ED" w:rsidRPr="00D64A85" w:rsidRDefault="000D52ED">
            <w:r w:rsidRPr="00D64A85">
              <w:rPr>
                <w:rFonts w:ascii="Arial" w:hAnsi="Arial" w:cs="Arial"/>
                <w:sz w:val="20"/>
                <w:szCs w:val="20"/>
                <w:lang w:eastAsia="ms-MY"/>
              </w:rPr>
              <w:t>Cell Sig</w:t>
            </w:r>
            <w:r>
              <w:rPr>
                <w:rFonts w:ascii="Arial" w:hAnsi="Arial" w:cs="Arial"/>
                <w:sz w:val="20"/>
                <w:szCs w:val="20"/>
                <w:lang w:eastAsia="ms-MY"/>
              </w:rPr>
              <w:t>nalling Technology</w:t>
            </w:r>
          </w:p>
        </w:tc>
      </w:tr>
      <w:tr w:rsidR="000D52ED" w14:paraId="1E7FB12F" w14:textId="77777777" w:rsidTr="00C17F69">
        <w:tc>
          <w:tcPr>
            <w:tcW w:w="1696" w:type="dxa"/>
          </w:tcPr>
          <w:p w14:paraId="1E7FB126" w14:textId="77777777" w:rsidR="00C17F69" w:rsidRDefault="00C17F69"/>
          <w:p w14:paraId="1E7FB127" w14:textId="77777777" w:rsidR="000D52ED" w:rsidRPr="00D64A85" w:rsidRDefault="000D52ED">
            <w:r w:rsidRPr="00D64A85">
              <w:t>FOXO3</w:t>
            </w:r>
          </w:p>
        </w:tc>
        <w:tc>
          <w:tcPr>
            <w:tcW w:w="1418" w:type="dxa"/>
          </w:tcPr>
          <w:p w14:paraId="1E7FB128" w14:textId="77777777" w:rsidR="00C17F69" w:rsidRDefault="00C17F69">
            <w:pPr>
              <w:rPr>
                <w:rFonts w:ascii="Arial" w:hAnsi="Arial" w:cs="Arial"/>
                <w:sz w:val="20"/>
              </w:rPr>
            </w:pPr>
          </w:p>
          <w:p w14:paraId="1E7FB129" w14:textId="77777777" w:rsidR="000D52ED" w:rsidRPr="00C17F69" w:rsidRDefault="00881000">
            <w:pPr>
              <w:rPr>
                <w:rFonts w:ascii="Arial" w:hAnsi="Arial" w:cs="Arial"/>
              </w:rPr>
            </w:pPr>
            <w:r w:rsidRPr="00C17F69">
              <w:rPr>
                <w:rFonts w:ascii="Arial" w:hAnsi="Arial" w:cs="Arial"/>
                <w:sz w:val="20"/>
              </w:rPr>
              <w:t>82-97kDa</w:t>
            </w:r>
          </w:p>
        </w:tc>
        <w:tc>
          <w:tcPr>
            <w:tcW w:w="1939" w:type="dxa"/>
          </w:tcPr>
          <w:p w14:paraId="1E7FB12A" w14:textId="77777777" w:rsidR="00C17F69" w:rsidRDefault="00C17F69">
            <w:pPr>
              <w:rPr>
                <w:rFonts w:ascii="Arial" w:hAnsi="Arial" w:cs="Arial"/>
                <w:sz w:val="20"/>
                <w:szCs w:val="20"/>
                <w:lang w:eastAsia="ms-MY"/>
              </w:rPr>
            </w:pPr>
          </w:p>
          <w:p w14:paraId="1E7FB12B" w14:textId="77777777" w:rsidR="000D52ED" w:rsidRPr="00C17F69" w:rsidRDefault="00881000">
            <w:pPr>
              <w:rPr>
                <w:rFonts w:ascii="Arial" w:hAnsi="Arial" w:cs="Arial"/>
              </w:rPr>
            </w:pPr>
            <w:r w:rsidRPr="00C17F69">
              <w:rPr>
                <w:rFonts w:ascii="Arial" w:hAnsi="Arial" w:cs="Arial"/>
                <w:sz w:val="20"/>
                <w:szCs w:val="20"/>
                <w:lang w:eastAsia="ms-MY"/>
              </w:rPr>
              <w:t>Rabbit Monoclonal</w:t>
            </w:r>
          </w:p>
        </w:tc>
        <w:tc>
          <w:tcPr>
            <w:tcW w:w="1840" w:type="dxa"/>
          </w:tcPr>
          <w:p w14:paraId="1E7FB12C" w14:textId="77777777" w:rsidR="00C17F69" w:rsidRDefault="00C17F69"/>
          <w:p w14:paraId="1E7FB12D" w14:textId="77777777" w:rsidR="000D52ED" w:rsidRPr="00D64A85" w:rsidRDefault="00881000">
            <w:r>
              <w:t>2497</w:t>
            </w:r>
          </w:p>
        </w:tc>
        <w:tc>
          <w:tcPr>
            <w:tcW w:w="2167" w:type="dxa"/>
          </w:tcPr>
          <w:p w14:paraId="1E7FB12E" w14:textId="77777777" w:rsidR="000D52ED" w:rsidRPr="00D64A85" w:rsidRDefault="000D52ED">
            <w:r>
              <w:t>Cell Signalling Technology</w:t>
            </w:r>
          </w:p>
        </w:tc>
      </w:tr>
      <w:tr w:rsidR="000D52ED" w14:paraId="1E7FB139" w14:textId="77777777" w:rsidTr="00C17F69">
        <w:tc>
          <w:tcPr>
            <w:tcW w:w="1696" w:type="dxa"/>
          </w:tcPr>
          <w:p w14:paraId="1E7FB130" w14:textId="77777777" w:rsidR="00C17F69" w:rsidRDefault="00C17F69"/>
          <w:p w14:paraId="1E7FB131" w14:textId="77777777" w:rsidR="000D52ED" w:rsidRPr="00D64A85" w:rsidRDefault="000D52ED">
            <w:r w:rsidRPr="00D64A85">
              <w:t>Actin</w:t>
            </w:r>
          </w:p>
        </w:tc>
        <w:tc>
          <w:tcPr>
            <w:tcW w:w="1418" w:type="dxa"/>
          </w:tcPr>
          <w:p w14:paraId="1E7FB132" w14:textId="77777777" w:rsidR="00C17F69" w:rsidRDefault="00C17F69">
            <w:pPr>
              <w:rPr>
                <w:rFonts w:ascii="Arial" w:hAnsi="Arial" w:cs="Arial"/>
                <w:sz w:val="20"/>
                <w:szCs w:val="20"/>
                <w:lang w:eastAsia="ms-MY"/>
              </w:rPr>
            </w:pPr>
          </w:p>
          <w:p w14:paraId="1E7FB133" w14:textId="77777777" w:rsidR="000D52ED" w:rsidRPr="00D64A85" w:rsidRDefault="000D52ED">
            <w:pPr>
              <w:rPr>
                <w:rFonts w:ascii="Arial" w:hAnsi="Arial" w:cs="Arial"/>
                <w:sz w:val="20"/>
                <w:szCs w:val="20"/>
                <w:lang w:eastAsia="ms-MY"/>
              </w:rPr>
            </w:pPr>
            <w:r>
              <w:rPr>
                <w:rFonts w:ascii="Arial" w:hAnsi="Arial" w:cs="Arial"/>
                <w:sz w:val="20"/>
                <w:szCs w:val="20"/>
                <w:lang w:eastAsia="ms-MY"/>
              </w:rPr>
              <w:t>43kDa</w:t>
            </w:r>
          </w:p>
        </w:tc>
        <w:tc>
          <w:tcPr>
            <w:tcW w:w="1939" w:type="dxa"/>
          </w:tcPr>
          <w:p w14:paraId="1E7FB134" w14:textId="77777777" w:rsidR="00C17F69" w:rsidRDefault="00C17F69">
            <w:pPr>
              <w:rPr>
                <w:rFonts w:ascii="Arial" w:hAnsi="Arial" w:cs="Arial"/>
                <w:sz w:val="20"/>
                <w:szCs w:val="20"/>
                <w:lang w:eastAsia="ms-MY"/>
              </w:rPr>
            </w:pPr>
          </w:p>
          <w:p w14:paraId="1E7FB135" w14:textId="77777777" w:rsidR="000D52ED" w:rsidRPr="00D64A85" w:rsidRDefault="000D52ED">
            <w:pPr>
              <w:rPr>
                <w:rFonts w:ascii="Arial" w:hAnsi="Arial" w:cs="Arial"/>
                <w:sz w:val="20"/>
                <w:szCs w:val="20"/>
                <w:lang w:eastAsia="ms-MY"/>
              </w:rPr>
            </w:pPr>
            <w:r w:rsidRPr="00D64A85">
              <w:rPr>
                <w:rFonts w:ascii="Arial" w:hAnsi="Arial" w:cs="Arial"/>
                <w:sz w:val="20"/>
                <w:szCs w:val="20"/>
                <w:lang w:eastAsia="ms-MY"/>
              </w:rPr>
              <w:t>Rabbit Polyclonal</w:t>
            </w:r>
          </w:p>
        </w:tc>
        <w:tc>
          <w:tcPr>
            <w:tcW w:w="1840" w:type="dxa"/>
          </w:tcPr>
          <w:p w14:paraId="1E7FB136" w14:textId="77777777" w:rsidR="00C17F69" w:rsidRDefault="00C17F69">
            <w:pPr>
              <w:rPr>
                <w:rFonts w:ascii="Arial" w:hAnsi="Arial" w:cs="Arial"/>
                <w:sz w:val="20"/>
                <w:szCs w:val="20"/>
                <w:lang w:eastAsia="ms-MY"/>
              </w:rPr>
            </w:pPr>
          </w:p>
          <w:p w14:paraId="1E7FB137" w14:textId="77777777" w:rsidR="000D52ED" w:rsidRPr="00D64A85" w:rsidRDefault="000D52ED">
            <w:pPr>
              <w:rPr>
                <w:rFonts w:ascii="Arial" w:hAnsi="Arial" w:cs="Arial"/>
                <w:sz w:val="20"/>
                <w:szCs w:val="20"/>
                <w:lang w:eastAsia="ms-MY"/>
              </w:rPr>
            </w:pPr>
            <w:r>
              <w:rPr>
                <w:rFonts w:ascii="Arial" w:hAnsi="Arial" w:cs="Arial"/>
                <w:sz w:val="20"/>
                <w:szCs w:val="20"/>
                <w:lang w:eastAsia="ms-MY"/>
              </w:rPr>
              <w:t>4967</w:t>
            </w:r>
          </w:p>
        </w:tc>
        <w:tc>
          <w:tcPr>
            <w:tcW w:w="2167" w:type="dxa"/>
          </w:tcPr>
          <w:p w14:paraId="1E7FB138" w14:textId="77777777" w:rsidR="000D52ED" w:rsidRPr="00D64A85" w:rsidRDefault="000D52ED">
            <w:r w:rsidRPr="00D64A85">
              <w:rPr>
                <w:rFonts w:ascii="Arial" w:hAnsi="Arial" w:cs="Arial"/>
                <w:sz w:val="20"/>
                <w:szCs w:val="20"/>
                <w:lang w:eastAsia="ms-MY"/>
              </w:rPr>
              <w:t xml:space="preserve">Cell </w:t>
            </w:r>
            <w:r>
              <w:rPr>
                <w:rFonts w:ascii="Arial" w:hAnsi="Arial" w:cs="Arial"/>
                <w:sz w:val="20"/>
                <w:szCs w:val="20"/>
                <w:lang w:eastAsia="ms-MY"/>
              </w:rPr>
              <w:t>Signalling Technology</w:t>
            </w:r>
          </w:p>
        </w:tc>
      </w:tr>
      <w:tr w:rsidR="000D52ED" w14:paraId="1E7FB142" w14:textId="77777777" w:rsidTr="00C17F69">
        <w:tc>
          <w:tcPr>
            <w:tcW w:w="1696" w:type="dxa"/>
          </w:tcPr>
          <w:p w14:paraId="1E7FB13A" w14:textId="77777777" w:rsidR="00C17F69" w:rsidRDefault="00C17F69"/>
          <w:p w14:paraId="1E7FB13B" w14:textId="77777777" w:rsidR="000D52ED" w:rsidRPr="00D64A85" w:rsidRDefault="000D52ED">
            <w:r w:rsidRPr="00D64A85">
              <w:t>Secondary-HRP</w:t>
            </w:r>
          </w:p>
        </w:tc>
        <w:tc>
          <w:tcPr>
            <w:tcW w:w="1418" w:type="dxa"/>
          </w:tcPr>
          <w:p w14:paraId="1E7FB13C" w14:textId="77777777" w:rsidR="000D52ED" w:rsidRPr="00D64A85" w:rsidRDefault="000D52ED">
            <w:pPr>
              <w:rPr>
                <w:rFonts w:ascii="Arial" w:hAnsi="Arial" w:cs="Arial"/>
                <w:sz w:val="20"/>
                <w:szCs w:val="20"/>
                <w:lang w:eastAsia="ms-MY"/>
              </w:rPr>
            </w:pPr>
          </w:p>
        </w:tc>
        <w:tc>
          <w:tcPr>
            <w:tcW w:w="1939" w:type="dxa"/>
          </w:tcPr>
          <w:p w14:paraId="1E7FB13D" w14:textId="77777777" w:rsidR="00C17F69" w:rsidRDefault="00C17F69">
            <w:pPr>
              <w:rPr>
                <w:rFonts w:ascii="Arial" w:hAnsi="Arial" w:cs="Arial"/>
                <w:sz w:val="20"/>
                <w:szCs w:val="20"/>
                <w:lang w:eastAsia="ms-MY"/>
              </w:rPr>
            </w:pPr>
          </w:p>
          <w:p w14:paraId="1E7FB13E" w14:textId="77777777" w:rsidR="000D52ED" w:rsidRPr="00D64A85" w:rsidRDefault="000D52ED">
            <w:pPr>
              <w:rPr>
                <w:rFonts w:ascii="Arial" w:hAnsi="Arial" w:cs="Arial"/>
                <w:sz w:val="20"/>
                <w:szCs w:val="20"/>
                <w:lang w:eastAsia="ms-MY"/>
              </w:rPr>
            </w:pPr>
            <w:r>
              <w:rPr>
                <w:rFonts w:ascii="Arial" w:hAnsi="Arial" w:cs="Arial"/>
                <w:sz w:val="20"/>
                <w:szCs w:val="20"/>
                <w:lang w:eastAsia="ms-MY"/>
              </w:rPr>
              <w:t>Anti-Rabbit IgG</w:t>
            </w:r>
          </w:p>
        </w:tc>
        <w:tc>
          <w:tcPr>
            <w:tcW w:w="1840" w:type="dxa"/>
          </w:tcPr>
          <w:p w14:paraId="1E7FB13F" w14:textId="77777777" w:rsidR="00C17F69" w:rsidRDefault="00C17F69">
            <w:pPr>
              <w:rPr>
                <w:rFonts w:ascii="Arial" w:hAnsi="Arial" w:cs="Arial"/>
                <w:sz w:val="20"/>
                <w:szCs w:val="20"/>
                <w:lang w:eastAsia="ms-MY"/>
              </w:rPr>
            </w:pPr>
          </w:p>
          <w:p w14:paraId="1E7FB140" w14:textId="77777777" w:rsidR="000D52ED" w:rsidRPr="00D64A85" w:rsidRDefault="000D52ED">
            <w:pPr>
              <w:rPr>
                <w:rFonts w:ascii="Arial" w:hAnsi="Arial" w:cs="Arial"/>
                <w:sz w:val="20"/>
                <w:szCs w:val="20"/>
                <w:lang w:eastAsia="ms-MY"/>
              </w:rPr>
            </w:pPr>
            <w:r>
              <w:rPr>
                <w:rFonts w:ascii="Arial" w:hAnsi="Arial" w:cs="Arial"/>
                <w:sz w:val="20"/>
                <w:szCs w:val="20"/>
                <w:lang w:eastAsia="ms-MY"/>
              </w:rPr>
              <w:t>7074</w:t>
            </w:r>
          </w:p>
        </w:tc>
        <w:tc>
          <w:tcPr>
            <w:tcW w:w="2167" w:type="dxa"/>
          </w:tcPr>
          <w:p w14:paraId="1E7FB141" w14:textId="77777777" w:rsidR="000D52ED" w:rsidRPr="00D64A85" w:rsidRDefault="000D52ED">
            <w:r>
              <w:rPr>
                <w:rFonts w:ascii="Arial" w:hAnsi="Arial" w:cs="Arial"/>
                <w:sz w:val="20"/>
                <w:szCs w:val="20"/>
                <w:lang w:eastAsia="ms-MY"/>
              </w:rPr>
              <w:t>Cell Signalling Technology</w:t>
            </w:r>
          </w:p>
        </w:tc>
      </w:tr>
    </w:tbl>
    <w:p w14:paraId="1E7FB143" w14:textId="77777777" w:rsidR="00D64A85" w:rsidRPr="000D52ED" w:rsidRDefault="00D64A85">
      <w:pPr>
        <w:rPr>
          <w:u w:val="single"/>
        </w:rPr>
      </w:pPr>
    </w:p>
    <w:p w14:paraId="1E7FB144" w14:textId="77777777" w:rsidR="00D64A85" w:rsidRPr="000D52ED" w:rsidRDefault="000D52ED">
      <w:pPr>
        <w:rPr>
          <w:u w:val="single"/>
        </w:rPr>
      </w:pPr>
      <w:r w:rsidRPr="000D52ED">
        <w:rPr>
          <w:u w:val="single"/>
        </w:rPr>
        <w:t xml:space="preserve">Table 4: </w:t>
      </w:r>
      <w:r w:rsidR="00D64A85" w:rsidRPr="000D52ED">
        <w:rPr>
          <w:u w:val="single"/>
        </w:rPr>
        <w:t>List of</w:t>
      </w:r>
      <w:r w:rsidRPr="000D52ED">
        <w:rPr>
          <w:u w:val="single"/>
        </w:rPr>
        <w:t xml:space="preserve"> bioinformatic</w:t>
      </w:r>
      <w:r w:rsidR="00D64A85" w:rsidRPr="000D52ED">
        <w:rPr>
          <w:u w:val="single"/>
        </w:rPr>
        <w:t xml:space="preserve"> tools used for analyses</w:t>
      </w:r>
    </w:p>
    <w:tbl>
      <w:tblPr>
        <w:tblStyle w:val="TableGrid"/>
        <w:tblW w:w="0" w:type="auto"/>
        <w:tblLook w:val="04A0" w:firstRow="1" w:lastRow="0" w:firstColumn="1" w:lastColumn="0" w:noHBand="0" w:noVBand="1"/>
      </w:tblPr>
      <w:tblGrid>
        <w:gridCol w:w="2405"/>
        <w:gridCol w:w="3402"/>
        <w:gridCol w:w="3253"/>
      </w:tblGrid>
      <w:tr w:rsidR="00D64A85" w14:paraId="1E7FB148" w14:textId="77777777" w:rsidTr="00B26DC8">
        <w:tc>
          <w:tcPr>
            <w:tcW w:w="2405" w:type="dxa"/>
          </w:tcPr>
          <w:p w14:paraId="1E7FB145" w14:textId="77777777" w:rsidR="00D64A85" w:rsidRDefault="00D64A85">
            <w:r>
              <w:t>Tools</w:t>
            </w:r>
          </w:p>
        </w:tc>
        <w:tc>
          <w:tcPr>
            <w:tcW w:w="3402" w:type="dxa"/>
          </w:tcPr>
          <w:p w14:paraId="1E7FB146" w14:textId="77777777" w:rsidR="00D64A85" w:rsidRDefault="00D64A85">
            <w:r>
              <w:t>Function</w:t>
            </w:r>
          </w:p>
        </w:tc>
        <w:tc>
          <w:tcPr>
            <w:tcW w:w="3253" w:type="dxa"/>
          </w:tcPr>
          <w:p w14:paraId="1E7FB147" w14:textId="77777777" w:rsidR="00D64A85" w:rsidRDefault="000D52ED">
            <w:r>
              <w:t>References</w:t>
            </w:r>
          </w:p>
        </w:tc>
      </w:tr>
      <w:tr w:rsidR="00D64A85" w14:paraId="1E7FB14C" w14:textId="77777777" w:rsidTr="00B26DC8">
        <w:tc>
          <w:tcPr>
            <w:tcW w:w="2405" w:type="dxa"/>
          </w:tcPr>
          <w:p w14:paraId="1E7FB149" w14:textId="77777777" w:rsidR="00D64A85" w:rsidRDefault="00D64A85">
            <w:r>
              <w:t>Bowtie2</w:t>
            </w:r>
          </w:p>
        </w:tc>
        <w:tc>
          <w:tcPr>
            <w:tcW w:w="3402" w:type="dxa"/>
          </w:tcPr>
          <w:p w14:paraId="1E7FB14A" w14:textId="77777777" w:rsidR="00D64A85" w:rsidRDefault="00DE7A8B">
            <w:r>
              <w:t xml:space="preserve">Aligned NGS contigs on </w:t>
            </w:r>
            <w:r w:rsidR="00D64A85">
              <w:t>reference genome</w:t>
            </w:r>
          </w:p>
        </w:tc>
        <w:tc>
          <w:tcPr>
            <w:tcW w:w="3253" w:type="dxa"/>
          </w:tcPr>
          <w:p w14:paraId="1E7FB14B" w14:textId="77777777" w:rsidR="00D64A85" w:rsidRDefault="00B26DC8">
            <w:r>
              <w:fldChar w:fldCharType="begin"/>
            </w:r>
            <w:r>
              <w:instrText xml:space="preserve"> ADDIN ZOTERO_ITEM CSL_CITATION {"citationID":"GkuPTquc","properties":{"formattedCitation":"(Langmead &amp; Salzberg, 2012)","plainCitation":"(Langmead &amp; Salzberg, 2012)","noteIndex":0},"citationItems":[{"id":1081,"uris":["http://zotero.org/users/local/8IA2mv5H/items/6US6543Z"],"itemData":{"id":1081,"type":"article-journal","container-title":"Nature methods","issue":"4","note":"publisher: Nature Publishing Group","page":"357–359","source":"Google Scholar","title":"Fast gapped-read alignment with Bowtie 2","volume":"9","author":[{"family":"Langmead","given":"Ben"},{"family":"Salzberg","given":"Steven L."}],"issued":{"date-parts":[["2012"]]}}}],"schema":"https://github.com/citation-style-language/schema/raw/master/csl-citation.json"} </w:instrText>
            </w:r>
            <w:r>
              <w:fldChar w:fldCharType="separate"/>
            </w:r>
            <w:r w:rsidRPr="00B26DC8">
              <w:rPr>
                <w:rFonts w:ascii="Calibri" w:hAnsi="Calibri"/>
              </w:rPr>
              <w:t>(Langmead &amp; Salzberg, 2012)</w:t>
            </w:r>
            <w:r>
              <w:fldChar w:fldCharType="end"/>
            </w:r>
          </w:p>
        </w:tc>
      </w:tr>
      <w:tr w:rsidR="00D64A85" w14:paraId="1E7FB150" w14:textId="77777777" w:rsidTr="00B26DC8">
        <w:tc>
          <w:tcPr>
            <w:tcW w:w="2405" w:type="dxa"/>
          </w:tcPr>
          <w:p w14:paraId="1E7FB14D" w14:textId="77777777" w:rsidR="00D64A85" w:rsidRDefault="00D64A85">
            <w:r>
              <w:t>MACS2 PeakCaller</w:t>
            </w:r>
          </w:p>
        </w:tc>
        <w:tc>
          <w:tcPr>
            <w:tcW w:w="3402" w:type="dxa"/>
          </w:tcPr>
          <w:p w14:paraId="1E7FB14E" w14:textId="77777777" w:rsidR="00D64A85" w:rsidRDefault="00D64A85">
            <w:r>
              <w:t>Called Enriched aligned contigs on genomic locations</w:t>
            </w:r>
          </w:p>
        </w:tc>
        <w:tc>
          <w:tcPr>
            <w:tcW w:w="3253" w:type="dxa"/>
          </w:tcPr>
          <w:p w14:paraId="1E7FB14F" w14:textId="77777777" w:rsidR="00D64A85" w:rsidRDefault="00B26DC8">
            <w:r>
              <w:fldChar w:fldCharType="begin"/>
            </w:r>
            <w:r w:rsidR="00155581">
              <w:instrText xml:space="preserve"> ADDIN ZOTERO_ITEM CSL_CITATION {"citationID":"cfjMAIxb","properties":{"formattedCitation":"(Y. Zhang et al., 2008)","plainCitation":"(Y. Zhang et al., 2008)","noteIndex":0},"citationItems":[{"id":1086,"uris":["http://zotero.org/users/local/8IA2mv5H/items/FHQPT8MK"],"itemData":{"id":1086,"type":"article-journal","abstract":"We present Model-based Analysis of ChIP-Seq data, MACS, which analyzes data generated by short read sequencers such as Solexa's Genome Analyzer. MACS empirically models the shift size of ChIP-Seq tags, and uses it to improve the spatial resolution of predicted binding sites. MACS also uses a dynamic Poisson distribution to effectively capture local biases in the genome, allowing for more robust predictions. MACS compares favorably to existing ChIP-Seq peak-finding algorithms, and is freely available.","container-title":"Genome Biology","DOI":"10.1186/gb-2008-9-9-r137","ISSN":"1474-760X","issue":"9","journalAbbreviation":"Genome Biology","page":"R137","source":"BioMed Central","title":"Model-based Analysis of ChIP-Seq (MACS)","volume":"9","author":[{"family":"Zhang","given":"Yong"},{"family":"Liu","given":"Tao"},{"family":"Meyer","given":"Clifford A."},{"family":"Eeckhoute","given":"Jérôme"},{"family":"Johnson","given":"David S."},{"family":"Bernstein","given":"Bradley E."},{"family":"Nusbaum","given":"Chad"},{"family":"Myers","given":"Richard M."},{"family":"Brown","given":"Myles"},{"family":"Li","given":"Wei"},{"family":"Liu","given":"X. Shirley"}],"issued":{"date-parts":[["2008",9,17]]}}}],"schema":"https://github.com/citation-style-language/schema/raw/master/csl-citation.json"} </w:instrText>
            </w:r>
            <w:r>
              <w:fldChar w:fldCharType="separate"/>
            </w:r>
            <w:r w:rsidR="00155581" w:rsidRPr="00155581">
              <w:rPr>
                <w:rFonts w:ascii="Calibri" w:hAnsi="Calibri"/>
              </w:rPr>
              <w:t>(Y. Zhang et al., 2008)</w:t>
            </w:r>
            <w:r>
              <w:fldChar w:fldCharType="end"/>
            </w:r>
          </w:p>
        </w:tc>
      </w:tr>
      <w:tr w:rsidR="00D64A85" w14:paraId="1E7FB154" w14:textId="77777777" w:rsidTr="00B26DC8">
        <w:tc>
          <w:tcPr>
            <w:tcW w:w="2405" w:type="dxa"/>
          </w:tcPr>
          <w:p w14:paraId="1E7FB151" w14:textId="77777777" w:rsidR="00D64A85" w:rsidRDefault="00D64A85">
            <w:r>
              <w:t>FASTQC</w:t>
            </w:r>
          </w:p>
        </w:tc>
        <w:tc>
          <w:tcPr>
            <w:tcW w:w="3402" w:type="dxa"/>
          </w:tcPr>
          <w:p w14:paraId="1E7FB152" w14:textId="77777777" w:rsidR="00D64A85" w:rsidRDefault="00D64A85">
            <w:r>
              <w:t xml:space="preserve">Analyses of NGS data quality using phred </w:t>
            </w:r>
          </w:p>
        </w:tc>
        <w:tc>
          <w:tcPr>
            <w:tcW w:w="3253" w:type="dxa"/>
          </w:tcPr>
          <w:p w14:paraId="1E7FB153" w14:textId="77777777" w:rsidR="00D64A85" w:rsidRDefault="00B26DC8">
            <w:r>
              <w:fldChar w:fldCharType="begin"/>
            </w:r>
            <w:r>
              <w:instrText xml:space="preserve"> ADDIN ZOTERO_ITEM CSL_CITATION {"citationID":"oSzPDHuq","properties":{"formattedCitation":"(Krueger, 2012)","plainCitation":"(Krueger, 2012)","noteIndex":0},"citationItems":[{"id":1080,"uris":["http://zotero.org/users/local/8IA2mv5H/items/MB9W4LJL"],"itemData":{"id":1080,"type":"article-journal","container-title":"Trim Galore","source":"Google Scholar","title":"Trim Galore: a wrapper tool around Cutadapt and FastQC","title-short":"Trim Galore","author":[{"family":"Krueger","given":"F."}],"issued":{"date-parts":[["2012"]]}}}],"schema":"https://github.com/citation-style-language/schema/raw/master/csl-citation.json"} </w:instrText>
            </w:r>
            <w:r>
              <w:fldChar w:fldCharType="separate"/>
            </w:r>
            <w:r w:rsidRPr="00B26DC8">
              <w:rPr>
                <w:rFonts w:ascii="Calibri" w:hAnsi="Calibri"/>
              </w:rPr>
              <w:t>(Krueger, 2012)</w:t>
            </w:r>
            <w:r>
              <w:fldChar w:fldCharType="end"/>
            </w:r>
            <w:r>
              <w:t xml:space="preserve"> Bentham Institute</w:t>
            </w:r>
          </w:p>
        </w:tc>
      </w:tr>
      <w:tr w:rsidR="00D64A85" w14:paraId="1E7FB158" w14:textId="77777777" w:rsidTr="00B26DC8">
        <w:tc>
          <w:tcPr>
            <w:tcW w:w="2405" w:type="dxa"/>
          </w:tcPr>
          <w:p w14:paraId="1E7FB155" w14:textId="77777777" w:rsidR="00D64A85" w:rsidRDefault="00D64A85">
            <w:r>
              <w:t>Rmdup</w:t>
            </w:r>
          </w:p>
        </w:tc>
        <w:tc>
          <w:tcPr>
            <w:tcW w:w="3402" w:type="dxa"/>
          </w:tcPr>
          <w:p w14:paraId="1E7FB156" w14:textId="77777777" w:rsidR="00D64A85" w:rsidRDefault="00D64A85">
            <w:r>
              <w:t>Remove possible PCR duplicate contamination</w:t>
            </w:r>
          </w:p>
        </w:tc>
        <w:tc>
          <w:tcPr>
            <w:tcW w:w="3253" w:type="dxa"/>
          </w:tcPr>
          <w:p w14:paraId="1E7FB157" w14:textId="77777777" w:rsidR="00D64A85" w:rsidRDefault="00ED02F1">
            <w:r>
              <w:fldChar w:fldCharType="begin"/>
            </w:r>
            <w:r>
              <w:instrText xml:space="preserve"> ADDIN ZOTERO_ITEM CSL_CITATION {"citationID":"DRZtJIC2","properties":{"formattedCitation":"(Ebbert et al., 2016)","plainCitation":"(Ebbert et al., 2016)","noteIndex":0},"citationItems":[{"id":1544,"uris":["http://zotero.org/users/local/8IA2mv5H/items/XHXZLKI9"],"itemData":{"id":1544,"type":"article-journal","abstract":"Background\nAnalyzing next-generation sequencing data is difficult because datasets are large, second generation sequencing platforms have high error rates, and because each position in the target genome (exome, transcriptome, etc.) is sequenced multiple times. Given these challenges, numerous bioinformatic algorithms have been developed to analyze these data. These algorithms aim to find an appropriate balance between data loss, errors, analysis time, and memory footprint. Typical analysis pipelines require multiple steps. If one or more of these steps is unnecessary, it would significantly decrease compute time and data manipulation to remove the step. One step in many pipelines is PCR duplicate removal, where PCR duplicates arise from multiple PCR products from the same template molecule binding on the flowcell. These are often removed because there is concern they can lead to false positive variant calls. Picard (MarkDuplicates) and SAMTools (rmdup) are the two main softwares used for PCR duplicate removal.\n\nResults\nApproximately 92 % of the 17+ million variants called were called whether we removed duplicates with Picard or SAMTools, or left the PCR duplicates in the dataset. There were no significant differences between the unique variant sets when comparing the transition/transversion ratios (p = 1.0), percentage of novel variants (p = 0.99), average population frequencies (p = 0.99), and the percentage of protein-changing variants (p = 1.0). Results were similar for variants in the American College of Medical Genetics genes. Genotype concordance between NGS and SNP chips was above 99 % for all genotype groups (e.g., homozygous reference).\n\nConclusions\nOur results suggest that PCR duplicate removal has minimal effect on the accuracy of subsequent variant calls.","container-title":"BMC Bioinformatics","DOI":"10.1186/s12859-016-1097-3","ISSN":"1471-2105","issue":"Suppl 7","journalAbbreviation":"BMC Bioinformatics","note":"PMID: 27454357\nPMCID: PMC4965708","page":"239","source":"PubMed Central","title":"Evaluating the necessity of PCR duplicate removal from next-generation sequencing data and a comparison of approaches","volume":"17","author":[{"family":"Ebbert","given":"Mark T. W."},{"family":"Wadsworth","given":"Mark E."},{"family":"Staley","given":"Lyndsay A."},{"family":"Hoyt","given":"Kaitlyn L."},{"family":"Pickett","given":"Brandon"},{"family":"Miller","given":"Justin"},{"family":"Duce","given":"John"},{"family":"Kauwe","given":"John S. K."},{"family":"Ridge","given":"Perry G."}],"issued":{"date-parts":[["2016",7,25]]}}}],"schema":"https://github.com/citation-style-language/schema/raw/master/csl-citation.json"} </w:instrText>
            </w:r>
            <w:r>
              <w:fldChar w:fldCharType="separate"/>
            </w:r>
            <w:r w:rsidRPr="00ED02F1">
              <w:rPr>
                <w:rFonts w:ascii="Calibri" w:hAnsi="Calibri"/>
              </w:rPr>
              <w:t>(Ebbert et al., 2016)</w:t>
            </w:r>
            <w:r>
              <w:fldChar w:fldCharType="end"/>
            </w:r>
          </w:p>
        </w:tc>
      </w:tr>
      <w:tr w:rsidR="00D64A85" w14:paraId="1E7FB15C" w14:textId="77777777" w:rsidTr="00B26DC8">
        <w:tc>
          <w:tcPr>
            <w:tcW w:w="2405" w:type="dxa"/>
          </w:tcPr>
          <w:p w14:paraId="1E7FB159" w14:textId="77777777" w:rsidR="00D64A85" w:rsidRDefault="00D64A85">
            <w:r>
              <w:t>Trim Galore</w:t>
            </w:r>
          </w:p>
        </w:tc>
        <w:tc>
          <w:tcPr>
            <w:tcW w:w="3402" w:type="dxa"/>
          </w:tcPr>
          <w:p w14:paraId="1E7FB15A" w14:textId="77777777" w:rsidR="00D64A85" w:rsidRDefault="00D64A85">
            <w:r>
              <w:t>Remove sequencing adapters</w:t>
            </w:r>
          </w:p>
        </w:tc>
        <w:tc>
          <w:tcPr>
            <w:tcW w:w="3253" w:type="dxa"/>
          </w:tcPr>
          <w:p w14:paraId="1E7FB15B" w14:textId="77777777" w:rsidR="00D64A85" w:rsidRDefault="00B26DC8">
            <w:r>
              <w:fldChar w:fldCharType="begin"/>
            </w:r>
            <w:r>
              <w:instrText xml:space="preserve"> ADDIN ZOTERO_ITEM CSL_CITATION {"citationID":"sBqu7uo7","properties":{"formattedCitation":"(Krueger, 2012)","plainCitation":"(Krueger, 2012)","noteIndex":0},"citationItems":[{"id":1080,"uris":["http://zotero.org/users/local/8IA2mv5H/items/MB9W4LJL"],"itemData":{"id":1080,"type":"article-journal","container-title":"Trim Galore","source":"Google Scholar","title":"Trim Galore: a wrapper tool around Cutadapt and FastQC","title-short":"Trim Galore","author":[{"family":"Krueger","given":"F."}],"issued":{"date-parts":[["2012"]]}}}],"schema":"https://github.com/citation-style-language/schema/raw/master/csl-citation.json"} </w:instrText>
            </w:r>
            <w:r>
              <w:fldChar w:fldCharType="separate"/>
            </w:r>
            <w:r w:rsidRPr="00B26DC8">
              <w:rPr>
                <w:rFonts w:ascii="Calibri" w:hAnsi="Calibri"/>
              </w:rPr>
              <w:t>(Krueger, 2012)</w:t>
            </w:r>
            <w:r>
              <w:fldChar w:fldCharType="end"/>
            </w:r>
          </w:p>
        </w:tc>
      </w:tr>
    </w:tbl>
    <w:p w14:paraId="1E7FB15D" w14:textId="77777777" w:rsidR="00733566" w:rsidRDefault="00733566">
      <w:pPr>
        <w:rPr>
          <w:b/>
          <w:u w:val="single"/>
        </w:rPr>
      </w:pPr>
    </w:p>
    <w:p w14:paraId="1E7FB15E" w14:textId="77777777" w:rsidR="0082365B" w:rsidRDefault="0082365B">
      <w:pPr>
        <w:rPr>
          <w:b/>
        </w:rPr>
      </w:pPr>
    </w:p>
    <w:p w14:paraId="1E7FB15F" w14:textId="77777777" w:rsidR="0082365B" w:rsidRDefault="0082365B">
      <w:pPr>
        <w:rPr>
          <w:b/>
        </w:rPr>
      </w:pPr>
    </w:p>
    <w:p w14:paraId="1E7FB160" w14:textId="77777777" w:rsidR="0082365B" w:rsidRDefault="0082365B">
      <w:pPr>
        <w:rPr>
          <w:b/>
        </w:rPr>
      </w:pPr>
    </w:p>
    <w:p w14:paraId="1E7FB161" w14:textId="77777777" w:rsidR="0082365B" w:rsidRDefault="0082365B">
      <w:pPr>
        <w:rPr>
          <w:b/>
        </w:rPr>
      </w:pPr>
    </w:p>
    <w:p w14:paraId="1E7FB162" w14:textId="77777777" w:rsidR="0082365B" w:rsidRDefault="0082365B">
      <w:pPr>
        <w:rPr>
          <w:b/>
        </w:rPr>
      </w:pPr>
    </w:p>
    <w:p w14:paraId="1E7FB163" w14:textId="77777777" w:rsidR="0082365B" w:rsidRDefault="0082365B">
      <w:pPr>
        <w:rPr>
          <w:b/>
        </w:rPr>
      </w:pPr>
    </w:p>
    <w:p w14:paraId="1E7FB164" w14:textId="77777777" w:rsidR="0082365B" w:rsidRDefault="0082365B">
      <w:pPr>
        <w:rPr>
          <w:b/>
        </w:rPr>
      </w:pPr>
    </w:p>
    <w:p w14:paraId="1E7FB165" w14:textId="77777777" w:rsidR="0082365B" w:rsidRDefault="0082365B">
      <w:pPr>
        <w:rPr>
          <w:b/>
        </w:rPr>
      </w:pPr>
    </w:p>
    <w:p w14:paraId="1E7FB166" w14:textId="77777777" w:rsidR="0082365B" w:rsidRDefault="0082365B">
      <w:pPr>
        <w:rPr>
          <w:b/>
        </w:rPr>
      </w:pPr>
    </w:p>
    <w:p w14:paraId="1E7FB167" w14:textId="77777777" w:rsidR="0082365B" w:rsidRDefault="0082365B">
      <w:pPr>
        <w:rPr>
          <w:b/>
        </w:rPr>
      </w:pPr>
    </w:p>
    <w:p w14:paraId="1E7FB16E" w14:textId="77777777" w:rsidR="00C05475" w:rsidRDefault="00C05475" w:rsidP="00136D76">
      <w:pPr>
        <w:jc w:val="both"/>
        <w:rPr>
          <w:rFonts w:ascii="Arial" w:hAnsi="Arial" w:cs="Arial"/>
          <w:sz w:val="20"/>
        </w:rPr>
      </w:pPr>
    </w:p>
    <w:p w14:paraId="1E7FB16F" w14:textId="77777777" w:rsidR="00C05475" w:rsidRDefault="00C05475" w:rsidP="00136D76">
      <w:pPr>
        <w:jc w:val="both"/>
        <w:rPr>
          <w:rFonts w:ascii="Arial" w:hAnsi="Arial" w:cs="Arial"/>
          <w:sz w:val="20"/>
        </w:rPr>
      </w:pPr>
    </w:p>
    <w:p w14:paraId="1E7FB170" w14:textId="77777777" w:rsidR="00C05475" w:rsidRPr="00C05475" w:rsidRDefault="00C05475" w:rsidP="00C05475">
      <w:pPr>
        <w:spacing w:after="0" w:line="240" w:lineRule="auto"/>
        <w:jc w:val="both"/>
        <w:rPr>
          <w:rFonts w:ascii="Arial" w:hAnsi="Arial" w:cs="Arial"/>
          <w:b/>
          <w:sz w:val="20"/>
        </w:rPr>
      </w:pPr>
      <w:r w:rsidRPr="00C05475">
        <w:rPr>
          <w:rFonts w:ascii="Arial" w:hAnsi="Arial" w:cs="Arial"/>
          <w:b/>
          <w:sz w:val="20"/>
        </w:rPr>
        <w:t>References</w:t>
      </w:r>
    </w:p>
    <w:p w14:paraId="1E7FB171" w14:textId="77777777" w:rsidR="00C05475" w:rsidRPr="00C05475" w:rsidRDefault="00C05475" w:rsidP="00C05475">
      <w:pPr>
        <w:spacing w:after="0" w:line="240" w:lineRule="auto"/>
        <w:jc w:val="both"/>
        <w:rPr>
          <w:rFonts w:ascii="Arial" w:hAnsi="Arial" w:cs="Arial"/>
          <w:sz w:val="20"/>
        </w:rPr>
      </w:pPr>
    </w:p>
    <w:p w14:paraId="1E7FB172"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fldChar w:fldCharType="begin"/>
      </w:r>
      <w:r w:rsidRPr="00C05475">
        <w:rPr>
          <w:rFonts w:ascii="Arial" w:hAnsi="Arial" w:cs="Arial"/>
          <w:sz w:val="20"/>
        </w:rPr>
        <w:instrText xml:space="preserve"> ADDIN ZOTERO_BIBL {"uncited":[],"omitted":[],"custom":[]} CSL_BIBLIOGRAPHY </w:instrText>
      </w:r>
      <w:r w:rsidRPr="00C05475">
        <w:rPr>
          <w:rFonts w:ascii="Arial" w:hAnsi="Arial" w:cs="Arial"/>
          <w:sz w:val="20"/>
        </w:rPr>
        <w:fldChar w:fldCharType="separate"/>
      </w:r>
      <w:r w:rsidRPr="00C05475">
        <w:rPr>
          <w:rFonts w:ascii="Arial" w:hAnsi="Arial" w:cs="Arial"/>
          <w:sz w:val="20"/>
        </w:rPr>
        <w:t xml:space="preserve">Ebbert, M. T. W., Wadsworth, M. E., Staley, L. A., Hoyt, K. L., Pickett, B., Miller, J., Duce, J., Kauwe, J. S. K., &amp; Ridge, P. G. (2016). Evaluating the necessity of PCR duplicate removal from next-generation sequencing data and a comparison of approaches. </w:t>
      </w:r>
      <w:r w:rsidRPr="00C05475">
        <w:rPr>
          <w:rFonts w:ascii="Arial" w:hAnsi="Arial" w:cs="Arial"/>
          <w:i/>
          <w:iCs/>
          <w:sz w:val="20"/>
        </w:rPr>
        <w:t>BMC Bioinformatics</w:t>
      </w:r>
      <w:r w:rsidRPr="00C05475">
        <w:rPr>
          <w:rFonts w:ascii="Arial" w:hAnsi="Arial" w:cs="Arial"/>
          <w:sz w:val="20"/>
        </w:rPr>
        <w:t xml:space="preserve">, </w:t>
      </w:r>
      <w:r w:rsidRPr="00C05475">
        <w:rPr>
          <w:rFonts w:ascii="Arial" w:hAnsi="Arial" w:cs="Arial"/>
          <w:i/>
          <w:iCs/>
          <w:sz w:val="20"/>
        </w:rPr>
        <w:t>17</w:t>
      </w:r>
      <w:r w:rsidRPr="00C05475">
        <w:rPr>
          <w:rFonts w:ascii="Arial" w:hAnsi="Arial" w:cs="Arial"/>
          <w:sz w:val="20"/>
        </w:rPr>
        <w:t>(Suppl 7), 239. https://doi.org/10.1186/s12859-016-1097-3</w:t>
      </w:r>
    </w:p>
    <w:p w14:paraId="1E7FB173" w14:textId="77777777" w:rsidR="00C05475" w:rsidRPr="00C05475" w:rsidRDefault="00C05475" w:rsidP="00C05475">
      <w:pPr>
        <w:spacing w:after="0" w:line="240" w:lineRule="auto"/>
        <w:rPr>
          <w:rFonts w:ascii="Arial" w:hAnsi="Arial" w:cs="Arial"/>
        </w:rPr>
      </w:pPr>
    </w:p>
    <w:p w14:paraId="1E7FB174"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Heidenreich, O., Krauter, J., Riehle, H., Hadwiger, P., John, M., Heil, G., Vornlocher, H.-P., &amp; Nordheim, A. (2003). AML1/MTG8 oncogene suppression by small interfering RNAs supports myeloid differentiation of t(8;21)-positive leukemic cells. </w:t>
      </w:r>
      <w:r w:rsidRPr="00C05475">
        <w:rPr>
          <w:rFonts w:ascii="Arial" w:hAnsi="Arial" w:cs="Arial"/>
          <w:i/>
          <w:iCs/>
          <w:sz w:val="20"/>
        </w:rPr>
        <w:t>Blood</w:t>
      </w:r>
      <w:r w:rsidRPr="00C05475">
        <w:rPr>
          <w:rFonts w:ascii="Arial" w:hAnsi="Arial" w:cs="Arial"/>
          <w:sz w:val="20"/>
        </w:rPr>
        <w:t xml:space="preserve">, </w:t>
      </w:r>
      <w:r w:rsidRPr="00C05475">
        <w:rPr>
          <w:rFonts w:ascii="Arial" w:hAnsi="Arial" w:cs="Arial"/>
          <w:i/>
          <w:iCs/>
          <w:sz w:val="20"/>
        </w:rPr>
        <w:t>101</w:t>
      </w:r>
      <w:r w:rsidRPr="00C05475">
        <w:rPr>
          <w:rFonts w:ascii="Arial" w:hAnsi="Arial" w:cs="Arial"/>
          <w:sz w:val="20"/>
        </w:rPr>
        <w:t>(8), 3157–3163. https://doi.org/10.1182/blood-2002-05-1589</w:t>
      </w:r>
    </w:p>
    <w:p w14:paraId="1E7FB175" w14:textId="77777777" w:rsidR="00C05475" w:rsidRPr="00C05475" w:rsidRDefault="00C05475" w:rsidP="00C05475">
      <w:pPr>
        <w:spacing w:after="0" w:line="240" w:lineRule="auto"/>
        <w:rPr>
          <w:rFonts w:ascii="Arial" w:hAnsi="Arial" w:cs="Arial"/>
        </w:rPr>
      </w:pPr>
    </w:p>
    <w:p w14:paraId="1E7FB176"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Krueger, F. (2012). Trim Galore: A wrapper tool around Cutadapt and FastQC. </w:t>
      </w:r>
      <w:r w:rsidRPr="00C05475">
        <w:rPr>
          <w:rFonts w:ascii="Arial" w:hAnsi="Arial" w:cs="Arial"/>
          <w:i/>
          <w:iCs/>
          <w:sz w:val="20"/>
        </w:rPr>
        <w:t>Trim Galore</w:t>
      </w:r>
      <w:r w:rsidRPr="00C05475">
        <w:rPr>
          <w:rFonts w:ascii="Arial" w:hAnsi="Arial" w:cs="Arial"/>
          <w:sz w:val="20"/>
        </w:rPr>
        <w:t>.</w:t>
      </w:r>
    </w:p>
    <w:p w14:paraId="1E7FB177"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Langmead, B., &amp; Salzberg, S. L. (2012). Fast gapped-read alignment with Bowtie 2. </w:t>
      </w:r>
      <w:r w:rsidRPr="00C05475">
        <w:rPr>
          <w:rFonts w:ascii="Arial" w:hAnsi="Arial" w:cs="Arial"/>
          <w:i/>
          <w:iCs/>
          <w:sz w:val="20"/>
        </w:rPr>
        <w:t>Nature Methods</w:t>
      </w:r>
      <w:r w:rsidRPr="00C05475">
        <w:rPr>
          <w:rFonts w:ascii="Arial" w:hAnsi="Arial" w:cs="Arial"/>
          <w:sz w:val="20"/>
        </w:rPr>
        <w:t xml:space="preserve">, </w:t>
      </w:r>
      <w:r w:rsidRPr="00C05475">
        <w:rPr>
          <w:rFonts w:ascii="Arial" w:hAnsi="Arial" w:cs="Arial"/>
          <w:i/>
          <w:iCs/>
          <w:sz w:val="20"/>
        </w:rPr>
        <w:t>9</w:t>
      </w:r>
      <w:r w:rsidRPr="00C05475">
        <w:rPr>
          <w:rFonts w:ascii="Arial" w:hAnsi="Arial" w:cs="Arial"/>
          <w:sz w:val="20"/>
        </w:rPr>
        <w:t>(4), 357–359.</w:t>
      </w:r>
    </w:p>
    <w:p w14:paraId="1E7FB178" w14:textId="77777777" w:rsidR="00C05475" w:rsidRPr="00C05475" w:rsidRDefault="00C05475" w:rsidP="00C05475">
      <w:pPr>
        <w:spacing w:after="0" w:line="240" w:lineRule="auto"/>
        <w:rPr>
          <w:rFonts w:ascii="Arial" w:hAnsi="Arial" w:cs="Arial"/>
        </w:rPr>
      </w:pPr>
    </w:p>
    <w:p w14:paraId="1E7FB179"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Martinez, N., Drescher, B., Riehle, H., Cullmann, C., Vornlocher, H.-P., Ganser, A., Heil, G., Nordheim, A., Krauter, J., &amp; Heidenreich, O. (2004). The oncogenic fusion protein RUNX1-CBFA2T1 supports proliferation and inhibits senescence in t(8;21)-positive leukaemic cells. </w:t>
      </w:r>
      <w:r w:rsidRPr="00C05475">
        <w:rPr>
          <w:rFonts w:ascii="Arial" w:hAnsi="Arial" w:cs="Arial"/>
          <w:i/>
          <w:iCs/>
          <w:sz w:val="20"/>
        </w:rPr>
        <w:t>BMC Cancer</w:t>
      </w:r>
      <w:r w:rsidRPr="00C05475">
        <w:rPr>
          <w:rFonts w:ascii="Arial" w:hAnsi="Arial" w:cs="Arial"/>
          <w:sz w:val="20"/>
        </w:rPr>
        <w:t xml:space="preserve">, </w:t>
      </w:r>
      <w:r w:rsidRPr="00C05475">
        <w:rPr>
          <w:rFonts w:ascii="Arial" w:hAnsi="Arial" w:cs="Arial"/>
          <w:i/>
          <w:iCs/>
          <w:sz w:val="20"/>
        </w:rPr>
        <w:t>4</w:t>
      </w:r>
      <w:r w:rsidRPr="00C05475">
        <w:rPr>
          <w:rFonts w:ascii="Arial" w:hAnsi="Arial" w:cs="Arial"/>
          <w:sz w:val="20"/>
        </w:rPr>
        <w:t>, 44. https://doi.org/10.1186/1471-2407-4-44</w:t>
      </w:r>
    </w:p>
    <w:p w14:paraId="1E7FB17A" w14:textId="77777777" w:rsidR="00C05475" w:rsidRPr="00C05475" w:rsidRDefault="00C05475" w:rsidP="00C05475">
      <w:pPr>
        <w:spacing w:after="0" w:line="240" w:lineRule="auto"/>
        <w:rPr>
          <w:rFonts w:ascii="Arial" w:hAnsi="Arial" w:cs="Arial"/>
        </w:rPr>
      </w:pPr>
    </w:p>
    <w:p w14:paraId="1E7FB17B"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Ozeki, K., Kiyoi, H., Hirose, Y., Iwai, M., Ninomiya, M., Kodera, Y., Miyawaki, S., Kuriyama, K., Shimazaki, C., Akiyama, H., Nishimura, M., Motoji, T., Shinagawa, K., Takeshita, A., Ueda, R., Ohno, R., Emi, N., &amp; Naoe, T. (2004). Biologic and clinical significance of the FLT3 transcript level in acute myeloid leukemia. </w:t>
      </w:r>
      <w:r w:rsidRPr="00C05475">
        <w:rPr>
          <w:rFonts w:ascii="Arial" w:hAnsi="Arial" w:cs="Arial"/>
          <w:i/>
          <w:iCs/>
          <w:sz w:val="20"/>
        </w:rPr>
        <w:t>Blood</w:t>
      </w:r>
      <w:r w:rsidRPr="00C05475">
        <w:rPr>
          <w:rFonts w:ascii="Arial" w:hAnsi="Arial" w:cs="Arial"/>
          <w:sz w:val="20"/>
        </w:rPr>
        <w:t xml:space="preserve">, </w:t>
      </w:r>
      <w:r w:rsidRPr="00C05475">
        <w:rPr>
          <w:rFonts w:ascii="Arial" w:hAnsi="Arial" w:cs="Arial"/>
          <w:i/>
          <w:iCs/>
          <w:sz w:val="20"/>
        </w:rPr>
        <w:t>103</w:t>
      </w:r>
      <w:r w:rsidRPr="00C05475">
        <w:rPr>
          <w:rFonts w:ascii="Arial" w:hAnsi="Arial" w:cs="Arial"/>
          <w:sz w:val="20"/>
        </w:rPr>
        <w:t>(5), 1901–1908. https://doi.org/10.1182/blood-2003-06-1845</w:t>
      </w:r>
    </w:p>
    <w:p w14:paraId="1E7FB17C" w14:textId="77777777" w:rsidR="00C05475" w:rsidRPr="00C05475" w:rsidRDefault="00C05475" w:rsidP="00C05475">
      <w:pPr>
        <w:spacing w:after="0" w:line="240" w:lineRule="auto"/>
        <w:rPr>
          <w:rFonts w:ascii="Arial" w:hAnsi="Arial" w:cs="Arial"/>
        </w:rPr>
      </w:pPr>
    </w:p>
    <w:p w14:paraId="1E7FB17D"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Ptasinska, A., Assi, S. A., Mannari, D., James, S. R., Williamson, D., Dunne, J., Hoogenkamp, M., Wu, M., Care, M., McNeill, H., Cauchy, P., Cullen, M., Tooze, R. M., Tenen, D. G., Young, B. D., Cockerill, P. N., Westhead, D. R., Heidenreich, O., &amp; Bonifer, C. (2012). Depletion of RUNX1/ETO in t(8;21) AML cells leads to genome-wide changes in chromatin structure and transcription factor binding. </w:t>
      </w:r>
      <w:r w:rsidRPr="00C05475">
        <w:rPr>
          <w:rFonts w:ascii="Arial" w:hAnsi="Arial" w:cs="Arial"/>
          <w:i/>
          <w:iCs/>
          <w:sz w:val="20"/>
        </w:rPr>
        <w:t>Leukemia</w:t>
      </w:r>
      <w:r w:rsidRPr="00C05475">
        <w:rPr>
          <w:rFonts w:ascii="Arial" w:hAnsi="Arial" w:cs="Arial"/>
          <w:sz w:val="20"/>
        </w:rPr>
        <w:t xml:space="preserve">, </w:t>
      </w:r>
      <w:r w:rsidRPr="00C05475">
        <w:rPr>
          <w:rFonts w:ascii="Arial" w:hAnsi="Arial" w:cs="Arial"/>
          <w:i/>
          <w:iCs/>
          <w:sz w:val="20"/>
        </w:rPr>
        <w:t>26</w:t>
      </w:r>
      <w:r w:rsidRPr="00C05475">
        <w:rPr>
          <w:rFonts w:ascii="Arial" w:hAnsi="Arial" w:cs="Arial"/>
          <w:sz w:val="20"/>
        </w:rPr>
        <w:t>(8), Art. 8. https://doi.org/10.1038/leu.2012.49</w:t>
      </w:r>
    </w:p>
    <w:p w14:paraId="1E7FB17E" w14:textId="77777777" w:rsidR="00C05475" w:rsidRPr="00C05475" w:rsidRDefault="00C05475" w:rsidP="00C05475">
      <w:pPr>
        <w:spacing w:after="0" w:line="240" w:lineRule="auto"/>
        <w:rPr>
          <w:rFonts w:ascii="Arial" w:hAnsi="Arial" w:cs="Arial"/>
        </w:rPr>
      </w:pPr>
    </w:p>
    <w:p w14:paraId="1E7FB17F"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Ptasinska, A., Assi, S. A., Martinez-Soria, N., Imperato, M. R., Piper, J., Cauchy, P., Pickin, A., James, S. R., Hoogenkamp, M., Williamson, D., Wu, M., Tenen, D. G., Ott, S., Westhead, D. R., Cockerill, P. N., Heidenreich, O., &amp; Bonifer, C. (2014). Identification of a Dynamic Core Transcriptional Network in t(8;21) AML that Regulates Differentiation Block and Self-Renewal. </w:t>
      </w:r>
      <w:r w:rsidRPr="00C05475">
        <w:rPr>
          <w:rFonts w:ascii="Arial" w:hAnsi="Arial" w:cs="Arial"/>
          <w:i/>
          <w:iCs/>
          <w:sz w:val="20"/>
        </w:rPr>
        <w:t>Cell Reports</w:t>
      </w:r>
      <w:r w:rsidRPr="00C05475">
        <w:rPr>
          <w:rFonts w:ascii="Arial" w:hAnsi="Arial" w:cs="Arial"/>
          <w:sz w:val="20"/>
        </w:rPr>
        <w:t xml:space="preserve">, </w:t>
      </w:r>
      <w:r w:rsidRPr="00C05475">
        <w:rPr>
          <w:rFonts w:ascii="Arial" w:hAnsi="Arial" w:cs="Arial"/>
          <w:i/>
          <w:iCs/>
          <w:sz w:val="20"/>
        </w:rPr>
        <w:t>8</w:t>
      </w:r>
      <w:r w:rsidRPr="00C05475">
        <w:rPr>
          <w:rFonts w:ascii="Arial" w:hAnsi="Arial" w:cs="Arial"/>
          <w:sz w:val="20"/>
        </w:rPr>
        <w:t>(6), 1974–1988. https://doi.org/10.1016/j.celrep.2014.08.024</w:t>
      </w:r>
    </w:p>
    <w:p w14:paraId="1E7FB180" w14:textId="77777777" w:rsidR="00C05475" w:rsidRPr="00C05475" w:rsidRDefault="00C05475" w:rsidP="00C05475">
      <w:pPr>
        <w:spacing w:after="0" w:line="240" w:lineRule="auto"/>
        <w:rPr>
          <w:rFonts w:ascii="Arial" w:hAnsi="Arial" w:cs="Arial"/>
        </w:rPr>
      </w:pPr>
    </w:p>
    <w:p w14:paraId="1E7FB181"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Zhang, J., Li, L., Friedman, A. D., Small, D., &amp; Paz-Priel, I. (2012). Canonical NF-κB Signalling Is a Potential Target in FLT3/ITD AML. </w:t>
      </w:r>
      <w:r w:rsidRPr="00C05475">
        <w:rPr>
          <w:rFonts w:ascii="Arial" w:hAnsi="Arial" w:cs="Arial"/>
          <w:i/>
          <w:iCs/>
          <w:sz w:val="20"/>
        </w:rPr>
        <w:t>Blood</w:t>
      </w:r>
      <w:r w:rsidRPr="00C05475">
        <w:rPr>
          <w:rFonts w:ascii="Arial" w:hAnsi="Arial" w:cs="Arial"/>
          <w:sz w:val="20"/>
        </w:rPr>
        <w:t xml:space="preserve">, </w:t>
      </w:r>
      <w:r w:rsidRPr="00C05475">
        <w:rPr>
          <w:rFonts w:ascii="Arial" w:hAnsi="Arial" w:cs="Arial"/>
          <w:i/>
          <w:iCs/>
          <w:sz w:val="20"/>
        </w:rPr>
        <w:t>120</w:t>
      </w:r>
      <w:r w:rsidRPr="00C05475">
        <w:rPr>
          <w:rFonts w:ascii="Arial" w:hAnsi="Arial" w:cs="Arial"/>
          <w:sz w:val="20"/>
        </w:rPr>
        <w:t>(21), 2447.</w:t>
      </w:r>
    </w:p>
    <w:p w14:paraId="1E7FB182" w14:textId="77777777" w:rsidR="00C05475" w:rsidRPr="00C05475" w:rsidRDefault="00C05475" w:rsidP="00C05475">
      <w:pPr>
        <w:spacing w:after="0" w:line="240" w:lineRule="auto"/>
        <w:rPr>
          <w:rFonts w:ascii="Arial" w:hAnsi="Arial" w:cs="Arial"/>
        </w:rPr>
      </w:pPr>
    </w:p>
    <w:p w14:paraId="1E7FB183"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Zhang, L.-J., Tao, B.-B., Wang, M.-J., Jin, H.-M., &amp; Zhu, Y.-C. (2012). PI3K p110α isoform-dependent Rho GTPase Rac1 activation mediates H2S-promoted endothelial cell migration via actin cytoskeleton reorganization. </w:t>
      </w:r>
      <w:r w:rsidRPr="00C05475">
        <w:rPr>
          <w:rFonts w:ascii="Arial" w:hAnsi="Arial" w:cs="Arial"/>
          <w:i/>
          <w:iCs/>
          <w:sz w:val="20"/>
        </w:rPr>
        <w:t>PloS One</w:t>
      </w:r>
      <w:r w:rsidRPr="00C05475">
        <w:rPr>
          <w:rFonts w:ascii="Arial" w:hAnsi="Arial" w:cs="Arial"/>
          <w:sz w:val="20"/>
        </w:rPr>
        <w:t xml:space="preserve">, </w:t>
      </w:r>
      <w:r w:rsidRPr="00C05475">
        <w:rPr>
          <w:rFonts w:ascii="Arial" w:hAnsi="Arial" w:cs="Arial"/>
          <w:i/>
          <w:iCs/>
          <w:sz w:val="20"/>
        </w:rPr>
        <w:t>7</w:t>
      </w:r>
      <w:r w:rsidRPr="00C05475">
        <w:rPr>
          <w:rFonts w:ascii="Arial" w:hAnsi="Arial" w:cs="Arial"/>
          <w:sz w:val="20"/>
        </w:rPr>
        <w:t>(9), e44590. https://doi.org/10.1371/journal.pone.0044590</w:t>
      </w:r>
    </w:p>
    <w:p w14:paraId="1E7FB184" w14:textId="77777777" w:rsidR="00C05475" w:rsidRPr="00C05475" w:rsidRDefault="00C05475" w:rsidP="00C05475">
      <w:pPr>
        <w:spacing w:after="0" w:line="240" w:lineRule="auto"/>
        <w:rPr>
          <w:rFonts w:ascii="Arial" w:hAnsi="Arial" w:cs="Arial"/>
        </w:rPr>
      </w:pPr>
    </w:p>
    <w:p w14:paraId="1E7FB185" w14:textId="77777777" w:rsidR="00C05475" w:rsidRPr="00C05475" w:rsidRDefault="00C05475" w:rsidP="00C05475">
      <w:pPr>
        <w:pStyle w:val="Bibliography"/>
        <w:spacing w:line="240" w:lineRule="auto"/>
        <w:ind w:left="0" w:firstLine="0"/>
        <w:jc w:val="both"/>
        <w:rPr>
          <w:rFonts w:ascii="Arial" w:hAnsi="Arial" w:cs="Arial"/>
          <w:sz w:val="20"/>
        </w:rPr>
      </w:pPr>
      <w:r w:rsidRPr="00C05475">
        <w:rPr>
          <w:rFonts w:ascii="Arial" w:hAnsi="Arial" w:cs="Arial"/>
          <w:sz w:val="20"/>
        </w:rPr>
        <w:t xml:space="preserve">Zhang, Y., Liu, T., Meyer, C. A., Eeckhoute, J., Johnson, D. S., Bernstein, B. E., Nusbaum, C., Myers, R. M., Brown, M., Li, W., &amp; Liu, X. S. (2008). Model-based Analysis of ChIP-Seq (MACS). </w:t>
      </w:r>
      <w:r w:rsidRPr="00C05475">
        <w:rPr>
          <w:rFonts w:ascii="Arial" w:hAnsi="Arial" w:cs="Arial"/>
          <w:i/>
          <w:iCs/>
          <w:sz w:val="20"/>
        </w:rPr>
        <w:t>Genome Biology</w:t>
      </w:r>
      <w:r w:rsidRPr="00C05475">
        <w:rPr>
          <w:rFonts w:ascii="Arial" w:hAnsi="Arial" w:cs="Arial"/>
          <w:sz w:val="20"/>
        </w:rPr>
        <w:t xml:space="preserve">, </w:t>
      </w:r>
      <w:r w:rsidRPr="00C05475">
        <w:rPr>
          <w:rFonts w:ascii="Arial" w:hAnsi="Arial" w:cs="Arial"/>
          <w:i/>
          <w:iCs/>
          <w:sz w:val="20"/>
        </w:rPr>
        <w:t>9</w:t>
      </w:r>
      <w:r w:rsidRPr="00C05475">
        <w:rPr>
          <w:rFonts w:ascii="Arial" w:hAnsi="Arial" w:cs="Arial"/>
          <w:sz w:val="20"/>
        </w:rPr>
        <w:t>(9), R137. https://doi.org/10.1186/gb-2008-9-9-r137</w:t>
      </w:r>
    </w:p>
    <w:p w14:paraId="1E7FB186" w14:textId="77777777" w:rsidR="00C05475" w:rsidRPr="00136D76" w:rsidRDefault="00C05475" w:rsidP="00C05475">
      <w:pPr>
        <w:spacing w:after="0" w:line="240" w:lineRule="auto"/>
        <w:jc w:val="both"/>
        <w:rPr>
          <w:rFonts w:ascii="Arial" w:hAnsi="Arial" w:cs="Arial"/>
          <w:sz w:val="20"/>
        </w:rPr>
      </w:pPr>
      <w:r w:rsidRPr="00C05475">
        <w:rPr>
          <w:rFonts w:ascii="Arial" w:hAnsi="Arial" w:cs="Arial"/>
          <w:sz w:val="20"/>
        </w:rPr>
        <w:fldChar w:fldCharType="end"/>
      </w:r>
    </w:p>
    <w:sectPr w:rsidR="00C05475" w:rsidRPr="00136D76" w:rsidSect="000E462C">
      <w:head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FB195" w14:textId="77777777" w:rsidR="00B971F6" w:rsidRDefault="00B971F6" w:rsidP="00CA15DD">
      <w:pPr>
        <w:spacing w:after="0" w:line="240" w:lineRule="auto"/>
      </w:pPr>
      <w:r>
        <w:separator/>
      </w:r>
    </w:p>
  </w:endnote>
  <w:endnote w:type="continuationSeparator" w:id="0">
    <w:p w14:paraId="1E7FB196" w14:textId="77777777" w:rsidR="00B971F6" w:rsidRDefault="00B971F6" w:rsidP="00CA1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FB193" w14:textId="77777777" w:rsidR="00B971F6" w:rsidRDefault="00B971F6" w:rsidP="00CA15DD">
      <w:pPr>
        <w:spacing w:after="0" w:line="240" w:lineRule="auto"/>
      </w:pPr>
      <w:r>
        <w:separator/>
      </w:r>
    </w:p>
  </w:footnote>
  <w:footnote w:type="continuationSeparator" w:id="0">
    <w:p w14:paraId="1E7FB194" w14:textId="77777777" w:rsidR="00B971F6" w:rsidRDefault="00B971F6" w:rsidP="00CA1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B197" w14:textId="77777777" w:rsidR="00CA15DD" w:rsidRDefault="00CA15DD">
    <w:pPr>
      <w:pStyle w:val="Header"/>
    </w:pPr>
    <w:r>
      <w:t>Azlan et al., 2023                                                                                   RUNX1/ETO HIJACK ROS REGULATION</w:t>
    </w:r>
  </w:p>
  <w:p w14:paraId="1E7FB198" w14:textId="77777777" w:rsidR="00CA15DD" w:rsidRDefault="00CA15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5DD"/>
    <w:rsid w:val="000063D1"/>
    <w:rsid w:val="000D52ED"/>
    <w:rsid w:val="000E462C"/>
    <w:rsid w:val="00136D76"/>
    <w:rsid w:val="00155581"/>
    <w:rsid w:val="00172A57"/>
    <w:rsid w:val="001D2F2F"/>
    <w:rsid w:val="001F2135"/>
    <w:rsid w:val="004B4D19"/>
    <w:rsid w:val="0051057B"/>
    <w:rsid w:val="00553F99"/>
    <w:rsid w:val="0068258C"/>
    <w:rsid w:val="007142E1"/>
    <w:rsid w:val="00733566"/>
    <w:rsid w:val="00735CFD"/>
    <w:rsid w:val="0075398E"/>
    <w:rsid w:val="007C5F85"/>
    <w:rsid w:val="0082365B"/>
    <w:rsid w:val="00881000"/>
    <w:rsid w:val="00A52562"/>
    <w:rsid w:val="00AA48D4"/>
    <w:rsid w:val="00AC7AD3"/>
    <w:rsid w:val="00B26DC8"/>
    <w:rsid w:val="00B3195B"/>
    <w:rsid w:val="00B971F6"/>
    <w:rsid w:val="00C05475"/>
    <w:rsid w:val="00C17F69"/>
    <w:rsid w:val="00C839EB"/>
    <w:rsid w:val="00CA15DD"/>
    <w:rsid w:val="00CF43D1"/>
    <w:rsid w:val="00D60AEC"/>
    <w:rsid w:val="00D64A85"/>
    <w:rsid w:val="00DA72F7"/>
    <w:rsid w:val="00DC63D5"/>
    <w:rsid w:val="00DE302C"/>
    <w:rsid w:val="00DE7A8B"/>
    <w:rsid w:val="00E40286"/>
    <w:rsid w:val="00ED02F1"/>
    <w:rsid w:val="00EF55D0"/>
    <w:rsid w:val="00F70865"/>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B097"/>
  <w15:chartTrackingRefBased/>
  <w15:docId w15:val="{C2492A1F-9195-4882-8883-095457A5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5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15DD"/>
  </w:style>
  <w:style w:type="paragraph" w:styleId="Footer">
    <w:name w:val="footer"/>
    <w:basedOn w:val="Normal"/>
    <w:link w:val="FooterChar"/>
    <w:uiPriority w:val="99"/>
    <w:unhideWhenUsed/>
    <w:rsid w:val="00CA15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15DD"/>
  </w:style>
  <w:style w:type="table" w:styleId="TableGrid">
    <w:name w:val="Table Grid"/>
    <w:basedOn w:val="TableNormal"/>
    <w:uiPriority w:val="39"/>
    <w:rsid w:val="00714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5475"/>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324">
      <w:bodyDiv w:val="1"/>
      <w:marLeft w:val="0"/>
      <w:marRight w:val="0"/>
      <w:marTop w:val="0"/>
      <w:marBottom w:val="0"/>
      <w:divBdr>
        <w:top w:val="none" w:sz="0" w:space="0" w:color="auto"/>
        <w:left w:val="none" w:sz="0" w:space="0" w:color="auto"/>
        <w:bottom w:val="none" w:sz="0" w:space="0" w:color="auto"/>
        <w:right w:val="none" w:sz="0" w:space="0" w:color="auto"/>
      </w:divBdr>
    </w:div>
    <w:div w:id="820511347">
      <w:bodyDiv w:val="1"/>
      <w:marLeft w:val="0"/>
      <w:marRight w:val="0"/>
      <w:marTop w:val="0"/>
      <w:marBottom w:val="0"/>
      <w:divBdr>
        <w:top w:val="none" w:sz="0" w:space="0" w:color="auto"/>
        <w:left w:val="none" w:sz="0" w:space="0" w:color="auto"/>
        <w:bottom w:val="none" w:sz="0" w:space="0" w:color="auto"/>
        <w:right w:val="none" w:sz="0" w:space="0" w:color="auto"/>
      </w:divBdr>
      <w:divsChild>
        <w:div w:id="1226376394">
          <w:marLeft w:val="0"/>
          <w:marRight w:val="0"/>
          <w:marTop w:val="0"/>
          <w:marBottom w:val="0"/>
          <w:divBdr>
            <w:top w:val="none" w:sz="0" w:space="0" w:color="auto"/>
            <w:left w:val="none" w:sz="0" w:space="0" w:color="auto"/>
            <w:bottom w:val="none" w:sz="0" w:space="0" w:color="auto"/>
            <w:right w:val="none" w:sz="0" w:space="0" w:color="auto"/>
          </w:divBdr>
        </w:div>
      </w:divsChild>
    </w:div>
    <w:div w:id="20810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ujitsu\Desktop\Thesis%20Edited\ROS%2012%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ujitsu\Desktop\Thesis%20Edited\ROS%2012%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ujitsu\Desktop\Thesis%20Edited\ROS%2012%20(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ms-MY"/>
              <a:t>Stain</a:t>
            </a:r>
            <a:r>
              <a:rPr lang="ms-MY" baseline="0"/>
              <a:t> in PBS resuspend in PBS</a:t>
            </a:r>
            <a:endParaRPr lang="ms-MY"/>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trendlineLbl>
          </c:trendline>
          <c:xVal>
            <c:numRef>
              <c:f>'Std Opt'!$D$4:$D$8</c:f>
              <c:numCache>
                <c:formatCode>General</c:formatCode>
                <c:ptCount val="5"/>
                <c:pt idx="0">
                  <c:v>20000</c:v>
                </c:pt>
                <c:pt idx="1">
                  <c:v>40000</c:v>
                </c:pt>
                <c:pt idx="2">
                  <c:v>60000</c:v>
                </c:pt>
                <c:pt idx="3">
                  <c:v>80000</c:v>
                </c:pt>
                <c:pt idx="4">
                  <c:v>100000</c:v>
                </c:pt>
              </c:numCache>
            </c:numRef>
          </c:xVal>
          <c:yVal>
            <c:numRef>
              <c:f>'Std Opt'!$E$4:$E$8</c:f>
              <c:numCache>
                <c:formatCode>General</c:formatCode>
                <c:ptCount val="5"/>
                <c:pt idx="0">
                  <c:v>43318</c:v>
                </c:pt>
                <c:pt idx="1">
                  <c:v>90441</c:v>
                </c:pt>
                <c:pt idx="2">
                  <c:v>140878</c:v>
                </c:pt>
                <c:pt idx="3">
                  <c:v>183737</c:v>
                </c:pt>
                <c:pt idx="4">
                  <c:v>233984</c:v>
                </c:pt>
              </c:numCache>
            </c:numRef>
          </c:yVal>
          <c:smooth val="0"/>
          <c:extLst>
            <c:ext xmlns:c16="http://schemas.microsoft.com/office/drawing/2014/chart" uri="{C3380CC4-5D6E-409C-BE32-E72D297353CC}">
              <c16:uniqueId val="{00000001-97A7-4826-9B12-B65435B1D228}"/>
            </c:ext>
          </c:extLst>
        </c:ser>
        <c:dLbls>
          <c:showLegendKey val="0"/>
          <c:showVal val="0"/>
          <c:showCatName val="0"/>
          <c:showSerName val="0"/>
          <c:showPercent val="0"/>
          <c:showBubbleSize val="0"/>
        </c:dLbls>
        <c:axId val="315422656"/>
        <c:axId val="315423048"/>
      </c:scatterChart>
      <c:valAx>
        <c:axId val="315422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423048"/>
        <c:crosses val="autoZero"/>
        <c:crossBetween val="midCat"/>
      </c:valAx>
      <c:valAx>
        <c:axId val="315423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4226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ms-MY"/>
              <a:t>Stain</a:t>
            </a:r>
            <a:r>
              <a:rPr lang="ms-MY" baseline="0"/>
              <a:t> in PBS resuspend in RSM</a:t>
            </a:r>
            <a:endParaRPr lang="ms-MY"/>
          </a:p>
        </c:rich>
      </c:tx>
      <c:layout>
        <c:manualLayout>
          <c:xMode val="edge"/>
          <c:yMode val="edge"/>
          <c:x val="0.17563598759048601"/>
          <c:y val="6.9970774273589428E-2"/>
        </c:manualLayout>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trendlineLbl>
          </c:trendline>
          <c:xVal>
            <c:numRef>
              <c:f>'Std Opt'!$F$4:$F$9</c:f>
              <c:numCache>
                <c:formatCode>General</c:formatCode>
                <c:ptCount val="6"/>
                <c:pt idx="0">
                  <c:v>20000</c:v>
                </c:pt>
                <c:pt idx="1">
                  <c:v>40000</c:v>
                </c:pt>
                <c:pt idx="2">
                  <c:v>60000</c:v>
                </c:pt>
                <c:pt idx="3">
                  <c:v>80000</c:v>
                </c:pt>
                <c:pt idx="4">
                  <c:v>100000</c:v>
                </c:pt>
              </c:numCache>
            </c:numRef>
          </c:xVal>
          <c:yVal>
            <c:numRef>
              <c:f>'Std Opt'!$G$4:$G$9</c:f>
              <c:numCache>
                <c:formatCode>General</c:formatCode>
                <c:ptCount val="6"/>
                <c:pt idx="0">
                  <c:v>21446</c:v>
                </c:pt>
                <c:pt idx="1">
                  <c:v>36804</c:v>
                </c:pt>
                <c:pt idx="2">
                  <c:v>52538</c:v>
                </c:pt>
                <c:pt idx="3">
                  <c:v>77826</c:v>
                </c:pt>
                <c:pt idx="4">
                  <c:v>107042</c:v>
                </c:pt>
              </c:numCache>
            </c:numRef>
          </c:yVal>
          <c:smooth val="0"/>
          <c:extLst>
            <c:ext xmlns:c16="http://schemas.microsoft.com/office/drawing/2014/chart" uri="{C3380CC4-5D6E-409C-BE32-E72D297353CC}">
              <c16:uniqueId val="{00000001-A8B6-4625-BD3E-11A59F365F20}"/>
            </c:ext>
          </c:extLst>
        </c:ser>
        <c:dLbls>
          <c:showLegendKey val="0"/>
          <c:showVal val="0"/>
          <c:showCatName val="0"/>
          <c:showSerName val="0"/>
          <c:showPercent val="0"/>
          <c:showBubbleSize val="0"/>
        </c:dLbls>
        <c:axId val="315423832"/>
        <c:axId val="316387152"/>
      </c:scatterChart>
      <c:valAx>
        <c:axId val="315423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6387152"/>
        <c:crosses val="autoZero"/>
        <c:crossBetween val="midCat"/>
      </c:valAx>
      <c:valAx>
        <c:axId val="31638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4238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ms-MY"/>
              <a:t>Stain</a:t>
            </a:r>
            <a:r>
              <a:rPr lang="ms-MY" baseline="0"/>
              <a:t> in RSM resuspend in RSM</a:t>
            </a:r>
            <a:endParaRPr lang="ms-MY"/>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forward val="2"/>
            <c:dispRSqr val="1"/>
            <c:dispEq val="0"/>
            <c:trendlineLbl>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trendlineLbl>
          </c:trendline>
          <c:xVal>
            <c:numRef>
              <c:f>'Std Opt'!$H$4:$H$8</c:f>
              <c:numCache>
                <c:formatCode>General</c:formatCode>
                <c:ptCount val="5"/>
                <c:pt idx="0">
                  <c:v>20000</c:v>
                </c:pt>
                <c:pt idx="1">
                  <c:v>40000</c:v>
                </c:pt>
                <c:pt idx="2">
                  <c:v>60000</c:v>
                </c:pt>
                <c:pt idx="3">
                  <c:v>80000</c:v>
                </c:pt>
                <c:pt idx="4">
                  <c:v>100000</c:v>
                </c:pt>
              </c:numCache>
            </c:numRef>
          </c:xVal>
          <c:yVal>
            <c:numRef>
              <c:f>'Std Opt'!$I$4:$I$8</c:f>
              <c:numCache>
                <c:formatCode>General</c:formatCode>
                <c:ptCount val="5"/>
                <c:pt idx="0">
                  <c:v>11800</c:v>
                </c:pt>
                <c:pt idx="1">
                  <c:v>21208</c:v>
                </c:pt>
                <c:pt idx="2">
                  <c:v>31505</c:v>
                </c:pt>
                <c:pt idx="3">
                  <c:v>43155</c:v>
                </c:pt>
                <c:pt idx="4">
                  <c:v>58818</c:v>
                </c:pt>
              </c:numCache>
            </c:numRef>
          </c:yVal>
          <c:smooth val="0"/>
          <c:extLst>
            <c:ext xmlns:c16="http://schemas.microsoft.com/office/drawing/2014/chart" uri="{C3380CC4-5D6E-409C-BE32-E72D297353CC}">
              <c16:uniqueId val="{00000001-EB21-474B-8B27-B97D8483F9A4}"/>
            </c:ext>
          </c:extLst>
        </c:ser>
        <c:dLbls>
          <c:showLegendKey val="0"/>
          <c:showVal val="0"/>
          <c:showCatName val="0"/>
          <c:showSerName val="0"/>
          <c:showPercent val="0"/>
          <c:showBubbleSize val="0"/>
        </c:dLbls>
        <c:axId val="316387936"/>
        <c:axId val="316388328"/>
      </c:scatterChart>
      <c:valAx>
        <c:axId val="316387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6388328"/>
        <c:crosses val="autoZero"/>
        <c:crossBetween val="midCat"/>
      </c:valAx>
      <c:valAx>
        <c:axId val="316388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63879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5</Pages>
  <Words>6043</Words>
  <Characters>34451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Emmanvel 81</cp:lastModifiedBy>
  <cp:revision>27</cp:revision>
  <dcterms:created xsi:type="dcterms:W3CDTF">2023-01-27T09:18:00Z</dcterms:created>
  <dcterms:modified xsi:type="dcterms:W3CDTF">2023-02-03T07:41:00Z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zotero-version="6.0"&gt;&lt;session id="TfTDvgXQ"/&gt;&lt;style id="http://www.zotero.org/styles/apa" locale="en-US"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