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6E0A8" w14:textId="77777777" w:rsidR="009B662E" w:rsidRPr="00DD32D8" w:rsidRDefault="009B662E" w:rsidP="009B662E">
      <w:pPr>
        <w:pStyle w:val="Heading1"/>
        <w:ind w:left="-567"/>
        <w:jc w:val="center"/>
        <w:rPr>
          <w:rFonts w:ascii="Times New Roman" w:hAnsi="Times New Roman" w:cs="Times New Roman"/>
        </w:rPr>
      </w:pPr>
      <w:r w:rsidRPr="00DD32D8">
        <w:rPr>
          <w:rFonts w:ascii="Times New Roman" w:hAnsi="Times New Roman" w:cs="Times New Roman"/>
        </w:rPr>
        <w:t>APPENDIX 1</w:t>
      </w:r>
    </w:p>
    <w:p w14:paraId="46358105" w14:textId="77777777" w:rsidR="009B662E" w:rsidRPr="00DD32D8" w:rsidRDefault="009B662E" w:rsidP="009B662E">
      <w:pPr>
        <w:pStyle w:val="BodyTextCrawford"/>
        <w:spacing w:after="0" w:line="240" w:lineRule="auto"/>
        <w:contextualSpacing/>
        <w:rPr>
          <w:rFonts w:cs="Times New Roman"/>
        </w:rPr>
      </w:pPr>
    </w:p>
    <w:p w14:paraId="0DA37D8D" w14:textId="77777777" w:rsidR="009B662E" w:rsidRPr="00DD32D8" w:rsidRDefault="009B662E" w:rsidP="009B662E">
      <w:pPr>
        <w:pStyle w:val="BodyTextCrawford"/>
        <w:spacing w:after="0" w:line="240" w:lineRule="auto"/>
        <w:contextualSpacing/>
        <w:rPr>
          <w:rFonts w:cs="Times New Roman"/>
        </w:rPr>
      </w:pPr>
      <w:r w:rsidRPr="00DD32D8">
        <w:rPr>
          <w:rFonts w:cs="Times New Roman"/>
        </w:rPr>
        <w:t>The Result of the Scoping Study: Implications for the Presumptive Tax Regime in details</w:t>
      </w:r>
    </w:p>
    <w:p w14:paraId="541450CE" w14:textId="77777777" w:rsidR="009B662E" w:rsidRPr="00DD32D8" w:rsidRDefault="009B662E" w:rsidP="009B662E">
      <w:pPr>
        <w:pStyle w:val="BodyTextCrawford"/>
        <w:spacing w:after="0" w:line="240" w:lineRule="auto"/>
        <w:contextualSpacing/>
        <w:rPr>
          <w:rFonts w:cs="Times New Roman"/>
        </w:rPr>
      </w:pPr>
    </w:p>
    <w:tbl>
      <w:tblPr>
        <w:tblW w:w="14732" w:type="dxa"/>
        <w:tblLook w:val="04A0" w:firstRow="1" w:lastRow="0" w:firstColumn="1" w:lastColumn="0" w:noHBand="0" w:noVBand="1"/>
      </w:tblPr>
      <w:tblGrid>
        <w:gridCol w:w="461"/>
        <w:gridCol w:w="1832"/>
        <w:gridCol w:w="1216"/>
        <w:gridCol w:w="939"/>
        <w:gridCol w:w="3428"/>
        <w:gridCol w:w="3428"/>
        <w:gridCol w:w="3428"/>
      </w:tblGrid>
      <w:tr w:rsidR="009B662E" w:rsidRPr="00DD32D8" w14:paraId="47988072" w14:textId="77777777" w:rsidTr="009B662E">
        <w:trPr>
          <w:trHeight w:val="20"/>
          <w:tblHeader/>
        </w:trPr>
        <w:tc>
          <w:tcPr>
            <w:tcW w:w="461" w:type="dxa"/>
            <w:tcBorders>
              <w:top w:val="single" w:sz="8" w:space="0" w:color="auto"/>
              <w:left w:val="single" w:sz="8" w:space="0" w:color="auto"/>
              <w:bottom w:val="single" w:sz="8" w:space="0" w:color="auto"/>
              <w:right w:val="nil"/>
            </w:tcBorders>
            <w:shd w:val="clear" w:color="000000" w:fill="BFBFBF"/>
            <w:vAlign w:val="center"/>
            <w:hideMark/>
          </w:tcPr>
          <w:p w14:paraId="2A6CCCB9" w14:textId="77777777" w:rsidR="009B662E" w:rsidRPr="00DD32D8" w:rsidRDefault="009B662E" w:rsidP="00D3660F">
            <w:pPr>
              <w:jc w:val="center"/>
              <w:rPr>
                <w:rFonts w:ascii="Times New Roman" w:eastAsia="Times New Roman" w:hAnsi="Times New Roman" w:cs="Times New Roman"/>
                <w:b/>
                <w:bCs/>
                <w:sz w:val="20"/>
                <w:szCs w:val="20"/>
              </w:rPr>
            </w:pPr>
            <w:r w:rsidRPr="00DD32D8">
              <w:rPr>
                <w:rFonts w:ascii="Times New Roman" w:eastAsia="Times New Roman" w:hAnsi="Times New Roman" w:cs="Times New Roman"/>
                <w:b/>
                <w:bCs/>
                <w:sz w:val="20"/>
                <w:szCs w:val="20"/>
              </w:rPr>
              <w:t>No</w:t>
            </w:r>
          </w:p>
        </w:tc>
        <w:tc>
          <w:tcPr>
            <w:tcW w:w="1832" w:type="dxa"/>
            <w:tcBorders>
              <w:top w:val="single" w:sz="8" w:space="0" w:color="auto"/>
              <w:left w:val="single" w:sz="4" w:space="0" w:color="auto"/>
              <w:bottom w:val="single" w:sz="8" w:space="0" w:color="auto"/>
              <w:right w:val="single" w:sz="4" w:space="0" w:color="auto"/>
            </w:tcBorders>
            <w:shd w:val="clear" w:color="000000" w:fill="BFBFBF"/>
            <w:vAlign w:val="center"/>
            <w:hideMark/>
          </w:tcPr>
          <w:p w14:paraId="2AF69F8A" w14:textId="77777777" w:rsidR="009B662E" w:rsidRPr="00DD32D8" w:rsidRDefault="009B662E" w:rsidP="00D3660F">
            <w:pPr>
              <w:jc w:val="center"/>
              <w:rPr>
                <w:rFonts w:ascii="Times New Roman" w:eastAsia="Times New Roman" w:hAnsi="Times New Roman" w:cs="Times New Roman"/>
                <w:b/>
                <w:bCs/>
                <w:sz w:val="20"/>
                <w:szCs w:val="20"/>
              </w:rPr>
            </w:pPr>
            <w:r w:rsidRPr="00DD32D8">
              <w:rPr>
                <w:rFonts w:ascii="Times New Roman" w:eastAsia="Times New Roman" w:hAnsi="Times New Roman" w:cs="Times New Roman"/>
                <w:b/>
                <w:bCs/>
                <w:sz w:val="20"/>
                <w:szCs w:val="20"/>
              </w:rPr>
              <w:t>Journal</w:t>
            </w:r>
          </w:p>
        </w:tc>
        <w:tc>
          <w:tcPr>
            <w:tcW w:w="1216" w:type="dxa"/>
            <w:tcBorders>
              <w:top w:val="single" w:sz="8" w:space="0" w:color="auto"/>
              <w:left w:val="single" w:sz="4" w:space="0" w:color="auto"/>
              <w:bottom w:val="single" w:sz="8" w:space="0" w:color="auto"/>
              <w:right w:val="single" w:sz="4" w:space="0" w:color="auto"/>
            </w:tcBorders>
            <w:shd w:val="clear" w:color="000000" w:fill="BFBFBF"/>
            <w:vAlign w:val="center"/>
            <w:hideMark/>
          </w:tcPr>
          <w:p w14:paraId="52532BCD" w14:textId="77777777" w:rsidR="009B662E" w:rsidRPr="00DD32D8" w:rsidRDefault="009B662E" w:rsidP="00D3660F">
            <w:pPr>
              <w:jc w:val="center"/>
              <w:rPr>
                <w:rFonts w:ascii="Times New Roman" w:eastAsia="Times New Roman" w:hAnsi="Times New Roman" w:cs="Times New Roman"/>
                <w:b/>
                <w:bCs/>
                <w:sz w:val="20"/>
                <w:szCs w:val="20"/>
              </w:rPr>
            </w:pPr>
            <w:r w:rsidRPr="00DD32D8">
              <w:rPr>
                <w:rFonts w:ascii="Times New Roman" w:eastAsia="Times New Roman" w:hAnsi="Times New Roman" w:cs="Times New Roman"/>
                <w:b/>
                <w:bCs/>
                <w:sz w:val="20"/>
                <w:szCs w:val="20"/>
              </w:rPr>
              <w:t>Method</w:t>
            </w:r>
          </w:p>
        </w:tc>
        <w:tc>
          <w:tcPr>
            <w:tcW w:w="939" w:type="dxa"/>
            <w:tcBorders>
              <w:top w:val="single" w:sz="8" w:space="0" w:color="auto"/>
              <w:left w:val="single" w:sz="4" w:space="0" w:color="auto"/>
              <w:bottom w:val="single" w:sz="8" w:space="0" w:color="auto"/>
              <w:right w:val="single" w:sz="4" w:space="0" w:color="auto"/>
            </w:tcBorders>
            <w:shd w:val="clear" w:color="000000" w:fill="BFBFBF"/>
            <w:vAlign w:val="center"/>
            <w:hideMark/>
          </w:tcPr>
          <w:p w14:paraId="5BC439ED" w14:textId="77777777" w:rsidR="009B662E" w:rsidRPr="00DD32D8" w:rsidRDefault="009B662E" w:rsidP="00D3660F">
            <w:pPr>
              <w:jc w:val="center"/>
              <w:rPr>
                <w:rFonts w:ascii="Times New Roman" w:eastAsia="Times New Roman" w:hAnsi="Times New Roman" w:cs="Times New Roman"/>
                <w:b/>
                <w:bCs/>
                <w:sz w:val="20"/>
                <w:szCs w:val="20"/>
              </w:rPr>
            </w:pPr>
            <w:r w:rsidRPr="00DD32D8">
              <w:rPr>
                <w:rFonts w:ascii="Times New Roman" w:eastAsia="Times New Roman" w:hAnsi="Times New Roman" w:cs="Times New Roman"/>
                <w:b/>
                <w:bCs/>
                <w:sz w:val="20"/>
                <w:szCs w:val="20"/>
              </w:rPr>
              <w:t>Country</w:t>
            </w:r>
          </w:p>
        </w:tc>
        <w:tc>
          <w:tcPr>
            <w:tcW w:w="3428" w:type="dxa"/>
            <w:tcBorders>
              <w:top w:val="single" w:sz="8" w:space="0" w:color="auto"/>
              <w:left w:val="single" w:sz="4" w:space="0" w:color="auto"/>
              <w:bottom w:val="single" w:sz="8" w:space="0" w:color="auto"/>
              <w:right w:val="single" w:sz="4" w:space="0" w:color="auto"/>
            </w:tcBorders>
            <w:shd w:val="clear" w:color="000000" w:fill="BFBFBF"/>
            <w:vAlign w:val="center"/>
            <w:hideMark/>
          </w:tcPr>
          <w:p w14:paraId="11EF2CDD" w14:textId="77777777" w:rsidR="009B662E" w:rsidRPr="00DD32D8" w:rsidRDefault="009B662E" w:rsidP="00D3660F">
            <w:pPr>
              <w:jc w:val="center"/>
              <w:rPr>
                <w:rFonts w:ascii="Times New Roman" w:eastAsia="Times New Roman" w:hAnsi="Times New Roman" w:cs="Times New Roman"/>
                <w:b/>
                <w:bCs/>
                <w:sz w:val="20"/>
                <w:szCs w:val="20"/>
              </w:rPr>
            </w:pPr>
            <w:r w:rsidRPr="00DD32D8">
              <w:rPr>
                <w:rFonts w:ascii="Times New Roman" w:eastAsia="Times New Roman" w:hAnsi="Times New Roman" w:cs="Times New Roman"/>
                <w:b/>
                <w:bCs/>
                <w:sz w:val="20"/>
                <w:szCs w:val="20"/>
              </w:rPr>
              <w:t>Implications for Tax Officials</w:t>
            </w:r>
          </w:p>
        </w:tc>
        <w:tc>
          <w:tcPr>
            <w:tcW w:w="3428" w:type="dxa"/>
            <w:tcBorders>
              <w:top w:val="single" w:sz="8" w:space="0" w:color="auto"/>
              <w:left w:val="single" w:sz="4" w:space="0" w:color="auto"/>
              <w:bottom w:val="single" w:sz="8" w:space="0" w:color="auto"/>
              <w:right w:val="single" w:sz="4" w:space="0" w:color="auto"/>
            </w:tcBorders>
            <w:shd w:val="clear" w:color="000000" w:fill="BFBFBF"/>
            <w:vAlign w:val="center"/>
            <w:hideMark/>
          </w:tcPr>
          <w:p w14:paraId="1F98E61D" w14:textId="77777777" w:rsidR="009B662E" w:rsidRPr="00DD32D8" w:rsidRDefault="009B662E" w:rsidP="00D3660F">
            <w:pPr>
              <w:jc w:val="center"/>
              <w:rPr>
                <w:rFonts w:ascii="Times New Roman" w:eastAsia="Times New Roman" w:hAnsi="Times New Roman" w:cs="Times New Roman"/>
                <w:b/>
                <w:bCs/>
                <w:sz w:val="20"/>
                <w:szCs w:val="20"/>
              </w:rPr>
            </w:pPr>
            <w:r w:rsidRPr="00DD32D8">
              <w:rPr>
                <w:rFonts w:ascii="Times New Roman" w:eastAsia="Times New Roman" w:hAnsi="Times New Roman" w:cs="Times New Roman"/>
                <w:b/>
                <w:bCs/>
                <w:sz w:val="20"/>
                <w:szCs w:val="20"/>
              </w:rPr>
              <w:t xml:space="preserve">Implications for MSMEs </w:t>
            </w:r>
          </w:p>
        </w:tc>
        <w:tc>
          <w:tcPr>
            <w:tcW w:w="3428" w:type="dxa"/>
            <w:tcBorders>
              <w:top w:val="single" w:sz="8" w:space="0" w:color="auto"/>
              <w:left w:val="single" w:sz="4" w:space="0" w:color="auto"/>
              <w:bottom w:val="single" w:sz="8" w:space="0" w:color="auto"/>
              <w:right w:val="single" w:sz="8" w:space="0" w:color="auto"/>
            </w:tcBorders>
            <w:shd w:val="clear" w:color="000000" w:fill="BFBFBF"/>
            <w:vAlign w:val="center"/>
            <w:hideMark/>
          </w:tcPr>
          <w:p w14:paraId="47C0B97B" w14:textId="77777777" w:rsidR="009B662E" w:rsidRPr="00DD32D8" w:rsidRDefault="009B662E" w:rsidP="00D3660F">
            <w:pPr>
              <w:jc w:val="center"/>
              <w:rPr>
                <w:rFonts w:ascii="Times New Roman" w:eastAsia="Times New Roman" w:hAnsi="Times New Roman" w:cs="Times New Roman"/>
                <w:b/>
                <w:bCs/>
                <w:sz w:val="20"/>
                <w:szCs w:val="20"/>
              </w:rPr>
            </w:pPr>
            <w:r w:rsidRPr="00DD32D8">
              <w:rPr>
                <w:rFonts w:ascii="Times New Roman" w:eastAsia="Times New Roman" w:hAnsi="Times New Roman" w:cs="Times New Roman"/>
                <w:b/>
                <w:bCs/>
                <w:sz w:val="20"/>
                <w:szCs w:val="20"/>
              </w:rPr>
              <w:t>Implications for Other Taxpayers</w:t>
            </w:r>
          </w:p>
        </w:tc>
      </w:tr>
      <w:tr w:rsidR="009B662E" w:rsidRPr="00DD32D8" w14:paraId="2701CB16"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40846A4F"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w:t>
            </w:r>
          </w:p>
        </w:tc>
        <w:tc>
          <w:tcPr>
            <w:tcW w:w="1832" w:type="dxa"/>
            <w:tcBorders>
              <w:top w:val="single" w:sz="8" w:space="0" w:color="D9D9D9"/>
              <w:left w:val="single" w:sz="4" w:space="0" w:color="auto"/>
              <w:bottom w:val="single" w:sz="4" w:space="0" w:color="auto"/>
              <w:right w:val="single" w:sz="4" w:space="0" w:color="auto"/>
            </w:tcBorders>
            <w:shd w:val="clear" w:color="auto" w:fill="auto"/>
            <w:vAlign w:val="center"/>
            <w:hideMark/>
          </w:tcPr>
          <w:p w14:paraId="32EF2AD2"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Beca &amp; Serban (2012)</w:t>
            </w:r>
          </w:p>
        </w:tc>
        <w:tc>
          <w:tcPr>
            <w:tcW w:w="1216" w:type="dxa"/>
            <w:tcBorders>
              <w:top w:val="single" w:sz="8" w:space="0" w:color="D9D9D9"/>
              <w:left w:val="single" w:sz="4" w:space="0" w:color="auto"/>
              <w:bottom w:val="single" w:sz="4" w:space="0" w:color="auto"/>
              <w:right w:val="single" w:sz="4" w:space="0" w:color="auto"/>
            </w:tcBorders>
            <w:shd w:val="clear" w:color="auto" w:fill="auto"/>
            <w:vAlign w:val="center"/>
            <w:hideMark/>
          </w:tcPr>
          <w:p w14:paraId="1C4A9721"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Quantitative: Entrepreneurial Index</w:t>
            </w:r>
          </w:p>
        </w:tc>
        <w:tc>
          <w:tcPr>
            <w:tcW w:w="939" w:type="dxa"/>
            <w:tcBorders>
              <w:top w:val="single" w:sz="8" w:space="0" w:color="D9D9D9"/>
              <w:left w:val="single" w:sz="4" w:space="0" w:color="auto"/>
              <w:bottom w:val="single" w:sz="4" w:space="0" w:color="auto"/>
              <w:right w:val="single" w:sz="4" w:space="0" w:color="auto"/>
            </w:tcBorders>
            <w:shd w:val="clear" w:color="auto" w:fill="auto"/>
            <w:vAlign w:val="center"/>
            <w:hideMark/>
          </w:tcPr>
          <w:p w14:paraId="7494827C"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Romania</w:t>
            </w:r>
          </w:p>
        </w:tc>
        <w:tc>
          <w:tcPr>
            <w:tcW w:w="3428" w:type="dxa"/>
            <w:tcBorders>
              <w:top w:val="single" w:sz="8" w:space="0" w:color="D9D9D9"/>
              <w:left w:val="single" w:sz="4" w:space="0" w:color="auto"/>
              <w:bottom w:val="single" w:sz="4" w:space="0" w:color="auto"/>
              <w:right w:val="single" w:sz="4" w:space="0" w:color="auto"/>
            </w:tcBorders>
            <w:shd w:val="clear" w:color="auto" w:fill="auto"/>
            <w:vAlign w:val="center"/>
            <w:hideMark/>
          </w:tcPr>
          <w:p w14:paraId="005EC36A"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428" w:type="dxa"/>
            <w:tcBorders>
              <w:top w:val="single" w:sz="8" w:space="0" w:color="D9D9D9"/>
              <w:left w:val="single" w:sz="4" w:space="0" w:color="auto"/>
              <w:bottom w:val="single" w:sz="4" w:space="0" w:color="auto"/>
              <w:right w:val="single" w:sz="4" w:space="0" w:color="auto"/>
            </w:tcBorders>
            <w:shd w:val="clear" w:color="auto" w:fill="auto"/>
            <w:vAlign w:val="center"/>
            <w:hideMark/>
          </w:tcPr>
          <w:p w14:paraId="4E7B706E" w14:textId="77777777" w:rsidR="009B662E"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BF0B29">
              <w:rPr>
                <w:rFonts w:ascii="Times New Roman" w:eastAsia="Times New Roman" w:hAnsi="Times New Roman" w:cs="Times New Roman"/>
                <w:sz w:val="16"/>
                <w:szCs w:val="16"/>
              </w:rPr>
              <w:t>Shifting</w:t>
            </w:r>
            <w:r>
              <w:rPr>
                <w:rFonts w:ascii="Times New Roman" w:eastAsia="Times New Roman" w:hAnsi="Times New Roman" w:cs="Times New Roman"/>
                <w:sz w:val="16"/>
                <w:szCs w:val="16"/>
              </w:rPr>
              <w:t xml:space="preserve"> legal status</w:t>
            </w:r>
          </w:p>
          <w:p w14:paraId="70950B45" w14:textId="77777777" w:rsidR="009B662E"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BF0B29">
              <w:rPr>
                <w:rFonts w:ascii="Times New Roman" w:eastAsia="Times New Roman" w:hAnsi="Times New Roman" w:cs="Times New Roman"/>
                <w:sz w:val="16"/>
                <w:szCs w:val="16"/>
              </w:rPr>
              <w:t>Suspen</w:t>
            </w:r>
            <w:r>
              <w:rPr>
                <w:rFonts w:ascii="Times New Roman" w:eastAsia="Times New Roman" w:hAnsi="Times New Roman" w:cs="Times New Roman"/>
                <w:sz w:val="16"/>
                <w:szCs w:val="16"/>
              </w:rPr>
              <w:t>ding and doing 'dissolutions'</w:t>
            </w:r>
          </w:p>
          <w:p w14:paraId="20DE4018" w14:textId="77777777" w:rsidR="009B662E" w:rsidRDefault="009B662E" w:rsidP="009B662E">
            <w:pPr>
              <w:pStyle w:val="ListParagraph"/>
              <w:numPr>
                <w:ilvl w:val="0"/>
                <w:numId w:val="1"/>
              </w:numPr>
              <w:ind w:left="169" w:hanging="142"/>
              <w:rPr>
                <w:rFonts w:ascii="Times New Roman" w:eastAsia="Times New Roman" w:hAnsi="Times New Roman" w:cs="Times New Roman"/>
                <w:sz w:val="16"/>
                <w:szCs w:val="16"/>
              </w:rPr>
            </w:pPr>
            <w:r>
              <w:rPr>
                <w:rFonts w:ascii="Times New Roman" w:eastAsia="Times New Roman" w:hAnsi="Times New Roman" w:cs="Times New Roman"/>
                <w:sz w:val="16"/>
                <w:szCs w:val="16"/>
              </w:rPr>
              <w:t>Declaring lower turnover</w:t>
            </w:r>
          </w:p>
          <w:p w14:paraId="094D8D19" w14:textId="77777777" w:rsidR="009B662E" w:rsidRDefault="009B662E" w:rsidP="009B662E">
            <w:pPr>
              <w:pStyle w:val="ListParagraph"/>
              <w:numPr>
                <w:ilvl w:val="0"/>
                <w:numId w:val="1"/>
              </w:numPr>
              <w:ind w:left="169" w:hanging="142"/>
              <w:rPr>
                <w:rFonts w:ascii="Times New Roman" w:eastAsia="Times New Roman" w:hAnsi="Times New Roman" w:cs="Times New Roman"/>
                <w:sz w:val="16"/>
                <w:szCs w:val="16"/>
              </w:rPr>
            </w:pPr>
            <w:r>
              <w:rPr>
                <w:rFonts w:ascii="Times New Roman" w:eastAsia="Times New Roman" w:hAnsi="Times New Roman" w:cs="Times New Roman"/>
                <w:sz w:val="16"/>
                <w:szCs w:val="16"/>
              </w:rPr>
              <w:t>Reducing employees</w:t>
            </w:r>
          </w:p>
          <w:p w14:paraId="7F2AAA48" w14:textId="77777777" w:rsidR="009B662E" w:rsidRPr="00BF0B29"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BF0B29">
              <w:rPr>
                <w:rFonts w:ascii="Times New Roman" w:eastAsia="Times New Roman" w:hAnsi="Times New Roman" w:cs="Times New Roman"/>
                <w:sz w:val="16"/>
                <w:szCs w:val="16"/>
              </w:rPr>
              <w:t>Increasing negative perception of the business environment</w:t>
            </w:r>
          </w:p>
        </w:tc>
        <w:tc>
          <w:tcPr>
            <w:tcW w:w="3428" w:type="dxa"/>
            <w:tcBorders>
              <w:top w:val="single" w:sz="8" w:space="0" w:color="D9D9D9"/>
              <w:left w:val="single" w:sz="4" w:space="0" w:color="auto"/>
              <w:bottom w:val="single" w:sz="4" w:space="0" w:color="auto"/>
              <w:right w:val="single" w:sz="8" w:space="0" w:color="auto"/>
            </w:tcBorders>
            <w:shd w:val="clear" w:color="auto" w:fill="auto"/>
            <w:vAlign w:val="center"/>
            <w:hideMark/>
          </w:tcPr>
          <w:p w14:paraId="22D380D2"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0B81DBFF"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0AD8D9D2"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2</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90410"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Conceic ̧ão et al. (2018)</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DAB30"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Quantitative: A Survival Analysis and the Propensity Score Matching</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D0DF4"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Brazil</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D2859" w14:textId="77777777" w:rsidR="009B662E" w:rsidRPr="00BF0B29" w:rsidRDefault="009B662E" w:rsidP="009B662E">
            <w:pPr>
              <w:pStyle w:val="ListParagraph"/>
              <w:numPr>
                <w:ilvl w:val="0"/>
                <w:numId w:val="2"/>
              </w:numPr>
              <w:ind w:left="172" w:hanging="141"/>
              <w:rPr>
                <w:rFonts w:ascii="Times New Roman" w:eastAsia="Times New Roman" w:hAnsi="Times New Roman" w:cs="Times New Roman"/>
                <w:sz w:val="16"/>
                <w:szCs w:val="16"/>
              </w:rPr>
            </w:pPr>
            <w:r w:rsidRPr="00BF0B29">
              <w:rPr>
                <w:rFonts w:ascii="Times New Roman" w:eastAsia="Times New Roman" w:hAnsi="Times New Roman" w:cs="Times New Roman"/>
                <w:sz w:val="16"/>
                <w:szCs w:val="16"/>
              </w:rPr>
              <w:t>Waiving tax revenue</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1CEF3" w14:textId="77777777" w:rsidR="009B662E"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BF0B29">
              <w:rPr>
                <w:rFonts w:ascii="Times New Roman" w:eastAsia="Times New Roman" w:hAnsi="Times New Roman" w:cs="Times New Roman"/>
                <w:sz w:val="16"/>
                <w:szCs w:val="16"/>
              </w:rPr>
              <w:t xml:space="preserve">Showing faster growth in terms of the number of employees with formal employment contract, the duration of employment relationships, and total </w:t>
            </w:r>
            <w:r>
              <w:rPr>
                <w:rFonts w:ascii="Times New Roman" w:eastAsia="Times New Roman" w:hAnsi="Times New Roman" w:cs="Times New Roman"/>
                <w:sz w:val="16"/>
                <w:szCs w:val="16"/>
              </w:rPr>
              <w:t>salaries</w:t>
            </w:r>
          </w:p>
          <w:p w14:paraId="66AD1A6A" w14:textId="77777777" w:rsidR="009B662E" w:rsidRPr="00BF0B29"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BF0B29">
              <w:rPr>
                <w:rFonts w:ascii="Times New Roman" w:eastAsia="Times New Roman" w:hAnsi="Times New Roman" w:cs="Times New Roman"/>
                <w:sz w:val="16"/>
                <w:szCs w:val="16"/>
              </w:rPr>
              <w:t>Showing lower probabilities of extinction (mortality)</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19DB420E"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3AD1E995"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0FE16F00"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3</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C10AA"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Bird &amp; Wallace (2005)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83668"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Case Study</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BF5CB"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Ukraine and Russia</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1478F" w14:textId="77777777" w:rsidR="009B662E" w:rsidRDefault="009B662E" w:rsidP="009B662E">
            <w:pPr>
              <w:pStyle w:val="ListParagraph"/>
              <w:numPr>
                <w:ilvl w:val="0"/>
                <w:numId w:val="2"/>
              </w:numPr>
              <w:ind w:left="172" w:hanging="141"/>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Decreasing tax</w:t>
            </w:r>
            <w:r>
              <w:rPr>
                <w:rFonts w:ascii="Times New Roman" w:eastAsia="Times New Roman" w:hAnsi="Times New Roman" w:cs="Times New Roman"/>
                <w:sz w:val="16"/>
                <w:szCs w:val="16"/>
              </w:rPr>
              <w:t xml:space="preserve"> revenue collection (Ukraine)</w:t>
            </w:r>
          </w:p>
          <w:p w14:paraId="26D3187C" w14:textId="77777777" w:rsidR="009B662E" w:rsidRDefault="009B662E" w:rsidP="009B662E">
            <w:pPr>
              <w:pStyle w:val="ListParagraph"/>
              <w:numPr>
                <w:ilvl w:val="0"/>
                <w:numId w:val="2"/>
              </w:numPr>
              <w:ind w:left="172" w:hanging="141"/>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Creating major problem</w:t>
            </w:r>
            <w:r>
              <w:rPr>
                <w:rFonts w:ascii="Times New Roman" w:eastAsia="Times New Roman" w:hAnsi="Times New Roman" w:cs="Times New Roman"/>
                <w:sz w:val="16"/>
                <w:szCs w:val="16"/>
              </w:rPr>
              <w:t xml:space="preserve"> for the VAT system (Ukraine)</w:t>
            </w:r>
          </w:p>
          <w:p w14:paraId="0B5F173B" w14:textId="77777777" w:rsidR="009B662E" w:rsidRPr="00DD32D8" w:rsidRDefault="009B662E" w:rsidP="009B662E">
            <w:pPr>
              <w:pStyle w:val="ListParagraph"/>
              <w:numPr>
                <w:ilvl w:val="0"/>
                <w:numId w:val="2"/>
              </w:numPr>
              <w:ind w:left="172" w:hanging="141"/>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Increasing additional work due to additional required registrations and return</w:t>
            </w:r>
            <w:r>
              <w:rPr>
                <w:rFonts w:ascii="Times New Roman" w:eastAsia="Times New Roman" w:hAnsi="Times New Roman" w:cs="Times New Roman"/>
                <w:sz w:val="16"/>
                <w:szCs w:val="16"/>
              </w:rPr>
              <w:t>s</w:t>
            </w:r>
            <w:r w:rsidRPr="00DD32D8">
              <w:rPr>
                <w:rFonts w:ascii="Times New Roman" w:eastAsia="Times New Roman" w:hAnsi="Times New Roman" w:cs="Times New Roman"/>
                <w:sz w:val="16"/>
                <w:szCs w:val="16"/>
              </w:rPr>
              <w:t xml:space="preserve"> (Ukraine)</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ADF2A"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Feeling confused as there are multiple special tax regimes for MSMEs (in Ukraine: turnover tax and local lumpsum tax; in Russia: Single Tax and Uniform Tax)</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E2038F4" w14:textId="77777777" w:rsidR="009B662E" w:rsidRDefault="009B662E" w:rsidP="009B662E">
            <w:pPr>
              <w:pStyle w:val="ListParagraph"/>
              <w:numPr>
                <w:ilvl w:val="0"/>
                <w:numId w:val="1"/>
              </w:numPr>
              <w:ind w:left="177" w:hanging="177"/>
              <w:rPr>
                <w:rFonts w:ascii="Times New Roman" w:eastAsia="Times New Roman" w:hAnsi="Times New Roman" w:cs="Times New Roman"/>
                <w:sz w:val="16"/>
                <w:szCs w:val="16"/>
              </w:rPr>
            </w:pPr>
            <w:r w:rsidRPr="00BF0B29">
              <w:rPr>
                <w:rFonts w:ascii="Times New Roman" w:eastAsia="Times New Roman" w:hAnsi="Times New Roman" w:cs="Times New Roman"/>
                <w:sz w:val="16"/>
                <w:szCs w:val="16"/>
              </w:rPr>
              <w:t>Incentivising higher-income employees and well-informed professionals</w:t>
            </w:r>
            <w:r>
              <w:rPr>
                <w:rFonts w:ascii="Times New Roman" w:eastAsia="Times New Roman" w:hAnsi="Times New Roman" w:cs="Times New Roman"/>
                <w:sz w:val="16"/>
                <w:szCs w:val="16"/>
              </w:rPr>
              <w:t xml:space="preserve"> such as </w:t>
            </w:r>
            <w:r w:rsidRPr="00BF0B29">
              <w:rPr>
                <w:rFonts w:ascii="Times New Roman" w:eastAsia="Times New Roman" w:hAnsi="Times New Roman" w:cs="Times New Roman"/>
                <w:sz w:val="16"/>
                <w:szCs w:val="16"/>
              </w:rPr>
              <w:t>lawyers, engineers and co</w:t>
            </w:r>
            <w:r>
              <w:rPr>
                <w:rFonts w:ascii="Times New Roman" w:eastAsia="Times New Roman" w:hAnsi="Times New Roman" w:cs="Times New Roman"/>
                <w:sz w:val="16"/>
                <w:szCs w:val="16"/>
              </w:rPr>
              <w:t xml:space="preserve">nsultants to become independent </w:t>
            </w:r>
            <w:r w:rsidRPr="00BF0B29">
              <w:rPr>
                <w:rFonts w:ascii="Times New Roman" w:eastAsia="Times New Roman" w:hAnsi="Times New Roman" w:cs="Times New Roman"/>
                <w:sz w:val="16"/>
                <w:szCs w:val="16"/>
              </w:rPr>
              <w:t>contractors</w:t>
            </w:r>
            <w:r>
              <w:rPr>
                <w:rFonts w:ascii="Times New Roman" w:eastAsia="Times New Roman" w:hAnsi="Times New Roman" w:cs="Times New Roman"/>
                <w:sz w:val="16"/>
                <w:szCs w:val="16"/>
              </w:rPr>
              <w:t xml:space="preserve"> </w:t>
            </w:r>
            <w:r w:rsidRPr="00BF0B29">
              <w:rPr>
                <w:rFonts w:ascii="Times New Roman" w:eastAsia="Times New Roman" w:hAnsi="Times New Roman" w:cs="Times New Roman"/>
                <w:sz w:val="16"/>
                <w:szCs w:val="16"/>
              </w:rPr>
              <w:t>/</w:t>
            </w:r>
            <w:r>
              <w:rPr>
                <w:rFonts w:ascii="Times New Roman" w:eastAsia="Times New Roman" w:hAnsi="Times New Roman" w:cs="Times New Roman"/>
                <w:sz w:val="16"/>
                <w:szCs w:val="16"/>
              </w:rPr>
              <w:t xml:space="preserve"> </w:t>
            </w:r>
            <w:r w:rsidRPr="00BF0B29">
              <w:rPr>
                <w:rFonts w:ascii="Times New Roman" w:eastAsia="Times New Roman" w:hAnsi="Times New Roman" w:cs="Times New Roman"/>
                <w:sz w:val="16"/>
                <w:szCs w:val="16"/>
              </w:rPr>
              <w:t>entrepreneurs</w:t>
            </w:r>
            <w:r>
              <w:rPr>
                <w:rFonts w:ascii="Times New Roman" w:eastAsia="Times New Roman" w:hAnsi="Times New Roman" w:cs="Times New Roman"/>
                <w:sz w:val="16"/>
                <w:szCs w:val="16"/>
              </w:rPr>
              <w:t xml:space="preserve"> to enter the system (Ukraine)</w:t>
            </w:r>
          </w:p>
          <w:p w14:paraId="6535DBA7" w14:textId="77777777" w:rsidR="009B662E" w:rsidRDefault="009B662E" w:rsidP="009B662E">
            <w:pPr>
              <w:pStyle w:val="ListParagraph"/>
              <w:numPr>
                <w:ilvl w:val="0"/>
                <w:numId w:val="1"/>
              </w:numPr>
              <w:ind w:left="177" w:hanging="177"/>
              <w:rPr>
                <w:rFonts w:ascii="Times New Roman" w:eastAsia="Times New Roman" w:hAnsi="Times New Roman" w:cs="Times New Roman"/>
                <w:sz w:val="16"/>
                <w:szCs w:val="16"/>
              </w:rPr>
            </w:pPr>
            <w:r w:rsidRPr="00BF0B29">
              <w:rPr>
                <w:rFonts w:ascii="Times New Roman" w:eastAsia="Times New Roman" w:hAnsi="Times New Roman" w:cs="Times New Roman"/>
                <w:sz w:val="16"/>
                <w:szCs w:val="16"/>
              </w:rPr>
              <w:t>Allowing a person to be simultaneously a wage earner (normal) taxpayer and a private entrepreneur for 'moo</w:t>
            </w:r>
            <w:r>
              <w:rPr>
                <w:rFonts w:ascii="Times New Roman" w:eastAsia="Times New Roman" w:hAnsi="Times New Roman" w:cs="Times New Roman"/>
                <w:sz w:val="16"/>
                <w:szCs w:val="16"/>
              </w:rPr>
              <w:t>nlighting' purposes (Ukraine)</w:t>
            </w:r>
          </w:p>
          <w:p w14:paraId="5E388EFA" w14:textId="77777777" w:rsidR="009B662E" w:rsidRPr="00BF0B29" w:rsidRDefault="009B662E" w:rsidP="009B662E">
            <w:pPr>
              <w:pStyle w:val="ListParagraph"/>
              <w:numPr>
                <w:ilvl w:val="0"/>
                <w:numId w:val="1"/>
              </w:numPr>
              <w:ind w:left="177" w:hanging="177"/>
              <w:rPr>
                <w:rFonts w:ascii="Times New Roman" w:eastAsia="Times New Roman" w:hAnsi="Times New Roman" w:cs="Times New Roman"/>
                <w:sz w:val="16"/>
                <w:szCs w:val="16"/>
              </w:rPr>
            </w:pPr>
            <w:r w:rsidRPr="00BF0B29">
              <w:rPr>
                <w:rFonts w:ascii="Times New Roman" w:eastAsia="Times New Roman" w:hAnsi="Times New Roman" w:cs="Times New Roman"/>
                <w:sz w:val="16"/>
                <w:szCs w:val="16"/>
              </w:rPr>
              <w:t>Large firms are likely morphed into entities so that they could be included within the special tax regime (Russia)</w:t>
            </w:r>
          </w:p>
        </w:tc>
      </w:tr>
      <w:tr w:rsidR="009B662E" w:rsidRPr="00DD32D8" w14:paraId="256A8481"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21FACE06"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4</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E8E4D"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Engelschalk (2005)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5FCD0"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Case Study</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06D10"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Georgia, Ukraine, Russia, Albania</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4CCD1" w14:textId="77777777" w:rsidR="009B662E" w:rsidRDefault="009B662E" w:rsidP="009B662E">
            <w:pPr>
              <w:pStyle w:val="ListParagraph"/>
              <w:numPr>
                <w:ilvl w:val="0"/>
                <w:numId w:val="2"/>
              </w:numPr>
              <w:ind w:left="172" w:hanging="141"/>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xml:space="preserve">Creating dispute over a revised </w:t>
            </w:r>
            <w:r>
              <w:rPr>
                <w:rFonts w:ascii="Times New Roman" w:eastAsia="Times New Roman" w:hAnsi="Times New Roman" w:cs="Times New Roman"/>
                <w:sz w:val="16"/>
                <w:szCs w:val="16"/>
              </w:rPr>
              <w:t>threshold (Russia)</w:t>
            </w:r>
          </w:p>
          <w:p w14:paraId="37B23BC7" w14:textId="77777777" w:rsidR="009B662E" w:rsidRDefault="009B662E" w:rsidP="009B662E">
            <w:pPr>
              <w:pStyle w:val="ListParagraph"/>
              <w:numPr>
                <w:ilvl w:val="0"/>
                <w:numId w:val="2"/>
              </w:numPr>
              <w:ind w:left="172" w:hanging="141"/>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Yielding lo</w:t>
            </w:r>
            <w:r>
              <w:rPr>
                <w:rFonts w:ascii="Times New Roman" w:eastAsia="Times New Roman" w:hAnsi="Times New Roman" w:cs="Times New Roman"/>
                <w:sz w:val="16"/>
                <w:szCs w:val="16"/>
              </w:rPr>
              <w:t>w tax revenue (all countries)</w:t>
            </w:r>
          </w:p>
          <w:p w14:paraId="4BAC1091" w14:textId="77777777" w:rsidR="009B662E" w:rsidRPr="00DD32D8" w:rsidRDefault="009B662E" w:rsidP="009B662E">
            <w:pPr>
              <w:pStyle w:val="ListParagraph"/>
              <w:numPr>
                <w:ilvl w:val="0"/>
                <w:numId w:val="2"/>
              </w:numPr>
              <w:ind w:left="172" w:hanging="141"/>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Creating unstable tax system due to frequent revision of the system, unclear definition of activities, creating dispute (Albania)</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46B43" w14:textId="77777777" w:rsidR="009B662E"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No altering the tax behaviour</w:t>
            </w:r>
            <w:r>
              <w:rPr>
                <w:rFonts w:ascii="Times New Roman" w:eastAsia="Times New Roman" w:hAnsi="Times New Roman" w:cs="Times New Roman"/>
                <w:sz w:val="16"/>
                <w:szCs w:val="16"/>
              </w:rPr>
              <w:t xml:space="preserve"> of SME operators </w:t>
            </w:r>
            <w:r w:rsidRPr="00DD32D8">
              <w:rPr>
                <w:rFonts w:ascii="Times New Roman" w:eastAsia="Times New Roman" w:hAnsi="Times New Roman" w:cs="Times New Roman"/>
                <w:sz w:val="16"/>
                <w:szCs w:val="16"/>
              </w:rPr>
              <w:t>(all countrie</w:t>
            </w:r>
            <w:r>
              <w:rPr>
                <w:rFonts w:ascii="Times New Roman" w:eastAsia="Times New Roman" w:hAnsi="Times New Roman" w:cs="Times New Roman"/>
                <w:sz w:val="16"/>
                <w:szCs w:val="16"/>
              </w:rPr>
              <w:t>s)</w:t>
            </w:r>
          </w:p>
          <w:p w14:paraId="7B93A1FB"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Incentivising the possibility of tax shopping between the unified tax and the fixed tax (Ukraine)</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9BA26AC" w14:textId="77777777" w:rsidR="009B662E" w:rsidRPr="00DD32D8" w:rsidRDefault="009B662E" w:rsidP="009B662E">
            <w:pPr>
              <w:pStyle w:val="ListParagraph"/>
              <w:numPr>
                <w:ilvl w:val="0"/>
                <w:numId w:val="1"/>
              </w:numPr>
              <w:ind w:left="177" w:hanging="177"/>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Large businesses are divested themselves to certain smaller operations (Ukraine)</w:t>
            </w:r>
          </w:p>
        </w:tc>
      </w:tr>
      <w:tr w:rsidR="009B662E" w:rsidRPr="00DD32D8" w14:paraId="49372910"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026A118C"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5</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FE2AE"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Beca &amp; Cozmei (2014)</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7F73E"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Comparative Analysis</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4E1AF"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Romania</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2E072"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96881"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Increasing the number of MSMEs</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6DAF6B3"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0AFFDBC9"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642F245A"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6</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26CDB"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Piza (2018)</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6F76F"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Quantitative Regression</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F2A21"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Brazil</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FEE6E"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AE5E0"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Not affecting formalisation rates</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7F19C23"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0041C464"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149F653F"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7</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BD058"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Dolgih et al. (2015)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48B1E"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Qualitative and Quantitative Case Study</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A0538"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Russia</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710FB"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34CA5"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Not incentivising individual taxpayers to move to the new system due to weak competitiveness compared to the uniform tax</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0301926"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771193C2"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7617CDEC"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lastRenderedPageBreak/>
              <w:t>8</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3CD47"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Araujo-Bonjean &amp; Chambas (2005)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6C5ED"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Case Study</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40A95"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Benin, Burkina Faso</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6EF22" w14:textId="77777777" w:rsidR="009B662E" w:rsidRDefault="009B662E" w:rsidP="009B662E">
            <w:pPr>
              <w:pStyle w:val="ListParagraph"/>
              <w:numPr>
                <w:ilvl w:val="0"/>
                <w:numId w:val="2"/>
              </w:numPr>
              <w:ind w:left="172" w:hanging="141"/>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Creating discussions between tax authoritie</w:t>
            </w:r>
            <w:r>
              <w:rPr>
                <w:rFonts w:ascii="Times New Roman" w:eastAsia="Times New Roman" w:hAnsi="Times New Roman" w:cs="Times New Roman"/>
                <w:sz w:val="16"/>
                <w:szCs w:val="16"/>
              </w:rPr>
              <w:t xml:space="preserve">s and MSMEs (which are prone to </w:t>
            </w:r>
            <w:r w:rsidRPr="00DD32D8">
              <w:rPr>
                <w:rFonts w:ascii="Times New Roman" w:eastAsia="Times New Roman" w:hAnsi="Times New Roman" w:cs="Times New Roman"/>
                <w:sz w:val="16"/>
                <w:szCs w:val="16"/>
              </w:rPr>
              <w:t>discretionary decisions and corruption) due to uncer</w:t>
            </w:r>
            <w:r>
              <w:rPr>
                <w:rFonts w:ascii="Times New Roman" w:eastAsia="Times New Roman" w:hAnsi="Times New Roman" w:cs="Times New Roman"/>
                <w:sz w:val="16"/>
                <w:szCs w:val="16"/>
              </w:rPr>
              <w:t>tainty and complexity (Benin)</w:t>
            </w:r>
          </w:p>
          <w:p w14:paraId="4560F90A" w14:textId="77777777" w:rsidR="009B662E" w:rsidRPr="00DD32D8" w:rsidRDefault="009B662E" w:rsidP="009B662E">
            <w:pPr>
              <w:pStyle w:val="ListParagraph"/>
              <w:numPr>
                <w:ilvl w:val="0"/>
                <w:numId w:val="2"/>
              </w:numPr>
              <w:ind w:left="172" w:hanging="141"/>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Yielding low tax revenue (all countries)</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EE10E"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B4CA98E"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0783BEFA"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785E7E52"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9</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111F0"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Rocha (2018)</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A11A8"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Quantitative Regression</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44255"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Brazil</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18AB9"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3BEDD"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xml:space="preserve">Increasing formalisation rates (from existing informal businesses), but not </w:t>
            </w:r>
            <w:r>
              <w:rPr>
                <w:rFonts w:ascii="Times New Roman" w:eastAsia="Times New Roman" w:hAnsi="Times New Roman" w:cs="Times New Roman"/>
                <w:sz w:val="16"/>
                <w:szCs w:val="16"/>
              </w:rPr>
              <w:t>i</w:t>
            </w:r>
            <w:r w:rsidRPr="00DD32D8">
              <w:rPr>
                <w:rFonts w:ascii="Times New Roman" w:eastAsia="Times New Roman" w:hAnsi="Times New Roman" w:cs="Times New Roman"/>
                <w:sz w:val="16"/>
                <w:szCs w:val="16"/>
              </w:rPr>
              <w:t>ncreasing creation of new formal business nor imposing greater formal firm survival</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D5DEE17"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2E7C7EA6"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64422F65"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10</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126D5"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Fajnzylber et al. (2011)</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B9DDC"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Quantitative Regression</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3CAA7"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Brazil</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23852"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7587E" w14:textId="77777777" w:rsidR="009B662E"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I</w:t>
            </w:r>
            <w:r>
              <w:rPr>
                <w:rFonts w:ascii="Times New Roman" w:eastAsia="Times New Roman" w:hAnsi="Times New Roman" w:cs="Times New Roman"/>
                <w:sz w:val="16"/>
                <w:szCs w:val="16"/>
              </w:rPr>
              <w:t>ncreasing formalisation rates</w:t>
            </w:r>
          </w:p>
          <w:p w14:paraId="200A7DD1"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Increasing revenue and profits, fixed asset and employments</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4D897C90"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66C07518"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79137414"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11</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911EE"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Dâmaso &amp; Martins (2015)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1E29A"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Questionnaire applied to 315 chartered accountants</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F13A0"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Portugal</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0A743"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D696B"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Chartered accountants did not recommend the special tax regime because the tax system applied unfair coefficients, no simplifications and increased complexity in the relationship with tax authorities</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7F1EA91"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45F62522"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0059114F"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12</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9B347"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Bruhn &amp; Loeprick (2016)</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F91BF"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Quantitative Regression</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72447"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Georgia</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7941B"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9A141" w14:textId="77777777" w:rsidR="009B662E"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Increasing registered micro-businesses during the first year of the reform,</w:t>
            </w:r>
            <w:r>
              <w:rPr>
                <w:rFonts w:ascii="Times New Roman" w:eastAsia="Times New Roman" w:hAnsi="Times New Roman" w:cs="Times New Roman"/>
                <w:sz w:val="16"/>
                <w:szCs w:val="16"/>
              </w:rPr>
              <w:t xml:space="preserve"> but not in subsequent years.</w:t>
            </w:r>
          </w:p>
          <w:p w14:paraId="501C2576"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Not affecting formal firm creation in any year.</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2D5FA74"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366F0EFA"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0EFB5FE6"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13</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AA629"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Agostini et al. (2018)</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56829"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Quantitative Regression</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9AAA4"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Chile</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3FC77"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9457D"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Increasing the registered MSMEs in the regime</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4FDB9850" w14:textId="77777777" w:rsidR="009B662E" w:rsidRPr="00DD32D8" w:rsidRDefault="009B662E" w:rsidP="009B662E">
            <w:pPr>
              <w:pStyle w:val="ListParagraph"/>
              <w:numPr>
                <w:ilvl w:val="0"/>
                <w:numId w:val="1"/>
              </w:numPr>
              <w:ind w:left="177" w:hanging="177"/>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Incentivising high-income taxpayers to apply the regime, and high-income taxpayers are more likely to hold a portfolio of businesses filing taxes under STRs.</w:t>
            </w:r>
          </w:p>
        </w:tc>
      </w:tr>
      <w:tr w:rsidR="009B662E" w:rsidRPr="00DD32D8" w14:paraId="1E21F180"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5D9E6576"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14</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73523"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Kamba-Kibatshi (2016)</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E4E50"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Case Study</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F41A8"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Congo</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6A7C4"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EECF6"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Increasing the registered MSMEs in the regime</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54355C47"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53EBA414"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173A8FF2"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15</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10597"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Nyamwanza et al (2014)</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0410D"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xml:space="preserve">Quantitative study from questionnaires data </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C8FB3"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Zimbabwe</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1A928"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34949"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Not affecting MSMEs because the regime was still perceived as too high</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563F429F"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044D6F9B"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120276B3"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16</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065EE"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Pashev (2006)</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31814"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Case Study</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F8F14"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Bulgaria</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0EDF9" w14:textId="77777777" w:rsidR="009B662E" w:rsidRDefault="009B662E" w:rsidP="009B662E">
            <w:pPr>
              <w:pStyle w:val="ListParagraph"/>
              <w:numPr>
                <w:ilvl w:val="0"/>
                <w:numId w:val="2"/>
              </w:numPr>
              <w:ind w:left="172" w:hanging="141"/>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Imp</w:t>
            </w:r>
            <w:r>
              <w:rPr>
                <w:rFonts w:ascii="Times New Roman" w:eastAsia="Times New Roman" w:hAnsi="Times New Roman" w:cs="Times New Roman"/>
                <w:sz w:val="16"/>
                <w:szCs w:val="16"/>
              </w:rPr>
              <w:t xml:space="preserve">osing the system design that is </w:t>
            </w:r>
            <w:r w:rsidRPr="00DD32D8">
              <w:rPr>
                <w:rFonts w:ascii="Times New Roman" w:eastAsia="Times New Roman" w:hAnsi="Times New Roman" w:cs="Times New Roman"/>
                <w:sz w:val="16"/>
                <w:szCs w:val="16"/>
              </w:rPr>
              <w:t>susceptible to everlasting adjus</w:t>
            </w:r>
            <w:r>
              <w:rPr>
                <w:rFonts w:ascii="Times New Roman" w:eastAsia="Times New Roman" w:hAnsi="Times New Roman" w:cs="Times New Roman"/>
                <w:sz w:val="16"/>
                <w:szCs w:val="16"/>
              </w:rPr>
              <w:t>tments and growing complexity</w:t>
            </w:r>
          </w:p>
          <w:p w14:paraId="08363F1B" w14:textId="77777777" w:rsidR="009B662E" w:rsidRDefault="009B662E" w:rsidP="009B662E">
            <w:pPr>
              <w:pStyle w:val="ListParagraph"/>
              <w:numPr>
                <w:ilvl w:val="0"/>
                <w:numId w:val="2"/>
              </w:numPr>
              <w:ind w:left="172" w:hanging="141"/>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Creating ar</w:t>
            </w:r>
            <w:r>
              <w:rPr>
                <w:rFonts w:ascii="Times New Roman" w:eastAsia="Times New Roman" w:hAnsi="Times New Roman" w:cs="Times New Roman"/>
                <w:sz w:val="16"/>
                <w:szCs w:val="16"/>
              </w:rPr>
              <w:t>ound 900 rates in seven years</w:t>
            </w:r>
          </w:p>
          <w:p w14:paraId="241F9387" w14:textId="77777777" w:rsidR="009B662E" w:rsidRDefault="009B662E" w:rsidP="009B662E">
            <w:pPr>
              <w:pStyle w:val="ListParagraph"/>
              <w:numPr>
                <w:ilvl w:val="0"/>
                <w:numId w:val="2"/>
              </w:numPr>
              <w:ind w:left="172" w:hanging="141"/>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Entailing higher enforcement because inspectors need to verify compliance with the corporate income legislation</w:t>
            </w:r>
          </w:p>
          <w:p w14:paraId="6A6B55AB" w14:textId="77777777" w:rsidR="009B662E" w:rsidRPr="00DD32D8" w:rsidRDefault="009B662E" w:rsidP="009B662E">
            <w:pPr>
              <w:pStyle w:val="ListParagraph"/>
              <w:numPr>
                <w:ilvl w:val="0"/>
                <w:numId w:val="2"/>
              </w:numPr>
              <w:ind w:left="172" w:hanging="141"/>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Imposing significant legislative and policy-making cost of its continual amendments</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260BB"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Not reducing the accounting costs, because MSMEs still needed to record net income according to the provisions of the accountancy law</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605B714"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5133E135"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29BF5205"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17</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A52F3"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Monteiro &amp; Assunção (2012)</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CF28B"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Quantitative Regression</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19629"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Brazil</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A90A9"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CA792"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Increasing formalisation rates, only for retail sectors</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0D354F67"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24109C43"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4E539056"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18</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50429"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Dube &amp; Casale (2017)</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D9FB0"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Mixed-methods approach</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41A72"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Zimbabwe</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77CC0"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9BCD2" w14:textId="77777777" w:rsidR="009B662E"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Not affecting MSMEs as the tax regime is high</w:t>
            </w:r>
            <w:r>
              <w:rPr>
                <w:rFonts w:ascii="Times New Roman" w:eastAsia="Times New Roman" w:hAnsi="Times New Roman" w:cs="Times New Roman"/>
                <w:sz w:val="16"/>
                <w:szCs w:val="16"/>
              </w:rPr>
              <w:t>ly regressive and inequitable</w:t>
            </w:r>
          </w:p>
          <w:p w14:paraId="6B3DB3C8"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lastRenderedPageBreak/>
              <w:t>Increasing perceptions that the regime was unfair and resulted in low tax morale due to selective enforcement of the tax regime</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926E449"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lastRenderedPageBreak/>
              <w:t> </w:t>
            </w:r>
          </w:p>
        </w:tc>
      </w:tr>
      <w:tr w:rsidR="009B662E" w:rsidRPr="00DD32D8" w14:paraId="2D3B2A26"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2C4784B7"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19</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B3A2B"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Dube (2018)</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36DB7"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Mixed-methods approach</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50D7A"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Zimbabwe</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2CEE0"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71AC6"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Increasing perceptions that the regime was unfair and resulted in low tax morale due to selective enforcement of the tax regime, corruptions of tax officials, 'committees and touts</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12BB0F00"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1EAFEA2E"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51CCC1A8"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20</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E194E"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Dube &amp; Casale (2016)</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DA5EA"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Case Study</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30762"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Ghana, Tanzania, Zambia and Zimbabwe</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EFA5E" w14:textId="77777777" w:rsidR="009B662E" w:rsidRDefault="009B662E" w:rsidP="009B662E">
            <w:pPr>
              <w:pStyle w:val="ListParagraph"/>
              <w:numPr>
                <w:ilvl w:val="0"/>
                <w:numId w:val="2"/>
              </w:numPr>
              <w:ind w:left="172" w:hanging="141"/>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Yielding lo</w:t>
            </w:r>
            <w:r>
              <w:rPr>
                <w:rFonts w:ascii="Times New Roman" w:eastAsia="Times New Roman" w:hAnsi="Times New Roman" w:cs="Times New Roman"/>
                <w:sz w:val="16"/>
                <w:szCs w:val="16"/>
              </w:rPr>
              <w:t>w tax revenue (all countries)</w:t>
            </w:r>
          </w:p>
          <w:p w14:paraId="6A37B1BA" w14:textId="77777777" w:rsidR="009B662E" w:rsidRDefault="009B662E" w:rsidP="009B662E">
            <w:pPr>
              <w:pStyle w:val="ListParagraph"/>
              <w:numPr>
                <w:ilvl w:val="0"/>
                <w:numId w:val="2"/>
              </w:numPr>
              <w:ind w:left="172" w:hanging="141"/>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Incentivising opportunities to utilise associat</w:t>
            </w:r>
            <w:r>
              <w:rPr>
                <w:rFonts w:ascii="Times New Roman" w:eastAsia="Times New Roman" w:hAnsi="Times New Roman" w:cs="Times New Roman"/>
                <w:sz w:val="16"/>
                <w:szCs w:val="16"/>
              </w:rPr>
              <w:t>ions to collect taxes (Ghana)</w:t>
            </w:r>
          </w:p>
          <w:p w14:paraId="75AA14A5" w14:textId="77777777" w:rsidR="009B662E" w:rsidRPr="00DD32D8" w:rsidRDefault="009B662E" w:rsidP="009B662E">
            <w:pPr>
              <w:pStyle w:val="ListParagraph"/>
              <w:numPr>
                <w:ilvl w:val="0"/>
                <w:numId w:val="2"/>
              </w:numPr>
              <w:ind w:left="172" w:hanging="141"/>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xml:space="preserve">Creating opportunities to utilise block management system (Tanzania) </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6E33F"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Not affecting MSMEs because the tax regime systems are still perceived as inequitable to formal sector taxation and that they tend to be regressive due to the lack of minimum thresholds, the use of flat rates, and the reliance on presumed income. (Zimbabwe)</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CA8B18A"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4CB9EF65"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5DB7A1AE"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21</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2682D"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Memon (2013)</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369A2"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Case Study</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812D1"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Pakistan</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6A0C8" w14:textId="77777777" w:rsidR="009B662E" w:rsidRPr="00DD32D8" w:rsidRDefault="009B662E" w:rsidP="009B662E">
            <w:pPr>
              <w:pStyle w:val="ListParagraph"/>
              <w:numPr>
                <w:ilvl w:val="0"/>
                <w:numId w:val="2"/>
              </w:numPr>
              <w:ind w:left="172" w:hanging="141"/>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Not affecting tax revenue</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31616"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Not affecting MSMEs: An insignificant increase in number of returns filed and tax paid by non-salaried class and no considerable increase in taxpayer registration</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F132687"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464D3E29"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1421D454"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22</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B5DCC"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Serbinenko (2016)</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A5FA9"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Qualitative and quantitative analysis</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4964E"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Ukraine</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72C37"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819D0"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Not affecting MSMEs: not reducing compliance costs, inefficient, and unfair</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15E3269E"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1A095E0F"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1C567EAB"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23</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61C72"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Shonhiwa &amp; Murangwa (2018)</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E0F57"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Qualitative: In-depth interviews and focus group discussions</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F52DA"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Zimbabwe</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A2B4C"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BBBA2"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xml:space="preserve">Not affecting MSMEs: because </w:t>
            </w:r>
            <w:r>
              <w:rPr>
                <w:rFonts w:ascii="Times New Roman" w:eastAsia="Times New Roman" w:hAnsi="Times New Roman" w:cs="Times New Roman"/>
                <w:sz w:val="16"/>
                <w:szCs w:val="16"/>
              </w:rPr>
              <w:t xml:space="preserve">they </w:t>
            </w:r>
            <w:r w:rsidRPr="00DD32D8">
              <w:rPr>
                <w:rFonts w:ascii="Times New Roman" w:eastAsia="Times New Roman" w:hAnsi="Times New Roman" w:cs="Times New Roman"/>
                <w:sz w:val="16"/>
                <w:szCs w:val="16"/>
              </w:rPr>
              <w:t>believe that the government abused tax money, the state did not plough back any of the collected taxes into the informal sector; and the informal sector did not generate enough money to pay taxes.</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1039F219"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50AC4343"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746A2908"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24</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511F7"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Zivanai et al. (2014)</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F0685"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Questionnaires, interviews and observations</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A1BB1"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Zimbabwe</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54D6A"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79593"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Not affecting MSMEs: they think they still pay other taxes and levies: toll gate fees, road licenses and others; presumptive tax is perceived as not equitable by commuter operators; presumptive tax negatively affects the viability of commuter operators</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72A21FD6"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502D6727"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7B9D382E"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25</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12A8E"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Camille &amp; Yona (2016)</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A6E84"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Quantitative Regression</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E8B22"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Seychelles</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C4E45"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3B2BD" w14:textId="77777777" w:rsidR="009B662E" w:rsidRPr="00DD32D8" w:rsidRDefault="009B662E" w:rsidP="009B662E">
            <w:pPr>
              <w:pStyle w:val="ListParagraph"/>
              <w:numPr>
                <w:ilvl w:val="0"/>
                <w:numId w:val="1"/>
              </w:numPr>
              <w:ind w:left="169" w:hanging="142"/>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Not affecting compliance of MSMEs</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372CE3D6"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09957204" w14:textId="77777777" w:rsidTr="009B662E">
        <w:trPr>
          <w:trHeight w:val="20"/>
        </w:trPr>
        <w:tc>
          <w:tcPr>
            <w:tcW w:w="461" w:type="dxa"/>
            <w:tcBorders>
              <w:top w:val="single" w:sz="8" w:space="0" w:color="D9D9D9"/>
              <w:left w:val="single" w:sz="8" w:space="0" w:color="auto"/>
              <w:bottom w:val="single" w:sz="8" w:space="0" w:color="D9D9D9"/>
              <w:right w:val="nil"/>
            </w:tcBorders>
            <w:shd w:val="clear" w:color="auto" w:fill="auto"/>
            <w:vAlign w:val="center"/>
            <w:hideMark/>
          </w:tcPr>
          <w:p w14:paraId="78DB17E9" w14:textId="77777777" w:rsidR="009B662E" w:rsidRPr="00DD32D8" w:rsidRDefault="009B662E" w:rsidP="00D3660F">
            <w:pPr>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26</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13032"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Joshi &amp; Ayee (2008)</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2AD07"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Case Study</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4CE99"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Ghana, Peru</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66A05" w14:textId="77777777" w:rsidR="009B662E" w:rsidRPr="00DD32D8" w:rsidRDefault="009B662E" w:rsidP="009B662E">
            <w:pPr>
              <w:pStyle w:val="ListParagraph"/>
              <w:numPr>
                <w:ilvl w:val="0"/>
                <w:numId w:val="2"/>
              </w:numPr>
              <w:ind w:left="172" w:hanging="141"/>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Incentivising opportunities to utilise associations to collect taxes (both countries)</w:t>
            </w:r>
          </w:p>
          <w:p w14:paraId="2E4E22A0" w14:textId="77777777" w:rsidR="009B662E" w:rsidRPr="00DD32D8" w:rsidRDefault="009B662E" w:rsidP="009B662E">
            <w:pPr>
              <w:pStyle w:val="ListParagraph"/>
              <w:numPr>
                <w:ilvl w:val="0"/>
                <w:numId w:val="2"/>
              </w:numPr>
              <w:ind w:left="172" w:hanging="141"/>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Gaining limited additional revenues (Peru)</w:t>
            </w:r>
          </w:p>
        </w:tc>
        <w:tc>
          <w:tcPr>
            <w:tcW w:w="34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32D25"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428"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57378FD3" w14:textId="77777777" w:rsidR="009B662E" w:rsidRPr="00DD32D8" w:rsidRDefault="009B662E" w:rsidP="00D3660F">
            <w:pPr>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0E831E90" w14:textId="77777777" w:rsidTr="009B662E">
        <w:trPr>
          <w:trHeight w:val="20"/>
        </w:trPr>
        <w:tc>
          <w:tcPr>
            <w:tcW w:w="461" w:type="dxa"/>
            <w:tcBorders>
              <w:top w:val="single" w:sz="8" w:space="0" w:color="D9D9D9"/>
              <w:left w:val="single" w:sz="8" w:space="0" w:color="auto"/>
              <w:bottom w:val="single" w:sz="8" w:space="0" w:color="auto"/>
              <w:right w:val="nil"/>
            </w:tcBorders>
            <w:shd w:val="clear" w:color="auto" w:fill="auto"/>
            <w:vAlign w:val="center"/>
          </w:tcPr>
          <w:p w14:paraId="4543A732" w14:textId="77777777" w:rsidR="009B662E" w:rsidRPr="00DD32D8" w:rsidRDefault="009B662E" w:rsidP="00D3660F">
            <w:pPr>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tc>
        <w:tc>
          <w:tcPr>
            <w:tcW w:w="1832" w:type="dxa"/>
            <w:tcBorders>
              <w:top w:val="single" w:sz="4" w:space="0" w:color="auto"/>
              <w:left w:val="single" w:sz="4" w:space="0" w:color="auto"/>
              <w:bottom w:val="single" w:sz="8" w:space="0" w:color="auto"/>
              <w:right w:val="single" w:sz="4" w:space="0" w:color="auto"/>
            </w:tcBorders>
            <w:shd w:val="clear" w:color="auto" w:fill="auto"/>
            <w:vAlign w:val="center"/>
          </w:tcPr>
          <w:p w14:paraId="4F71F54A" w14:textId="77777777" w:rsidR="009B662E" w:rsidRPr="00DD32D8" w:rsidRDefault="009B662E" w:rsidP="00D3660F">
            <w:pPr>
              <w:rPr>
                <w:rFonts w:ascii="Times New Roman" w:eastAsia="Times New Roman" w:hAnsi="Times New Roman" w:cs="Times New Roman"/>
                <w:sz w:val="16"/>
                <w:szCs w:val="16"/>
              </w:rPr>
            </w:pPr>
            <w:r>
              <w:rPr>
                <w:rFonts w:ascii="Times New Roman" w:eastAsia="Times New Roman" w:hAnsi="Times New Roman" w:cs="Times New Roman"/>
                <w:sz w:val="16"/>
                <w:szCs w:val="16"/>
              </w:rPr>
              <w:t>Abdellatif et al. (2021)</w:t>
            </w:r>
          </w:p>
        </w:tc>
        <w:tc>
          <w:tcPr>
            <w:tcW w:w="1216" w:type="dxa"/>
            <w:tcBorders>
              <w:top w:val="single" w:sz="4" w:space="0" w:color="auto"/>
              <w:left w:val="single" w:sz="4" w:space="0" w:color="auto"/>
              <w:bottom w:val="single" w:sz="8" w:space="0" w:color="auto"/>
              <w:right w:val="single" w:sz="4" w:space="0" w:color="auto"/>
            </w:tcBorders>
            <w:shd w:val="clear" w:color="auto" w:fill="auto"/>
            <w:vAlign w:val="center"/>
          </w:tcPr>
          <w:p w14:paraId="61DC06B3" w14:textId="77777777" w:rsidR="009B662E" w:rsidRPr="00DD32D8" w:rsidRDefault="009B662E" w:rsidP="00D3660F">
            <w:pPr>
              <w:rPr>
                <w:rFonts w:ascii="Times New Roman" w:eastAsia="Times New Roman" w:hAnsi="Times New Roman" w:cs="Times New Roman"/>
                <w:sz w:val="16"/>
                <w:szCs w:val="16"/>
              </w:rPr>
            </w:pPr>
            <w:r>
              <w:rPr>
                <w:rFonts w:ascii="Times New Roman" w:eastAsia="Times New Roman" w:hAnsi="Times New Roman" w:cs="Times New Roman"/>
                <w:sz w:val="16"/>
                <w:szCs w:val="16"/>
              </w:rPr>
              <w:t>Case Study</w:t>
            </w:r>
          </w:p>
        </w:tc>
        <w:tc>
          <w:tcPr>
            <w:tcW w:w="939" w:type="dxa"/>
            <w:tcBorders>
              <w:top w:val="single" w:sz="4" w:space="0" w:color="auto"/>
              <w:left w:val="single" w:sz="4" w:space="0" w:color="auto"/>
              <w:bottom w:val="single" w:sz="8" w:space="0" w:color="auto"/>
              <w:right w:val="single" w:sz="4" w:space="0" w:color="auto"/>
            </w:tcBorders>
            <w:shd w:val="clear" w:color="auto" w:fill="auto"/>
            <w:vAlign w:val="center"/>
          </w:tcPr>
          <w:p w14:paraId="50F9F3AB" w14:textId="77777777" w:rsidR="009B662E" w:rsidRPr="00DD32D8" w:rsidRDefault="009B662E" w:rsidP="00D3660F">
            <w:pPr>
              <w:rPr>
                <w:rFonts w:ascii="Times New Roman" w:eastAsia="Times New Roman" w:hAnsi="Times New Roman" w:cs="Times New Roman"/>
                <w:sz w:val="16"/>
                <w:szCs w:val="16"/>
              </w:rPr>
            </w:pPr>
            <w:r>
              <w:rPr>
                <w:rFonts w:ascii="Times New Roman" w:eastAsia="Times New Roman" w:hAnsi="Times New Roman" w:cs="Times New Roman"/>
                <w:sz w:val="16"/>
                <w:szCs w:val="16"/>
              </w:rPr>
              <w:t>Egypt</w:t>
            </w:r>
          </w:p>
        </w:tc>
        <w:tc>
          <w:tcPr>
            <w:tcW w:w="3428" w:type="dxa"/>
            <w:tcBorders>
              <w:top w:val="single" w:sz="4" w:space="0" w:color="auto"/>
              <w:left w:val="single" w:sz="4" w:space="0" w:color="auto"/>
              <w:bottom w:val="single" w:sz="8" w:space="0" w:color="auto"/>
              <w:right w:val="single" w:sz="4" w:space="0" w:color="auto"/>
            </w:tcBorders>
            <w:shd w:val="clear" w:color="auto" w:fill="auto"/>
            <w:vAlign w:val="center"/>
          </w:tcPr>
          <w:p w14:paraId="2005BD84" w14:textId="77777777" w:rsidR="009B662E" w:rsidRDefault="009B662E" w:rsidP="009B662E">
            <w:pPr>
              <w:pStyle w:val="ListParagraph"/>
              <w:numPr>
                <w:ilvl w:val="0"/>
                <w:numId w:val="3"/>
              </w:numPr>
              <w:ind w:left="176" w:hanging="141"/>
              <w:rPr>
                <w:rFonts w:ascii="Times New Roman" w:eastAsia="Times New Roman" w:hAnsi="Times New Roman" w:cs="Times New Roman"/>
                <w:sz w:val="16"/>
                <w:szCs w:val="16"/>
              </w:rPr>
            </w:pPr>
            <w:r>
              <w:rPr>
                <w:rFonts w:ascii="Times New Roman" w:eastAsia="Times New Roman" w:hAnsi="Times New Roman" w:cs="Times New Roman"/>
                <w:sz w:val="16"/>
                <w:szCs w:val="16"/>
              </w:rPr>
              <w:t>S</w:t>
            </w:r>
            <w:r w:rsidRPr="0096579B">
              <w:rPr>
                <w:rFonts w:ascii="Times New Roman" w:eastAsia="Times New Roman" w:hAnsi="Times New Roman" w:cs="Times New Roman"/>
                <w:sz w:val="16"/>
                <w:szCs w:val="16"/>
              </w:rPr>
              <w:t>implif</w:t>
            </w:r>
            <w:r>
              <w:rPr>
                <w:rFonts w:ascii="Times New Roman" w:eastAsia="Times New Roman" w:hAnsi="Times New Roman" w:cs="Times New Roman"/>
                <w:sz w:val="16"/>
                <w:szCs w:val="16"/>
              </w:rPr>
              <w:t>ying</w:t>
            </w:r>
            <w:r w:rsidRPr="0096579B">
              <w:rPr>
                <w:rFonts w:ascii="Times New Roman" w:eastAsia="Times New Roman" w:hAnsi="Times New Roman" w:cs="Times New Roman"/>
                <w:sz w:val="16"/>
                <w:szCs w:val="16"/>
              </w:rPr>
              <w:t xml:space="preserve"> tax compliance procedures but is limited only to</w:t>
            </w:r>
            <w:r>
              <w:rPr>
                <w:rFonts w:ascii="Times New Roman" w:eastAsia="Times New Roman" w:hAnsi="Times New Roman" w:cs="Times New Roman"/>
                <w:sz w:val="16"/>
                <w:szCs w:val="16"/>
              </w:rPr>
              <w:t xml:space="preserve"> </w:t>
            </w:r>
            <w:r w:rsidRPr="0096579B">
              <w:rPr>
                <w:rFonts w:ascii="Times New Roman" w:eastAsia="Times New Roman" w:hAnsi="Times New Roman" w:cs="Times New Roman"/>
                <w:sz w:val="16"/>
                <w:szCs w:val="16"/>
              </w:rPr>
              <w:t>MSMEs registered with the MSME authority</w:t>
            </w:r>
          </w:p>
          <w:p w14:paraId="174434FE" w14:textId="77777777" w:rsidR="009B662E" w:rsidRPr="0096579B" w:rsidRDefault="009B662E" w:rsidP="009B662E">
            <w:pPr>
              <w:pStyle w:val="ListParagraph"/>
              <w:numPr>
                <w:ilvl w:val="0"/>
                <w:numId w:val="3"/>
              </w:numPr>
              <w:ind w:left="176" w:hanging="141"/>
              <w:rPr>
                <w:rFonts w:ascii="Times New Roman" w:eastAsia="Times New Roman" w:hAnsi="Times New Roman" w:cs="Times New Roman"/>
                <w:sz w:val="16"/>
                <w:szCs w:val="16"/>
              </w:rPr>
            </w:pPr>
            <w:r>
              <w:rPr>
                <w:rFonts w:ascii="Times New Roman" w:eastAsia="Times New Roman" w:hAnsi="Times New Roman" w:cs="Times New Roman"/>
                <w:sz w:val="16"/>
                <w:szCs w:val="16"/>
              </w:rPr>
              <w:t>Reducing</w:t>
            </w:r>
            <w:r w:rsidRPr="0096579B">
              <w:rPr>
                <w:rFonts w:ascii="Times New Roman" w:eastAsia="Times New Roman" w:hAnsi="Times New Roman" w:cs="Times New Roman"/>
                <w:sz w:val="16"/>
                <w:szCs w:val="16"/>
              </w:rPr>
              <w:t xml:space="preserve"> tax revenue collected from MSMEs</w:t>
            </w:r>
            <w:r>
              <w:rPr>
                <w:rFonts w:ascii="Times New Roman" w:eastAsia="Times New Roman" w:hAnsi="Times New Roman" w:cs="Times New Roman"/>
                <w:sz w:val="16"/>
                <w:szCs w:val="16"/>
              </w:rPr>
              <w:t xml:space="preserve"> </w:t>
            </w:r>
            <w:r w:rsidRPr="0096579B">
              <w:rPr>
                <w:rFonts w:ascii="Times New Roman" w:eastAsia="Times New Roman" w:hAnsi="Times New Roman" w:cs="Times New Roman"/>
                <w:sz w:val="16"/>
                <w:szCs w:val="16"/>
              </w:rPr>
              <w:t>which represents a tax expenditure arising from the MSME regime</w:t>
            </w:r>
          </w:p>
        </w:tc>
        <w:tc>
          <w:tcPr>
            <w:tcW w:w="3428" w:type="dxa"/>
            <w:tcBorders>
              <w:top w:val="single" w:sz="4" w:space="0" w:color="auto"/>
              <w:left w:val="single" w:sz="4" w:space="0" w:color="auto"/>
              <w:bottom w:val="single" w:sz="8" w:space="0" w:color="auto"/>
              <w:right w:val="single" w:sz="4" w:space="0" w:color="auto"/>
            </w:tcBorders>
            <w:shd w:val="clear" w:color="auto" w:fill="auto"/>
            <w:vAlign w:val="center"/>
          </w:tcPr>
          <w:p w14:paraId="2EB1A50E" w14:textId="77777777" w:rsidR="009B662E" w:rsidRPr="0096579B" w:rsidRDefault="009B662E" w:rsidP="009B662E">
            <w:pPr>
              <w:pStyle w:val="ListParagraph"/>
              <w:numPr>
                <w:ilvl w:val="0"/>
                <w:numId w:val="1"/>
              </w:numPr>
              <w:ind w:left="169" w:hanging="142"/>
              <w:rPr>
                <w:rFonts w:ascii="Times New Roman" w:eastAsia="Times New Roman" w:hAnsi="Times New Roman" w:cs="Times New Roman"/>
                <w:sz w:val="16"/>
                <w:szCs w:val="16"/>
              </w:rPr>
            </w:pPr>
            <w:r>
              <w:rPr>
                <w:rFonts w:ascii="Times New Roman" w:eastAsia="Times New Roman" w:hAnsi="Times New Roman" w:cs="Times New Roman"/>
                <w:sz w:val="16"/>
                <w:szCs w:val="16"/>
              </w:rPr>
              <w:t>Reducing</w:t>
            </w:r>
            <w:r w:rsidRPr="0096579B">
              <w:rPr>
                <w:rFonts w:ascii="Times New Roman" w:eastAsia="Times New Roman" w:hAnsi="Times New Roman" w:cs="Times New Roman"/>
                <w:sz w:val="16"/>
                <w:szCs w:val="16"/>
              </w:rPr>
              <w:t xml:space="preserve"> the tax burden on SMEs, thus allowing to them to compete with</w:t>
            </w:r>
            <w:r>
              <w:rPr>
                <w:rFonts w:ascii="Times New Roman" w:eastAsia="Times New Roman" w:hAnsi="Times New Roman" w:cs="Times New Roman"/>
                <w:sz w:val="16"/>
                <w:szCs w:val="16"/>
              </w:rPr>
              <w:t xml:space="preserve"> </w:t>
            </w:r>
            <w:r w:rsidRPr="0096579B">
              <w:rPr>
                <w:rFonts w:ascii="Times New Roman" w:eastAsia="Times New Roman" w:hAnsi="Times New Roman" w:cs="Times New Roman"/>
                <w:sz w:val="16"/>
                <w:szCs w:val="16"/>
              </w:rPr>
              <w:t>larger businesses</w:t>
            </w:r>
          </w:p>
        </w:tc>
        <w:tc>
          <w:tcPr>
            <w:tcW w:w="3428" w:type="dxa"/>
            <w:tcBorders>
              <w:top w:val="single" w:sz="4" w:space="0" w:color="auto"/>
              <w:left w:val="single" w:sz="4" w:space="0" w:color="auto"/>
              <w:bottom w:val="single" w:sz="8" w:space="0" w:color="auto"/>
              <w:right w:val="single" w:sz="8" w:space="0" w:color="auto"/>
            </w:tcBorders>
            <w:shd w:val="clear" w:color="auto" w:fill="auto"/>
            <w:vAlign w:val="center"/>
          </w:tcPr>
          <w:p w14:paraId="7015C713" w14:textId="77777777" w:rsidR="009B662E" w:rsidRPr="00DD32D8" w:rsidRDefault="009B662E" w:rsidP="00D3660F">
            <w:pPr>
              <w:rPr>
                <w:rFonts w:ascii="Times New Roman" w:eastAsia="Times New Roman" w:hAnsi="Times New Roman" w:cs="Times New Roman"/>
                <w:sz w:val="16"/>
                <w:szCs w:val="16"/>
              </w:rPr>
            </w:pPr>
          </w:p>
        </w:tc>
      </w:tr>
    </w:tbl>
    <w:p w14:paraId="57383B20" w14:textId="77777777" w:rsidR="009B662E" w:rsidRDefault="009B662E" w:rsidP="009B662E">
      <w:pPr>
        <w:pStyle w:val="BodyTextCrawford"/>
        <w:spacing w:line="240" w:lineRule="auto"/>
        <w:rPr>
          <w:rFonts w:cs="Times New Roman"/>
        </w:rPr>
      </w:pPr>
    </w:p>
    <w:p w14:paraId="23411909" w14:textId="77777777" w:rsidR="009B662E" w:rsidRDefault="009B662E" w:rsidP="009B662E">
      <w:pPr>
        <w:spacing w:after="0" w:line="240" w:lineRule="auto"/>
        <w:rPr>
          <w:rFonts w:ascii="Times New Roman" w:hAnsi="Times New Roman" w:cs="Times New Roman"/>
          <w:sz w:val="24"/>
        </w:rPr>
      </w:pPr>
      <w:r>
        <w:rPr>
          <w:rFonts w:cs="Times New Roman"/>
        </w:rPr>
        <w:br w:type="page"/>
      </w:r>
    </w:p>
    <w:p w14:paraId="136A4304" w14:textId="77777777" w:rsidR="009B662E" w:rsidRPr="00DD32D8" w:rsidRDefault="009B662E" w:rsidP="009B662E">
      <w:pPr>
        <w:pStyle w:val="Heading1"/>
        <w:jc w:val="center"/>
        <w:rPr>
          <w:rFonts w:ascii="Times New Roman" w:hAnsi="Times New Roman" w:cs="Times New Roman"/>
        </w:rPr>
      </w:pPr>
      <w:bookmarkStart w:id="0" w:name="_Toc529440203"/>
      <w:r w:rsidRPr="00DD32D8">
        <w:rPr>
          <w:rFonts w:ascii="Times New Roman" w:hAnsi="Times New Roman" w:cs="Times New Roman"/>
        </w:rPr>
        <w:lastRenderedPageBreak/>
        <w:t>APPENDIX 2</w:t>
      </w:r>
      <w:bookmarkEnd w:id="0"/>
    </w:p>
    <w:p w14:paraId="6E99B4A3" w14:textId="77777777" w:rsidR="009B662E" w:rsidRPr="00DD32D8" w:rsidRDefault="009B662E" w:rsidP="009B662E">
      <w:pPr>
        <w:rPr>
          <w:rFonts w:ascii="Times New Roman" w:hAnsi="Times New Roman" w:cs="Times New Roman"/>
          <w:sz w:val="24"/>
          <w:szCs w:val="24"/>
        </w:rPr>
      </w:pPr>
      <w:r w:rsidRPr="00DD32D8">
        <w:rPr>
          <w:rFonts w:ascii="Times New Roman" w:hAnsi="Times New Roman" w:cs="Times New Roman"/>
          <w:sz w:val="24"/>
          <w:szCs w:val="24"/>
        </w:rPr>
        <w:t>The Result of the Scoping Study: Policy Design of the Presumptive Tax Regime in details</w:t>
      </w:r>
    </w:p>
    <w:tbl>
      <w:tblPr>
        <w:tblW w:w="14591" w:type="dxa"/>
        <w:tblLook w:val="04A0" w:firstRow="1" w:lastRow="0" w:firstColumn="1" w:lastColumn="0" w:noHBand="0" w:noVBand="1"/>
      </w:tblPr>
      <w:tblGrid>
        <w:gridCol w:w="660"/>
        <w:gridCol w:w="1315"/>
        <w:gridCol w:w="3154"/>
        <w:gridCol w:w="3154"/>
        <w:gridCol w:w="3154"/>
        <w:gridCol w:w="3154"/>
      </w:tblGrid>
      <w:tr w:rsidR="009B662E" w:rsidRPr="00DD32D8" w14:paraId="162EF6B1" w14:textId="77777777" w:rsidTr="009B662E">
        <w:trPr>
          <w:trHeight w:val="20"/>
          <w:tblHeader/>
        </w:trPr>
        <w:tc>
          <w:tcPr>
            <w:tcW w:w="660" w:type="dxa"/>
            <w:tcBorders>
              <w:top w:val="single" w:sz="8" w:space="0" w:color="auto"/>
              <w:left w:val="single" w:sz="8" w:space="0" w:color="auto"/>
              <w:bottom w:val="single" w:sz="8" w:space="0" w:color="auto"/>
              <w:right w:val="single" w:sz="4" w:space="0" w:color="auto"/>
            </w:tcBorders>
            <w:shd w:val="clear" w:color="000000" w:fill="BFBFBF"/>
            <w:vAlign w:val="center"/>
            <w:hideMark/>
          </w:tcPr>
          <w:p w14:paraId="19B3B64C" w14:textId="77777777" w:rsidR="009B662E" w:rsidRPr="00DD32D8" w:rsidRDefault="009B662E" w:rsidP="00D3660F">
            <w:pPr>
              <w:spacing w:after="0"/>
              <w:jc w:val="center"/>
              <w:rPr>
                <w:rFonts w:ascii="Times New Roman" w:eastAsia="Times New Roman" w:hAnsi="Times New Roman" w:cs="Times New Roman"/>
                <w:b/>
                <w:bCs/>
                <w:sz w:val="16"/>
                <w:szCs w:val="16"/>
              </w:rPr>
            </w:pPr>
            <w:r w:rsidRPr="00DD32D8">
              <w:rPr>
                <w:rFonts w:ascii="Times New Roman" w:eastAsia="Times New Roman" w:hAnsi="Times New Roman" w:cs="Times New Roman"/>
                <w:b/>
                <w:bCs/>
                <w:sz w:val="16"/>
                <w:szCs w:val="16"/>
              </w:rPr>
              <w:t>No</w:t>
            </w:r>
          </w:p>
        </w:tc>
        <w:tc>
          <w:tcPr>
            <w:tcW w:w="1315" w:type="dxa"/>
            <w:tcBorders>
              <w:top w:val="single" w:sz="8" w:space="0" w:color="auto"/>
              <w:left w:val="single" w:sz="4" w:space="0" w:color="auto"/>
              <w:bottom w:val="single" w:sz="8" w:space="0" w:color="auto"/>
              <w:right w:val="single" w:sz="4" w:space="0" w:color="auto"/>
            </w:tcBorders>
            <w:shd w:val="clear" w:color="000000" w:fill="BFBFBF"/>
            <w:vAlign w:val="center"/>
            <w:hideMark/>
          </w:tcPr>
          <w:p w14:paraId="1E653670" w14:textId="77777777" w:rsidR="009B662E" w:rsidRPr="00DD32D8" w:rsidRDefault="009B662E" w:rsidP="00D3660F">
            <w:pPr>
              <w:spacing w:after="0"/>
              <w:jc w:val="center"/>
              <w:rPr>
                <w:rFonts w:ascii="Times New Roman" w:eastAsia="Times New Roman" w:hAnsi="Times New Roman" w:cs="Times New Roman"/>
                <w:b/>
                <w:bCs/>
                <w:sz w:val="16"/>
                <w:szCs w:val="16"/>
              </w:rPr>
            </w:pPr>
            <w:r w:rsidRPr="00DD32D8">
              <w:rPr>
                <w:rFonts w:ascii="Times New Roman" w:eastAsia="Times New Roman" w:hAnsi="Times New Roman" w:cs="Times New Roman"/>
                <w:b/>
                <w:bCs/>
                <w:sz w:val="16"/>
                <w:szCs w:val="16"/>
              </w:rPr>
              <w:t>Country</w:t>
            </w:r>
          </w:p>
        </w:tc>
        <w:tc>
          <w:tcPr>
            <w:tcW w:w="3154" w:type="dxa"/>
            <w:tcBorders>
              <w:top w:val="single" w:sz="8" w:space="0" w:color="auto"/>
              <w:left w:val="single" w:sz="4" w:space="0" w:color="auto"/>
              <w:bottom w:val="single" w:sz="8" w:space="0" w:color="auto"/>
              <w:right w:val="single" w:sz="4" w:space="0" w:color="auto"/>
            </w:tcBorders>
            <w:shd w:val="clear" w:color="000000" w:fill="BFBFBF"/>
            <w:vAlign w:val="center"/>
            <w:hideMark/>
          </w:tcPr>
          <w:p w14:paraId="2BE61C56" w14:textId="77777777" w:rsidR="009B662E" w:rsidRPr="00DD32D8" w:rsidRDefault="009B662E" w:rsidP="00D3660F">
            <w:pPr>
              <w:spacing w:after="0"/>
              <w:jc w:val="center"/>
              <w:rPr>
                <w:rFonts w:ascii="Times New Roman" w:eastAsia="Times New Roman" w:hAnsi="Times New Roman" w:cs="Times New Roman"/>
                <w:b/>
                <w:bCs/>
                <w:sz w:val="16"/>
                <w:szCs w:val="16"/>
              </w:rPr>
            </w:pPr>
            <w:r w:rsidRPr="00DD32D8">
              <w:rPr>
                <w:rFonts w:ascii="Times New Roman" w:eastAsia="Times New Roman" w:hAnsi="Times New Roman" w:cs="Times New Roman"/>
                <w:b/>
                <w:bCs/>
                <w:sz w:val="16"/>
                <w:szCs w:val="16"/>
              </w:rPr>
              <w:t>Journal</w:t>
            </w:r>
          </w:p>
        </w:tc>
        <w:tc>
          <w:tcPr>
            <w:tcW w:w="3154" w:type="dxa"/>
            <w:tcBorders>
              <w:top w:val="single" w:sz="8" w:space="0" w:color="auto"/>
              <w:left w:val="single" w:sz="4" w:space="0" w:color="auto"/>
              <w:bottom w:val="single" w:sz="8" w:space="0" w:color="auto"/>
              <w:right w:val="single" w:sz="4" w:space="0" w:color="auto"/>
            </w:tcBorders>
            <w:shd w:val="clear" w:color="000000" w:fill="BFBFBF"/>
            <w:vAlign w:val="center"/>
            <w:hideMark/>
          </w:tcPr>
          <w:p w14:paraId="35D9EB2E" w14:textId="77777777" w:rsidR="009B662E" w:rsidRPr="00DD32D8" w:rsidRDefault="009B662E" w:rsidP="00D3660F">
            <w:pPr>
              <w:spacing w:after="0"/>
              <w:jc w:val="center"/>
              <w:rPr>
                <w:rFonts w:ascii="Times New Roman" w:eastAsia="Times New Roman" w:hAnsi="Times New Roman" w:cs="Times New Roman"/>
                <w:b/>
                <w:bCs/>
                <w:sz w:val="16"/>
                <w:szCs w:val="16"/>
              </w:rPr>
            </w:pPr>
            <w:r w:rsidRPr="00DD32D8">
              <w:rPr>
                <w:rFonts w:ascii="Times New Roman" w:eastAsia="Times New Roman" w:hAnsi="Times New Roman" w:cs="Times New Roman"/>
                <w:b/>
                <w:bCs/>
                <w:sz w:val="16"/>
                <w:szCs w:val="16"/>
              </w:rPr>
              <w:t>Eligibility</w:t>
            </w:r>
          </w:p>
        </w:tc>
        <w:tc>
          <w:tcPr>
            <w:tcW w:w="3154" w:type="dxa"/>
            <w:tcBorders>
              <w:top w:val="single" w:sz="8" w:space="0" w:color="auto"/>
              <w:left w:val="single" w:sz="4" w:space="0" w:color="auto"/>
              <w:bottom w:val="single" w:sz="8" w:space="0" w:color="auto"/>
              <w:right w:val="single" w:sz="4" w:space="0" w:color="auto"/>
            </w:tcBorders>
            <w:shd w:val="clear" w:color="000000" w:fill="BFBFBF"/>
            <w:vAlign w:val="center"/>
            <w:hideMark/>
          </w:tcPr>
          <w:p w14:paraId="042018AF" w14:textId="77777777" w:rsidR="009B662E" w:rsidRPr="00DD32D8" w:rsidRDefault="009B662E" w:rsidP="00D3660F">
            <w:pPr>
              <w:spacing w:after="0"/>
              <w:jc w:val="center"/>
              <w:rPr>
                <w:rFonts w:ascii="Times New Roman" w:eastAsia="Times New Roman" w:hAnsi="Times New Roman" w:cs="Times New Roman"/>
                <w:b/>
                <w:bCs/>
                <w:sz w:val="16"/>
                <w:szCs w:val="16"/>
              </w:rPr>
            </w:pPr>
            <w:r w:rsidRPr="00DD32D8">
              <w:rPr>
                <w:rFonts w:ascii="Times New Roman" w:eastAsia="Times New Roman" w:hAnsi="Times New Roman" w:cs="Times New Roman"/>
                <w:b/>
                <w:bCs/>
                <w:sz w:val="16"/>
                <w:szCs w:val="16"/>
              </w:rPr>
              <w:t>Tax base</w:t>
            </w:r>
          </w:p>
        </w:tc>
        <w:tc>
          <w:tcPr>
            <w:tcW w:w="3154" w:type="dxa"/>
            <w:tcBorders>
              <w:top w:val="single" w:sz="8" w:space="0" w:color="auto"/>
              <w:left w:val="single" w:sz="4" w:space="0" w:color="auto"/>
              <w:bottom w:val="single" w:sz="8" w:space="0" w:color="auto"/>
              <w:right w:val="single" w:sz="4" w:space="0" w:color="auto"/>
            </w:tcBorders>
            <w:shd w:val="clear" w:color="000000" w:fill="BFBFBF"/>
            <w:vAlign w:val="center"/>
            <w:hideMark/>
          </w:tcPr>
          <w:p w14:paraId="5E5FA44D" w14:textId="77777777" w:rsidR="009B662E" w:rsidRPr="00DD32D8" w:rsidRDefault="009B662E" w:rsidP="00D3660F">
            <w:pPr>
              <w:spacing w:after="0"/>
              <w:jc w:val="center"/>
              <w:rPr>
                <w:rFonts w:ascii="Times New Roman" w:eastAsia="Times New Roman" w:hAnsi="Times New Roman" w:cs="Times New Roman"/>
                <w:b/>
                <w:bCs/>
                <w:sz w:val="16"/>
                <w:szCs w:val="16"/>
              </w:rPr>
            </w:pPr>
            <w:r w:rsidRPr="00DD32D8">
              <w:rPr>
                <w:rFonts w:ascii="Times New Roman" w:eastAsia="Times New Roman" w:hAnsi="Times New Roman" w:cs="Times New Roman"/>
                <w:b/>
                <w:bCs/>
                <w:sz w:val="16"/>
                <w:szCs w:val="16"/>
              </w:rPr>
              <w:t>Tax rate</w:t>
            </w:r>
          </w:p>
        </w:tc>
      </w:tr>
      <w:tr w:rsidR="009B662E" w:rsidRPr="00DD32D8" w14:paraId="7FA4DFD2" w14:textId="77777777" w:rsidTr="002C3398">
        <w:trPr>
          <w:trHeight w:val="454"/>
        </w:trPr>
        <w:tc>
          <w:tcPr>
            <w:tcW w:w="660" w:type="dxa"/>
            <w:tcBorders>
              <w:top w:val="single" w:sz="8" w:space="0" w:color="D9D9D9"/>
              <w:left w:val="single" w:sz="8" w:space="0" w:color="auto"/>
              <w:bottom w:val="single" w:sz="4" w:space="0" w:color="auto"/>
              <w:right w:val="single" w:sz="4" w:space="0" w:color="auto"/>
            </w:tcBorders>
            <w:shd w:val="clear" w:color="auto" w:fill="auto"/>
            <w:vAlign w:val="center"/>
            <w:hideMark/>
          </w:tcPr>
          <w:p w14:paraId="22BA9A2D" w14:textId="77777777" w:rsidR="009B662E" w:rsidRPr="00DD32D8" w:rsidRDefault="009B662E" w:rsidP="00D3660F">
            <w:pPr>
              <w:spacing w:after="0"/>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w:t>
            </w:r>
          </w:p>
        </w:tc>
        <w:tc>
          <w:tcPr>
            <w:tcW w:w="1315" w:type="dxa"/>
            <w:tcBorders>
              <w:top w:val="single" w:sz="8" w:space="0" w:color="D9D9D9"/>
              <w:left w:val="single" w:sz="4" w:space="0" w:color="auto"/>
              <w:bottom w:val="single" w:sz="4" w:space="0" w:color="auto"/>
              <w:right w:val="single" w:sz="4" w:space="0" w:color="auto"/>
            </w:tcBorders>
            <w:shd w:val="clear" w:color="auto" w:fill="auto"/>
            <w:vAlign w:val="center"/>
            <w:hideMark/>
          </w:tcPr>
          <w:p w14:paraId="6BB97AD3"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Romania</w:t>
            </w:r>
          </w:p>
        </w:tc>
        <w:tc>
          <w:tcPr>
            <w:tcW w:w="3154" w:type="dxa"/>
            <w:tcBorders>
              <w:top w:val="single" w:sz="8" w:space="0" w:color="D9D9D9"/>
              <w:left w:val="single" w:sz="4" w:space="0" w:color="auto"/>
              <w:bottom w:val="single" w:sz="4" w:space="0" w:color="auto"/>
              <w:right w:val="single" w:sz="4" w:space="0" w:color="auto"/>
            </w:tcBorders>
            <w:shd w:val="clear" w:color="auto" w:fill="auto"/>
            <w:vAlign w:val="center"/>
            <w:hideMark/>
          </w:tcPr>
          <w:p w14:paraId="45A9DF9F"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Beca &amp; Serban (2012); Beca &amp; Cozmei (2014)</w:t>
            </w:r>
          </w:p>
        </w:tc>
        <w:tc>
          <w:tcPr>
            <w:tcW w:w="3154" w:type="dxa"/>
            <w:tcBorders>
              <w:top w:val="single" w:sz="8" w:space="0" w:color="D9D9D9"/>
              <w:left w:val="single" w:sz="4" w:space="0" w:color="auto"/>
              <w:bottom w:val="single" w:sz="4" w:space="0" w:color="auto"/>
              <w:right w:val="single" w:sz="4" w:space="0" w:color="auto"/>
            </w:tcBorders>
            <w:shd w:val="clear" w:color="auto" w:fill="auto"/>
            <w:vAlign w:val="center"/>
            <w:hideMark/>
          </w:tcPr>
          <w:p w14:paraId="20F4B10D"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Eligibility based on number of employees and level of turnover; Exempt consultancy &amp; management</w:t>
            </w:r>
          </w:p>
        </w:tc>
        <w:tc>
          <w:tcPr>
            <w:tcW w:w="3154" w:type="dxa"/>
            <w:tcBorders>
              <w:top w:val="single" w:sz="8" w:space="0" w:color="D9D9D9"/>
              <w:left w:val="single" w:sz="4" w:space="0" w:color="auto"/>
              <w:bottom w:val="single" w:sz="4" w:space="0" w:color="auto"/>
              <w:right w:val="single" w:sz="4" w:space="0" w:color="auto"/>
            </w:tcBorders>
            <w:shd w:val="clear" w:color="auto" w:fill="auto"/>
            <w:vAlign w:val="center"/>
            <w:hideMark/>
          </w:tcPr>
          <w:p w14:paraId="663914D7"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Lump-sum tax (May 2009-October 2010) then replaced by turnover tax</w:t>
            </w:r>
          </w:p>
        </w:tc>
        <w:tc>
          <w:tcPr>
            <w:tcW w:w="3154" w:type="dxa"/>
            <w:tcBorders>
              <w:top w:val="single" w:sz="8" w:space="0" w:color="D9D9D9"/>
              <w:left w:val="single" w:sz="4" w:space="0" w:color="auto"/>
              <w:bottom w:val="single" w:sz="4" w:space="0" w:color="auto"/>
              <w:right w:val="single" w:sz="4" w:space="0" w:color="auto"/>
            </w:tcBorders>
            <w:shd w:val="clear" w:color="auto" w:fill="auto"/>
            <w:vAlign w:val="center"/>
            <w:hideMark/>
          </w:tcPr>
          <w:p w14:paraId="36E16322"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Progressive taxes according to annual incomes; turnover tax rate 3%</w:t>
            </w:r>
          </w:p>
        </w:tc>
      </w:tr>
      <w:tr w:rsidR="009B662E" w:rsidRPr="00DD32D8" w14:paraId="504D1850" w14:textId="77777777" w:rsidTr="002C3398">
        <w:trPr>
          <w:trHeight w:val="454"/>
        </w:trPr>
        <w:tc>
          <w:tcPr>
            <w:tcW w:w="6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32B7EA3" w14:textId="77777777" w:rsidR="009B662E" w:rsidRPr="00DD32D8" w:rsidRDefault="009B662E" w:rsidP="00D3660F">
            <w:pPr>
              <w:spacing w:after="0"/>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2</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61D16"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Brazil</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6C829"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Conceic ̧ão et al. (2018); Piza (2018); Rocha (2018); Fajnzylber et al. (2011); Monteiro &amp; Assunção (2012)</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98757"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Eligibility based on turnover</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9E228"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Turnover tax</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5F24C"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Progressive rates according to annual gross revenue; multiple rates according to a list of types of economic activity</w:t>
            </w:r>
          </w:p>
        </w:tc>
      </w:tr>
      <w:tr w:rsidR="009B662E" w:rsidRPr="00DD32D8" w14:paraId="680650AD" w14:textId="77777777" w:rsidTr="002C3398">
        <w:trPr>
          <w:trHeight w:val="454"/>
        </w:trPr>
        <w:tc>
          <w:tcPr>
            <w:tcW w:w="6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8AA9293" w14:textId="77777777" w:rsidR="009B662E" w:rsidRPr="00DD32D8" w:rsidRDefault="009B662E" w:rsidP="00D3660F">
            <w:pPr>
              <w:spacing w:after="0"/>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3</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5DF42"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Ukraine</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28FE2"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Bird &amp; Wallace (2005); Engelschalk (2005); Serbinenko (2016)</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6D80C"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Eligibility based on number of employees and level of turnover</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B3A5F"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Turnover tax</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B2BA6"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For sole proprietor, fixed rates set for different activities by local councils.</w:t>
            </w:r>
            <w:r w:rsidRPr="00DD32D8">
              <w:rPr>
                <w:rFonts w:ascii="Times New Roman" w:eastAsia="Times New Roman" w:hAnsi="Times New Roman" w:cs="Times New Roman"/>
                <w:sz w:val="16"/>
                <w:szCs w:val="16"/>
              </w:rPr>
              <w:br/>
              <w:t>For companies, a simplified system pay a single tax of 6% on sales (plus VAT) or 10% (and no VAT)</w:t>
            </w:r>
          </w:p>
        </w:tc>
      </w:tr>
      <w:tr w:rsidR="009B662E" w:rsidRPr="00DD32D8" w14:paraId="358C9422" w14:textId="77777777" w:rsidTr="002C3398">
        <w:trPr>
          <w:trHeight w:val="454"/>
        </w:trPr>
        <w:tc>
          <w:tcPr>
            <w:tcW w:w="6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551E0BA" w14:textId="77777777" w:rsidR="009B662E" w:rsidRPr="00DD32D8" w:rsidRDefault="009B662E" w:rsidP="00D3660F">
            <w:pPr>
              <w:spacing w:after="0"/>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4</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71E48"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Russia</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17A6A"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Bird &amp; Wallace (2005); Engelschalk (2005); Dolgih et al. (2015)</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1E835"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Eligibility of SME taxation are based on selected industries, indexed threshold for gross receipts and number of employees.</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61FD4"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Combination of Turnover tax and Lumpsum Fees</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FFB67"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Single rate</w:t>
            </w:r>
          </w:p>
        </w:tc>
      </w:tr>
      <w:tr w:rsidR="009B662E" w:rsidRPr="00DD32D8" w14:paraId="65B01F1B" w14:textId="77777777" w:rsidTr="002C3398">
        <w:trPr>
          <w:trHeight w:val="454"/>
        </w:trPr>
        <w:tc>
          <w:tcPr>
            <w:tcW w:w="6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D1B9D9D" w14:textId="77777777" w:rsidR="009B662E" w:rsidRPr="00DD32D8" w:rsidRDefault="009B662E" w:rsidP="00D3660F">
            <w:pPr>
              <w:spacing w:after="0"/>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5</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A71E4"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Georgia</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01A5D"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Engelschalk (2005); Bruhn &amp; Loeprick (2016)</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00FCA"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Six taxpayer segments: traders, goods production and services, transportation, jewellery shops, watches repair, and restaurants; Eligibility based on turnover and total employees</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AA674"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Combination of Lumpsum tax and Turnover tax</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08376"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For turnover tax, dual rates (3% and 5%)</w:t>
            </w:r>
          </w:p>
        </w:tc>
      </w:tr>
      <w:tr w:rsidR="009B662E" w:rsidRPr="00DD32D8" w14:paraId="7874A4C2" w14:textId="77777777" w:rsidTr="002C3398">
        <w:trPr>
          <w:trHeight w:val="454"/>
        </w:trPr>
        <w:tc>
          <w:tcPr>
            <w:tcW w:w="6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0A63576" w14:textId="77777777" w:rsidR="009B662E" w:rsidRPr="00DD32D8" w:rsidRDefault="009B662E" w:rsidP="00D3660F">
            <w:pPr>
              <w:spacing w:after="0"/>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6</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DC3DC"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Albania</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FC083"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Engelschalk (2005)</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94985"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Categories of taxable activities</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62466"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Combination of turnover tax and a fixed tax</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F0F8F"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Multiple rates in accordance to business activity</w:t>
            </w:r>
          </w:p>
        </w:tc>
      </w:tr>
      <w:tr w:rsidR="009B662E" w:rsidRPr="00DD32D8" w14:paraId="4C274CF8" w14:textId="77777777" w:rsidTr="002C3398">
        <w:trPr>
          <w:trHeight w:val="454"/>
        </w:trPr>
        <w:tc>
          <w:tcPr>
            <w:tcW w:w="6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DE18F14" w14:textId="77777777" w:rsidR="009B662E" w:rsidRPr="00DD32D8" w:rsidRDefault="009B662E" w:rsidP="00D3660F">
            <w:pPr>
              <w:spacing w:after="0"/>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7</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ABB9F"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Benin</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C95F0"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Araujo-Bonjean &amp; Chambas (2005)</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0BD22"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46385"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Turnover tax</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AB890"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3257401F" w14:textId="77777777" w:rsidTr="002C3398">
        <w:trPr>
          <w:trHeight w:val="454"/>
        </w:trPr>
        <w:tc>
          <w:tcPr>
            <w:tcW w:w="6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AC0AC39" w14:textId="77777777" w:rsidR="009B662E" w:rsidRPr="00DD32D8" w:rsidRDefault="009B662E" w:rsidP="00D3660F">
            <w:pPr>
              <w:spacing w:after="0"/>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8</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BD049"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Burkina Faso</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26899"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Araujo-Bonjean &amp; Chambas (2005)</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37498"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Eligibility based on turnover</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CE235"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ECFD0"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4B4E29EF" w14:textId="77777777" w:rsidTr="002C3398">
        <w:trPr>
          <w:trHeight w:val="454"/>
        </w:trPr>
        <w:tc>
          <w:tcPr>
            <w:tcW w:w="6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843ABC5" w14:textId="77777777" w:rsidR="009B662E" w:rsidRPr="00DD32D8" w:rsidRDefault="009B662E" w:rsidP="00D3660F">
            <w:pPr>
              <w:spacing w:after="0"/>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9</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17B7C"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Portugal</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B1280"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Dâmaso &amp; Martins (2015)</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172CB"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Eligibility based on annual revenues, total assets, and micro-entities accounting standards</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DBBBA"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Turnover tax</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78A36"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Multiple rates/coefficient applies to different activity</w:t>
            </w:r>
          </w:p>
        </w:tc>
      </w:tr>
      <w:tr w:rsidR="009B662E" w:rsidRPr="00DD32D8" w14:paraId="0D3785F0" w14:textId="77777777" w:rsidTr="002C3398">
        <w:trPr>
          <w:trHeight w:val="454"/>
        </w:trPr>
        <w:tc>
          <w:tcPr>
            <w:tcW w:w="6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0AB9A62" w14:textId="77777777" w:rsidR="009B662E" w:rsidRPr="00DD32D8" w:rsidRDefault="009B662E" w:rsidP="00D3660F">
            <w:pPr>
              <w:spacing w:after="0"/>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10</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E4BF0"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Chile</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401B7"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Agostini et al. (2018)</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2A6EA"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Eligibility based on sectors: agriculture, mining and transport services</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A4C41"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Tax based on net assets</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C2D03"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7D8FCDE9" w14:textId="77777777" w:rsidTr="002C3398">
        <w:trPr>
          <w:trHeight w:val="454"/>
        </w:trPr>
        <w:tc>
          <w:tcPr>
            <w:tcW w:w="6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61A045B" w14:textId="77777777" w:rsidR="009B662E" w:rsidRPr="00DD32D8" w:rsidRDefault="009B662E" w:rsidP="00D3660F">
            <w:pPr>
              <w:spacing w:after="0"/>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11</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5EB6D"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Congo</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5A2AA"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Kamba-Kibatshi (2016)</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E4D71"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Eligibility based on turnover and total employees</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DC14A"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Turnover tax</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D1A89"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1B2EDCDD" w14:textId="77777777" w:rsidTr="002C3398">
        <w:trPr>
          <w:trHeight w:val="454"/>
        </w:trPr>
        <w:tc>
          <w:tcPr>
            <w:tcW w:w="6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0DB632D" w14:textId="77777777" w:rsidR="009B662E" w:rsidRPr="00DD32D8" w:rsidRDefault="009B662E" w:rsidP="00D3660F">
            <w:pPr>
              <w:spacing w:after="0"/>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12</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86ED1"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Zimbabwe</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02DFA"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Nyamwanza et al (2014); Dube (2018); Dube &amp; Casale (2017); Dube &amp; Casale (2016); Shonhiwa &amp; Murangwa (2018); Zivanai et al. (2014)</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0B8CB"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xml:space="preserve">Applies to specific sector: transport operators, hairdressing salon, informal traders, small-scale miners, cross-borders traders, restaurants, cottage industry and commercial waterborne </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E2FF2"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Lump-sum tax</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2157C"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Multiple taxes in accordance to each industry segments</w:t>
            </w:r>
          </w:p>
        </w:tc>
      </w:tr>
      <w:tr w:rsidR="009B662E" w:rsidRPr="00DD32D8" w14:paraId="3A808765" w14:textId="77777777" w:rsidTr="002C3398">
        <w:trPr>
          <w:trHeight w:val="454"/>
        </w:trPr>
        <w:tc>
          <w:tcPr>
            <w:tcW w:w="6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FDBC134" w14:textId="77777777" w:rsidR="009B662E" w:rsidRPr="00DD32D8" w:rsidRDefault="009B662E" w:rsidP="00D3660F">
            <w:pPr>
              <w:spacing w:after="0"/>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13</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FED90"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Bulgaria</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988F4"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Pashev (2006)</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7B1BC"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Eligibility based on turnover and specific groups</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A62DE"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Combination of Lumpsum tax and minimum insurance income thresholds</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FDC3A"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Multiple rates differentiated by economic activity, location and the service or output capacity of the business unit</w:t>
            </w:r>
          </w:p>
        </w:tc>
      </w:tr>
      <w:tr w:rsidR="009B662E" w:rsidRPr="00DD32D8" w14:paraId="18C827EB" w14:textId="77777777" w:rsidTr="002C3398">
        <w:trPr>
          <w:trHeight w:val="454"/>
        </w:trPr>
        <w:tc>
          <w:tcPr>
            <w:tcW w:w="6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FD6FDDD" w14:textId="77777777" w:rsidR="009B662E" w:rsidRPr="00DD32D8" w:rsidRDefault="009B662E" w:rsidP="00D3660F">
            <w:pPr>
              <w:spacing w:after="0"/>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14</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5EEC3"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Ghana</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582D6"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Dube &amp; Casale (2016); Joshi &amp; Ayee (2008)</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916F8"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Eligibility based on occupation and specific sector activities</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31004"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Lump-sum tax</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A6741"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w:t>
            </w:r>
          </w:p>
        </w:tc>
      </w:tr>
      <w:tr w:rsidR="009B662E" w:rsidRPr="00DD32D8" w14:paraId="0218FAD6" w14:textId="77777777" w:rsidTr="002C3398">
        <w:trPr>
          <w:trHeight w:val="454"/>
        </w:trPr>
        <w:tc>
          <w:tcPr>
            <w:tcW w:w="6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1B02D39" w14:textId="77777777" w:rsidR="009B662E" w:rsidRPr="00DD32D8" w:rsidRDefault="009B662E" w:rsidP="00D3660F">
            <w:pPr>
              <w:spacing w:after="0"/>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15</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3CF27"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Tanzania</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EF723"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Dube &amp; Casale (2016)</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BF02D"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Eligibility based on turnover</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9CEDB"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Turnover tax</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17F99"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Progressive taxes according to annual turnover</w:t>
            </w:r>
          </w:p>
        </w:tc>
      </w:tr>
      <w:tr w:rsidR="009B662E" w:rsidRPr="00DD32D8" w14:paraId="57C77104" w14:textId="77777777" w:rsidTr="002C3398">
        <w:trPr>
          <w:trHeight w:val="454"/>
        </w:trPr>
        <w:tc>
          <w:tcPr>
            <w:tcW w:w="6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35B86BD" w14:textId="77777777" w:rsidR="009B662E" w:rsidRPr="00DD32D8" w:rsidRDefault="009B662E" w:rsidP="00D3660F">
            <w:pPr>
              <w:spacing w:after="0"/>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16</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CAD78"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Zambia</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7B6E6"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Dube &amp; Casale (2016)</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07B62"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Eligibility based on turnover and specific sector activities</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A32AD"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Combination of Turnover tax and Lumpsum Tax</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6C2AE"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Progressive taxes according to annual turnover</w:t>
            </w:r>
          </w:p>
        </w:tc>
      </w:tr>
      <w:tr w:rsidR="009B662E" w:rsidRPr="00DD32D8" w14:paraId="30BD7B3F" w14:textId="77777777" w:rsidTr="002C3398">
        <w:trPr>
          <w:trHeight w:val="454"/>
        </w:trPr>
        <w:tc>
          <w:tcPr>
            <w:tcW w:w="6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9477E32" w14:textId="77777777" w:rsidR="009B662E" w:rsidRPr="00DD32D8" w:rsidRDefault="009B662E" w:rsidP="00D3660F">
            <w:pPr>
              <w:spacing w:after="0"/>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lastRenderedPageBreak/>
              <w:t>17</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11289"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Pakistan</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111D3"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Memon (2013)</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58F64"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Eligibility based on specific sector activities</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AAA9A"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Turnover tax</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F7D10"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Multiple rates in accordance to business activity</w:t>
            </w:r>
          </w:p>
        </w:tc>
      </w:tr>
      <w:tr w:rsidR="009B662E" w:rsidRPr="00DD32D8" w14:paraId="271CDFDB" w14:textId="77777777" w:rsidTr="002C3398">
        <w:trPr>
          <w:trHeight w:val="454"/>
        </w:trPr>
        <w:tc>
          <w:tcPr>
            <w:tcW w:w="6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02DEEB5" w14:textId="77777777" w:rsidR="009B662E" w:rsidRPr="00DD32D8" w:rsidRDefault="009B662E" w:rsidP="00D3660F">
            <w:pPr>
              <w:spacing w:after="0"/>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18</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B9941"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Seychelles</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3240F"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Camille &amp; Yona (2016)</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B3E4D"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Eligibility based on turnover</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1C459"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Turnover tax</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662E5"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Single rate (1.5%)</w:t>
            </w:r>
          </w:p>
        </w:tc>
      </w:tr>
      <w:tr w:rsidR="009B662E" w:rsidRPr="00DD32D8" w14:paraId="224C0B6D" w14:textId="77777777" w:rsidTr="002C3398">
        <w:trPr>
          <w:trHeight w:val="454"/>
        </w:trPr>
        <w:tc>
          <w:tcPr>
            <w:tcW w:w="6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9C4A748" w14:textId="77777777" w:rsidR="009B662E" w:rsidRPr="00DD32D8" w:rsidRDefault="009B662E" w:rsidP="00D3660F">
            <w:pPr>
              <w:spacing w:after="0"/>
              <w:jc w:val="right"/>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19</w:t>
            </w:r>
          </w:p>
        </w:tc>
        <w:tc>
          <w:tcPr>
            <w:tcW w:w="13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23D04"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Peru</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B7D58"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Joshi &amp; Ayee (2008)</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49054"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Eligibility based on turnover</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1CDFD"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Turnover tax</w:t>
            </w:r>
          </w:p>
        </w:tc>
        <w:tc>
          <w:tcPr>
            <w:tcW w:w="3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85D32"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Single rate</w:t>
            </w:r>
          </w:p>
        </w:tc>
      </w:tr>
      <w:tr w:rsidR="009B662E" w:rsidRPr="00DD32D8" w14:paraId="603BA7A2" w14:textId="77777777" w:rsidTr="002C3398">
        <w:trPr>
          <w:trHeight w:val="454"/>
        </w:trPr>
        <w:tc>
          <w:tcPr>
            <w:tcW w:w="660" w:type="dxa"/>
            <w:tcBorders>
              <w:top w:val="single" w:sz="4" w:space="0" w:color="auto"/>
              <w:left w:val="single" w:sz="8" w:space="0" w:color="auto"/>
              <w:bottom w:val="single" w:sz="8" w:space="0" w:color="auto"/>
              <w:right w:val="single" w:sz="4" w:space="0" w:color="auto"/>
            </w:tcBorders>
            <w:shd w:val="clear" w:color="auto" w:fill="auto"/>
            <w:vAlign w:val="center"/>
          </w:tcPr>
          <w:p w14:paraId="5A5F1A48" w14:textId="77777777" w:rsidR="009B662E" w:rsidRPr="00DD32D8" w:rsidRDefault="009B662E" w:rsidP="00D3660F">
            <w:pPr>
              <w:spacing w:after="0"/>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1315" w:type="dxa"/>
            <w:tcBorders>
              <w:top w:val="single" w:sz="4" w:space="0" w:color="auto"/>
              <w:left w:val="single" w:sz="4" w:space="0" w:color="auto"/>
              <w:bottom w:val="single" w:sz="8" w:space="0" w:color="auto"/>
              <w:right w:val="single" w:sz="4" w:space="0" w:color="auto"/>
            </w:tcBorders>
            <w:shd w:val="clear" w:color="auto" w:fill="auto"/>
            <w:vAlign w:val="center"/>
          </w:tcPr>
          <w:p w14:paraId="0D801327" w14:textId="77777777" w:rsidR="009B662E" w:rsidRPr="00DD32D8" w:rsidRDefault="009B662E" w:rsidP="00D3660F">
            <w:pPr>
              <w:spacing w:after="0"/>
              <w:rPr>
                <w:rFonts w:ascii="Times New Roman" w:eastAsia="Times New Roman" w:hAnsi="Times New Roman" w:cs="Times New Roman"/>
                <w:sz w:val="16"/>
                <w:szCs w:val="16"/>
              </w:rPr>
            </w:pPr>
            <w:r>
              <w:rPr>
                <w:rFonts w:ascii="Times New Roman" w:eastAsia="Times New Roman" w:hAnsi="Times New Roman" w:cs="Times New Roman"/>
                <w:sz w:val="16"/>
                <w:szCs w:val="16"/>
              </w:rPr>
              <w:t>Egypt</w:t>
            </w:r>
          </w:p>
        </w:tc>
        <w:tc>
          <w:tcPr>
            <w:tcW w:w="3154" w:type="dxa"/>
            <w:tcBorders>
              <w:top w:val="single" w:sz="4" w:space="0" w:color="auto"/>
              <w:left w:val="single" w:sz="4" w:space="0" w:color="auto"/>
              <w:bottom w:val="single" w:sz="8" w:space="0" w:color="auto"/>
              <w:right w:val="single" w:sz="4" w:space="0" w:color="auto"/>
            </w:tcBorders>
            <w:shd w:val="clear" w:color="auto" w:fill="auto"/>
            <w:vAlign w:val="center"/>
          </w:tcPr>
          <w:p w14:paraId="056B6E3A" w14:textId="77777777" w:rsidR="009B662E" w:rsidRPr="00DD32D8" w:rsidRDefault="009B662E" w:rsidP="00D3660F">
            <w:pPr>
              <w:spacing w:after="0"/>
              <w:rPr>
                <w:rFonts w:ascii="Times New Roman" w:eastAsia="Times New Roman" w:hAnsi="Times New Roman" w:cs="Times New Roman"/>
                <w:sz w:val="16"/>
                <w:szCs w:val="16"/>
              </w:rPr>
            </w:pPr>
            <w:r>
              <w:rPr>
                <w:rFonts w:ascii="Times New Roman" w:eastAsia="Times New Roman" w:hAnsi="Times New Roman" w:cs="Times New Roman"/>
                <w:sz w:val="16"/>
                <w:szCs w:val="16"/>
              </w:rPr>
              <w:t>Abdellatif et al. (2021)</w:t>
            </w:r>
          </w:p>
        </w:tc>
        <w:tc>
          <w:tcPr>
            <w:tcW w:w="3154" w:type="dxa"/>
            <w:tcBorders>
              <w:top w:val="single" w:sz="4" w:space="0" w:color="auto"/>
              <w:left w:val="single" w:sz="4" w:space="0" w:color="auto"/>
              <w:bottom w:val="single" w:sz="8" w:space="0" w:color="auto"/>
              <w:right w:val="single" w:sz="4" w:space="0" w:color="auto"/>
            </w:tcBorders>
            <w:shd w:val="clear" w:color="auto" w:fill="auto"/>
            <w:vAlign w:val="center"/>
          </w:tcPr>
          <w:p w14:paraId="05705D3F"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Eligibility based on turnover</w:t>
            </w:r>
          </w:p>
        </w:tc>
        <w:tc>
          <w:tcPr>
            <w:tcW w:w="3154" w:type="dxa"/>
            <w:tcBorders>
              <w:top w:val="single" w:sz="4" w:space="0" w:color="auto"/>
              <w:left w:val="single" w:sz="4" w:space="0" w:color="auto"/>
              <w:bottom w:val="single" w:sz="8" w:space="0" w:color="auto"/>
              <w:right w:val="single" w:sz="4" w:space="0" w:color="auto"/>
            </w:tcBorders>
            <w:shd w:val="clear" w:color="auto" w:fill="auto"/>
            <w:vAlign w:val="center"/>
          </w:tcPr>
          <w:p w14:paraId="42B5F9E0"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Combination of Turnover tax and Lumpsum Tax</w:t>
            </w:r>
          </w:p>
        </w:tc>
        <w:tc>
          <w:tcPr>
            <w:tcW w:w="3154" w:type="dxa"/>
            <w:tcBorders>
              <w:top w:val="single" w:sz="4" w:space="0" w:color="auto"/>
              <w:left w:val="single" w:sz="4" w:space="0" w:color="auto"/>
              <w:bottom w:val="single" w:sz="8" w:space="0" w:color="auto"/>
              <w:right w:val="single" w:sz="4" w:space="0" w:color="auto"/>
            </w:tcBorders>
            <w:shd w:val="clear" w:color="auto" w:fill="auto"/>
            <w:vAlign w:val="center"/>
          </w:tcPr>
          <w:p w14:paraId="5A3FE4DC" w14:textId="77777777" w:rsidR="009B662E" w:rsidRPr="00DD32D8" w:rsidRDefault="009B662E" w:rsidP="00D3660F">
            <w:pPr>
              <w:spacing w:after="0"/>
              <w:rPr>
                <w:rFonts w:ascii="Times New Roman" w:eastAsia="Times New Roman" w:hAnsi="Times New Roman" w:cs="Times New Roman"/>
                <w:sz w:val="16"/>
                <w:szCs w:val="16"/>
              </w:rPr>
            </w:pPr>
            <w:r w:rsidRPr="00DD32D8">
              <w:rPr>
                <w:rFonts w:ascii="Times New Roman" w:eastAsia="Times New Roman" w:hAnsi="Times New Roman" w:cs="Times New Roman"/>
                <w:sz w:val="16"/>
                <w:szCs w:val="16"/>
              </w:rPr>
              <w:t xml:space="preserve">Progressive </w:t>
            </w:r>
            <w:r>
              <w:rPr>
                <w:rFonts w:ascii="Times New Roman" w:eastAsia="Times New Roman" w:hAnsi="Times New Roman" w:cs="Times New Roman"/>
                <w:sz w:val="16"/>
                <w:szCs w:val="16"/>
              </w:rPr>
              <w:t>rat</w:t>
            </w:r>
            <w:r w:rsidRPr="00DD32D8">
              <w:rPr>
                <w:rFonts w:ascii="Times New Roman" w:eastAsia="Times New Roman" w:hAnsi="Times New Roman" w:cs="Times New Roman"/>
                <w:sz w:val="16"/>
                <w:szCs w:val="16"/>
              </w:rPr>
              <w:t>es according to annual turnover</w:t>
            </w:r>
          </w:p>
        </w:tc>
      </w:tr>
    </w:tbl>
    <w:p w14:paraId="2DFB8FCB" w14:textId="77777777" w:rsidR="00FB2FCB" w:rsidRDefault="00FB2FCB" w:rsidP="002C3398"/>
    <w:sectPr w:rsidR="00FB2FCB" w:rsidSect="002C3398">
      <w:pgSz w:w="16838" w:h="11906" w:orient="landscape"/>
      <w:pgMar w:top="363" w:right="816" w:bottom="357" w:left="567" w:header="709" w:footer="567" w:gutter="851"/>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441FA"/>
    <w:multiLevelType w:val="hybridMultilevel"/>
    <w:tmpl w:val="986AB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E93FBC"/>
    <w:multiLevelType w:val="hybridMultilevel"/>
    <w:tmpl w:val="8278BA0C"/>
    <w:lvl w:ilvl="0" w:tplc="3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E21B7C"/>
    <w:multiLevelType w:val="hybridMultilevel"/>
    <w:tmpl w:val="00368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8528515">
    <w:abstractNumId w:val="2"/>
  </w:num>
  <w:num w:numId="2" w16cid:durableId="944922210">
    <w:abstractNumId w:val="0"/>
  </w:num>
  <w:num w:numId="3" w16cid:durableId="373433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62E"/>
    <w:rsid w:val="000357EA"/>
    <w:rsid w:val="00052637"/>
    <w:rsid w:val="000B0F3C"/>
    <w:rsid w:val="002C3398"/>
    <w:rsid w:val="003A4241"/>
    <w:rsid w:val="004652AA"/>
    <w:rsid w:val="005551FD"/>
    <w:rsid w:val="0075363B"/>
    <w:rsid w:val="007E53CE"/>
    <w:rsid w:val="00850A39"/>
    <w:rsid w:val="009B662E"/>
    <w:rsid w:val="009E1F1B"/>
    <w:rsid w:val="00C724FD"/>
    <w:rsid w:val="00C86289"/>
    <w:rsid w:val="00FB2FC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66D9EA92"/>
  <w15:chartTrackingRefBased/>
  <w15:docId w15:val="{8E75CEC8-23DB-3941-BD1A-335818D4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62E"/>
    <w:pPr>
      <w:spacing w:after="160" w:line="259" w:lineRule="auto"/>
    </w:pPr>
    <w:rPr>
      <w:rFonts w:eastAsiaTheme="minorEastAsia"/>
      <w:kern w:val="0"/>
      <w:sz w:val="22"/>
      <w:szCs w:val="22"/>
      <w:lang w:val="en-AU" w:eastAsia="zh-CN"/>
      <w14:ligatures w14:val="none"/>
    </w:rPr>
  </w:style>
  <w:style w:type="paragraph" w:styleId="Heading1">
    <w:name w:val="heading 1"/>
    <w:basedOn w:val="Normal"/>
    <w:next w:val="BodyTextCrawford"/>
    <w:link w:val="Heading1Char"/>
    <w:uiPriority w:val="9"/>
    <w:qFormat/>
    <w:rsid w:val="009B662E"/>
    <w:pPr>
      <w:keepNext/>
      <w:keepLines/>
      <w:spacing w:before="240" w:after="240" w:line="240" w:lineRule="auto"/>
      <w:outlineLvl w:val="0"/>
    </w:pPr>
    <w:rPr>
      <w:rFonts w:ascii="Arial" w:eastAsiaTheme="majorEastAsia" w:hAnsi="Arial"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62E"/>
    <w:rPr>
      <w:rFonts w:ascii="Arial" w:eastAsiaTheme="majorEastAsia" w:hAnsi="Arial" w:cstheme="majorBidi"/>
      <w:b/>
      <w:kern w:val="0"/>
      <w:sz w:val="28"/>
      <w:szCs w:val="32"/>
      <w:lang w:val="en-AU" w:eastAsia="zh-CN"/>
      <w14:ligatures w14:val="none"/>
    </w:rPr>
  </w:style>
  <w:style w:type="paragraph" w:customStyle="1" w:styleId="BodyTextCrawford">
    <w:name w:val="Body Text Crawford"/>
    <w:basedOn w:val="Normal"/>
    <w:qFormat/>
    <w:rsid w:val="009B662E"/>
    <w:pPr>
      <w:spacing w:after="240" w:line="360" w:lineRule="auto"/>
      <w:jc w:val="both"/>
    </w:pPr>
    <w:rPr>
      <w:rFonts w:ascii="Times New Roman" w:hAnsi="Times New Roman"/>
      <w:sz w:val="24"/>
    </w:rPr>
  </w:style>
  <w:style w:type="paragraph" w:styleId="ListParagraph">
    <w:name w:val="List Paragraph"/>
    <w:basedOn w:val="Normal"/>
    <w:uiPriority w:val="34"/>
    <w:qFormat/>
    <w:rsid w:val="009B66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1703</Words>
  <Characters>9711</Characters>
  <Application>Microsoft Office Word</Application>
  <DocSecurity>0</DocSecurity>
  <Lines>80</Lines>
  <Paragraphs>22</Paragraphs>
  <ScaleCrop>false</ScaleCrop>
  <Company/>
  <LinksUpToDate>false</LinksUpToDate>
  <CharactersWithSpaces>11392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Muchamad Abdullah Taufiq</dc:creator>
  <cp:keywords/>
  <dc:description/>
  <cp:lastModifiedBy>Muchamad Abdullah Taufiq</cp:lastModifiedBy>
  <cp:revision>3</cp:revision>
  <dcterms:created xsi:type="dcterms:W3CDTF">2023-03-09T21:33:00Z</dcterms:created>
  <dcterms:modified xsi:type="dcterms:W3CDTF">2023-03-09T21:41:00Z</dcterms:modified>
</cp:coreProperties>
</file>