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2C670F0" w14:textId="77777777" w:rsidR="0030623E" w:rsidRDefault="0030623E" w:rsidP="0030623E">
      <w:pPr>
        <w:spacing w:line="360" w:lineRule="auto"/>
        <w:jc w:val="both"/>
        <w:rPr>
          <w:rFonts w:ascii="Arial" w:hAnsi="Arial" w:cs="Arial"/>
          <w:b/>
          <w:bCs/>
          <w:color w:val="000000" w:themeColor="text1"/>
        </w:rPr>
      </w:pPr>
      <w:r>
        <w:rPr>
          <w:rFonts w:ascii="Arial" w:hAnsi="Arial" w:cs="Arial"/>
          <w:b/>
          <w:bCs/>
          <w:color w:val="000000" w:themeColor="text1"/>
        </w:rPr>
        <w:t xml:space="preserve">Supplementary Information </w:t>
      </w:r>
    </w:p>
    <w:p w14:paraId="31E76455" w14:textId="77777777" w:rsidR="0030623E" w:rsidRDefault="0030623E" w:rsidP="0030623E">
      <w:pPr>
        <w:spacing w:line="360" w:lineRule="auto"/>
        <w:jc w:val="both"/>
        <w:rPr>
          <w:rFonts w:ascii="Arial" w:hAnsi="Arial" w:cs="Arial"/>
          <w:b/>
          <w:bCs/>
          <w:color w:val="000000" w:themeColor="text1"/>
        </w:rPr>
      </w:pPr>
      <w:r>
        <w:rPr>
          <w:rFonts w:ascii="Arial" w:hAnsi="Arial" w:cs="Arial"/>
          <w:b/>
          <w:bCs/>
          <w:noProof/>
          <w:color w:val="000000" w:themeColor="text1"/>
        </w:rPr>
        <w:drawing>
          <wp:inline distT="0" distB="0" distL="0" distR="0" wp14:anchorId="3ABD3F7B" wp14:editId="09392A41">
            <wp:extent cx="5727700" cy="5141595"/>
            <wp:effectExtent l="0" t="0" r="0" b="1905"/>
            <wp:docPr id="9" name="Picture 9" descr="A picture containing 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A picture containing graphical user interface&#10;&#10;Description automatically generated"/>
                    <pic:cNvPicPr/>
                  </pic:nvPicPr>
                  <pic:blipFill>
                    <a:blip r:embed="rId4" cstate="print">
                      <a:extLst>
                        <a:ext uri="{28A0092B-C50C-407E-A947-70E740481C1C}">
                          <a14:useLocalDpi xmlns:a14="http://schemas.microsoft.com/office/drawing/2010/main" val="0"/>
                        </a:ext>
                      </a:extLst>
                    </a:blip>
                    <a:stretch>
                      <a:fillRect/>
                    </a:stretch>
                  </pic:blipFill>
                  <pic:spPr>
                    <a:xfrm>
                      <a:off x="0" y="0"/>
                      <a:ext cx="5727700" cy="5141595"/>
                    </a:xfrm>
                    <a:prstGeom prst="rect">
                      <a:avLst/>
                    </a:prstGeom>
                  </pic:spPr>
                </pic:pic>
              </a:graphicData>
            </a:graphic>
          </wp:inline>
        </w:drawing>
      </w:r>
    </w:p>
    <w:p w14:paraId="1500CCC0" w14:textId="77777777" w:rsidR="0030623E" w:rsidRDefault="0030623E" w:rsidP="0030623E">
      <w:pPr>
        <w:spacing w:line="360" w:lineRule="auto"/>
        <w:jc w:val="both"/>
        <w:rPr>
          <w:rFonts w:ascii="Arial" w:hAnsi="Arial" w:cs="Arial"/>
          <w:b/>
          <w:bCs/>
          <w:color w:val="000000" w:themeColor="text1"/>
        </w:rPr>
      </w:pPr>
      <w:r>
        <w:rPr>
          <w:rFonts w:ascii="Arial" w:hAnsi="Arial" w:cs="Arial"/>
          <w:b/>
          <w:bCs/>
        </w:rPr>
        <w:t xml:space="preserve">Extended Data </w:t>
      </w:r>
      <w:r w:rsidRPr="005D59B9">
        <w:rPr>
          <w:rFonts w:ascii="Arial" w:hAnsi="Arial" w:cs="Arial"/>
          <w:b/>
          <w:bCs/>
        </w:rPr>
        <w:t>Fig</w:t>
      </w:r>
      <w:r>
        <w:rPr>
          <w:rFonts w:ascii="Arial" w:hAnsi="Arial" w:cs="Arial"/>
          <w:b/>
          <w:bCs/>
        </w:rPr>
        <w:t xml:space="preserve">. 1 | </w:t>
      </w:r>
      <w:r w:rsidRPr="001A6C5F">
        <w:rPr>
          <w:rFonts w:ascii="Arial" w:hAnsi="Arial" w:cs="Arial"/>
          <w:b/>
          <w:bCs/>
        </w:rPr>
        <w:t>Expression of p27/P27 in mouse, human and NMR intestine.</w:t>
      </w:r>
      <w:r>
        <w:rPr>
          <w:rFonts w:ascii="Arial" w:hAnsi="Arial" w:cs="Arial"/>
        </w:rPr>
        <w:t xml:space="preserve"> Representative confocal images showing intestinal crypts stained with anti-P27 antibody (red) and counterstained with DAPI (grey) in </w:t>
      </w:r>
      <w:r w:rsidRPr="001A6C5F">
        <w:rPr>
          <w:rFonts w:ascii="Arial" w:hAnsi="Arial" w:cs="Arial"/>
          <w:b/>
          <w:bCs/>
        </w:rPr>
        <w:t>a</w:t>
      </w:r>
      <w:r>
        <w:rPr>
          <w:rFonts w:ascii="Arial" w:hAnsi="Arial" w:cs="Arial"/>
        </w:rPr>
        <w:t xml:space="preserve">, wild-caught mouse (12 month-old) and wild-caught NMR (12 month-old) small intestine, and </w:t>
      </w:r>
      <w:r w:rsidRPr="001A6C5F">
        <w:rPr>
          <w:rFonts w:ascii="Arial" w:hAnsi="Arial" w:cs="Arial"/>
          <w:b/>
          <w:bCs/>
        </w:rPr>
        <w:t>b</w:t>
      </w:r>
      <w:r>
        <w:rPr>
          <w:rFonts w:ascii="Arial" w:hAnsi="Arial" w:cs="Arial"/>
        </w:rPr>
        <w:t>, mouse (12 month-old), human (28-33 year-old) and NMR (12 month-old) colon. Dashed lines demarcate the outer periphery of crypt structures. White arrows indicate p27/P27</w:t>
      </w:r>
      <w:r w:rsidRPr="001A6C5F">
        <w:rPr>
          <w:rFonts w:ascii="Arial" w:hAnsi="Arial" w:cs="Arial"/>
          <w:vertAlign w:val="superscript"/>
        </w:rPr>
        <w:t>+</w:t>
      </w:r>
      <w:r>
        <w:rPr>
          <w:rFonts w:ascii="Arial" w:hAnsi="Arial" w:cs="Arial"/>
        </w:rPr>
        <w:t xml:space="preserve"> cells outside the crypt base to the top of the crypts. Scale bar is indicated on the images (50 µm).</w:t>
      </w:r>
    </w:p>
    <w:p w14:paraId="5ABB9A3F" w14:textId="77777777" w:rsidR="0030623E" w:rsidRDefault="0030623E" w:rsidP="0030623E">
      <w:pPr>
        <w:rPr>
          <w:rFonts w:ascii="Arial" w:hAnsi="Arial" w:cs="Arial"/>
          <w:b/>
          <w:bCs/>
          <w:color w:val="000000" w:themeColor="text1"/>
        </w:rPr>
      </w:pPr>
      <w:r>
        <w:rPr>
          <w:rFonts w:ascii="Arial" w:hAnsi="Arial" w:cs="Arial"/>
          <w:b/>
          <w:bCs/>
          <w:color w:val="000000" w:themeColor="text1"/>
        </w:rPr>
        <w:br w:type="page"/>
      </w:r>
    </w:p>
    <w:p w14:paraId="6A193B13" w14:textId="77777777" w:rsidR="0030623E" w:rsidRPr="00531135" w:rsidRDefault="0030623E" w:rsidP="0030623E">
      <w:pPr>
        <w:spacing w:line="360" w:lineRule="auto"/>
        <w:jc w:val="both"/>
        <w:rPr>
          <w:rFonts w:ascii="Arial" w:hAnsi="Arial" w:cs="Arial"/>
          <w:color w:val="000000" w:themeColor="text1"/>
        </w:rPr>
      </w:pPr>
      <w:r>
        <w:rPr>
          <w:rFonts w:ascii="Arial" w:hAnsi="Arial" w:cs="Arial"/>
          <w:b/>
          <w:bCs/>
          <w:color w:val="000000" w:themeColor="text1"/>
        </w:rPr>
        <w:lastRenderedPageBreak/>
        <w:t>Supplementary Note 1:</w:t>
      </w:r>
      <w:r w:rsidRPr="00531135">
        <w:rPr>
          <w:rFonts w:ascii="Arial" w:hAnsi="Arial" w:cs="Arial"/>
          <w:color w:val="000000" w:themeColor="text1"/>
        </w:rPr>
        <w:t xml:space="preserve"> </w:t>
      </w:r>
      <w:r w:rsidRPr="00531135">
        <w:rPr>
          <w:rFonts w:ascii="Arial" w:hAnsi="Arial" w:cs="Arial"/>
          <w:b/>
          <w:bCs/>
          <w:color w:val="000000" w:themeColor="text1"/>
        </w:rPr>
        <w:t xml:space="preserve">Optimising experimental parameters for administering BrdU in </w:t>
      </w:r>
      <w:r>
        <w:rPr>
          <w:rFonts w:ascii="Arial" w:hAnsi="Arial" w:cs="Arial"/>
          <w:b/>
          <w:bCs/>
          <w:color w:val="000000" w:themeColor="text1"/>
        </w:rPr>
        <w:t xml:space="preserve">naked mole rats </w:t>
      </w:r>
      <w:r w:rsidRPr="00C546E2">
        <w:rPr>
          <w:rFonts w:ascii="Arial" w:hAnsi="Arial" w:cs="Arial"/>
          <w:b/>
          <w:bCs/>
          <w:i/>
          <w:iCs/>
          <w:color w:val="000000" w:themeColor="text1"/>
        </w:rPr>
        <w:t>in vivo</w:t>
      </w:r>
    </w:p>
    <w:p w14:paraId="64FC4016" w14:textId="77777777" w:rsidR="0030623E" w:rsidRPr="00531135" w:rsidRDefault="0030623E" w:rsidP="0030623E">
      <w:pPr>
        <w:spacing w:line="360" w:lineRule="auto"/>
        <w:jc w:val="both"/>
        <w:rPr>
          <w:rFonts w:ascii="Arial" w:hAnsi="Arial" w:cs="Arial"/>
          <w:color w:val="000000" w:themeColor="text1"/>
        </w:rPr>
      </w:pPr>
      <w:r w:rsidRPr="007D52E0">
        <w:rPr>
          <w:rFonts w:ascii="Arial" w:hAnsi="Arial" w:cs="Arial"/>
          <w:color w:val="000000" w:themeColor="text1"/>
        </w:rPr>
        <w:t xml:space="preserve">We first determined the appropriate dose of BrdU to be administered in NMRs </w:t>
      </w:r>
      <w:r w:rsidRPr="00C546E2">
        <w:rPr>
          <w:rFonts w:ascii="Arial" w:hAnsi="Arial" w:cs="Arial"/>
          <w:color w:val="000000" w:themeColor="text1"/>
        </w:rPr>
        <w:t xml:space="preserve">by injecting NMRs intraperitoneally with 100mg/kg and 200mg/kg bodyweight of BrdU, and found no difference in the </w:t>
      </w:r>
      <w:r>
        <w:rPr>
          <w:rFonts w:ascii="Arial" w:hAnsi="Arial" w:cs="Arial"/>
          <w:color w:val="000000" w:themeColor="text1"/>
        </w:rPr>
        <w:t>percentage</w:t>
      </w:r>
      <w:r w:rsidRPr="00C546E2">
        <w:rPr>
          <w:rFonts w:ascii="Arial" w:hAnsi="Arial" w:cs="Arial"/>
          <w:color w:val="000000" w:themeColor="text1"/>
        </w:rPr>
        <w:t xml:space="preserve"> of cells labelled in the small intestine between the two doses</w:t>
      </w:r>
      <w:r>
        <w:rPr>
          <w:rFonts w:ascii="Arial" w:hAnsi="Arial" w:cs="Arial"/>
          <w:color w:val="000000" w:themeColor="text1"/>
        </w:rPr>
        <w:t xml:space="preserve"> although the staining with anti-BrdU antibody was stronger at the higher concentration</w:t>
      </w:r>
      <w:r w:rsidRPr="00C546E2">
        <w:rPr>
          <w:rFonts w:ascii="Arial" w:hAnsi="Arial" w:cs="Arial"/>
          <w:color w:val="000000" w:themeColor="text1"/>
        </w:rPr>
        <w:t xml:space="preserve"> </w:t>
      </w:r>
      <w:r w:rsidRPr="007D52E0">
        <w:rPr>
          <w:rFonts w:ascii="Arial" w:hAnsi="Arial" w:cs="Arial"/>
          <w:color w:val="000000" w:themeColor="text1"/>
        </w:rPr>
        <w:t>(Extended Data Fig. 2a).</w:t>
      </w:r>
      <w:r>
        <w:rPr>
          <w:rFonts w:ascii="Arial" w:hAnsi="Arial" w:cs="Arial"/>
          <w:color w:val="000000" w:themeColor="text1"/>
        </w:rPr>
        <w:t xml:space="preserve"> As BrdU labelled cells were reliably detected at </w:t>
      </w:r>
      <w:r w:rsidRPr="00236B75">
        <w:rPr>
          <w:rFonts w:ascii="Arial" w:hAnsi="Arial" w:cs="Arial"/>
          <w:color w:val="000000" w:themeColor="text1"/>
        </w:rPr>
        <w:t>100mg/kg</w:t>
      </w:r>
      <w:r>
        <w:rPr>
          <w:rFonts w:ascii="Arial" w:hAnsi="Arial" w:cs="Arial"/>
          <w:color w:val="000000" w:themeColor="text1"/>
        </w:rPr>
        <w:t xml:space="preserve">, we used this concentration in subsequent experiments for reducing stress in animals as larger injection volumes (&gt;350 </w:t>
      </w:r>
      <w:r>
        <w:rPr>
          <w:rFonts w:ascii="Arial" w:hAnsi="Arial" w:cs="Arial"/>
          <w:color w:val="000000" w:themeColor="text1"/>
        </w:rPr>
        <w:sym w:font="Symbol" w:char="F06D"/>
      </w:r>
      <w:r>
        <w:rPr>
          <w:rFonts w:ascii="Arial" w:hAnsi="Arial" w:cs="Arial"/>
          <w:color w:val="000000" w:themeColor="text1"/>
        </w:rPr>
        <w:t>l)  would be required for 2</w:t>
      </w:r>
      <w:r w:rsidRPr="00236B75">
        <w:rPr>
          <w:rFonts w:ascii="Arial" w:hAnsi="Arial" w:cs="Arial"/>
          <w:color w:val="000000" w:themeColor="text1"/>
        </w:rPr>
        <w:t>00mg/k</w:t>
      </w:r>
      <w:r>
        <w:rPr>
          <w:rFonts w:ascii="Arial" w:hAnsi="Arial" w:cs="Arial"/>
          <w:color w:val="000000" w:themeColor="text1"/>
        </w:rPr>
        <w:t>g (BrdU solubility in aqueous solution is 50mM).</w:t>
      </w:r>
      <w:r w:rsidRPr="00531135">
        <w:rPr>
          <w:rFonts w:ascii="Arial" w:hAnsi="Arial" w:cs="Arial"/>
          <w:color w:val="000000" w:themeColor="text1"/>
        </w:rPr>
        <w:t xml:space="preserve"> </w:t>
      </w:r>
      <w:r>
        <w:rPr>
          <w:rFonts w:ascii="Arial" w:hAnsi="Arial" w:cs="Arial"/>
          <w:color w:val="000000" w:themeColor="text1"/>
        </w:rPr>
        <w:t>A</w:t>
      </w:r>
      <w:r w:rsidRPr="00531135">
        <w:rPr>
          <w:rFonts w:ascii="Arial" w:hAnsi="Arial" w:cs="Arial"/>
          <w:color w:val="000000" w:themeColor="text1"/>
        </w:rPr>
        <w:t xml:space="preserve">s each injection of BrdU labels only those proliferating cells that are in the S-phase, it was important to </w:t>
      </w:r>
      <w:r>
        <w:rPr>
          <w:rFonts w:ascii="Arial" w:hAnsi="Arial" w:cs="Arial"/>
          <w:color w:val="000000" w:themeColor="text1"/>
        </w:rPr>
        <w:t>design</w:t>
      </w:r>
      <w:r w:rsidRPr="00531135">
        <w:rPr>
          <w:rFonts w:ascii="Arial" w:hAnsi="Arial" w:cs="Arial"/>
          <w:color w:val="000000" w:themeColor="text1"/>
        </w:rPr>
        <w:t xml:space="preserve"> an appropriate timeline for injections to ensure maximal availability of BrdU in all proliferating cells of NMR crypts. We found no difference in the </w:t>
      </w:r>
      <w:r>
        <w:rPr>
          <w:rFonts w:ascii="Arial" w:hAnsi="Arial" w:cs="Arial"/>
          <w:color w:val="000000" w:themeColor="text1"/>
        </w:rPr>
        <w:t>percentage</w:t>
      </w:r>
      <w:r w:rsidRPr="00531135">
        <w:rPr>
          <w:rFonts w:ascii="Arial" w:hAnsi="Arial" w:cs="Arial"/>
          <w:color w:val="000000" w:themeColor="text1"/>
        </w:rPr>
        <w:t xml:space="preserve"> of BrdU</w:t>
      </w:r>
      <w:r w:rsidRPr="00531135">
        <w:rPr>
          <w:rFonts w:ascii="Arial" w:hAnsi="Arial" w:cs="Arial"/>
          <w:color w:val="000000" w:themeColor="text1"/>
          <w:vertAlign w:val="superscript"/>
        </w:rPr>
        <w:t>+</w:t>
      </w:r>
      <w:r w:rsidRPr="00531135">
        <w:rPr>
          <w:rFonts w:ascii="Arial" w:hAnsi="Arial" w:cs="Arial"/>
          <w:color w:val="000000" w:themeColor="text1"/>
        </w:rPr>
        <w:t xml:space="preserve"> cells per crypt section between animals injected every hour for 8 h</w:t>
      </w:r>
      <w:r>
        <w:rPr>
          <w:rFonts w:ascii="Arial" w:hAnsi="Arial" w:cs="Arial"/>
          <w:color w:val="000000" w:themeColor="text1"/>
        </w:rPr>
        <w:t>ours</w:t>
      </w:r>
      <w:r w:rsidRPr="00531135">
        <w:rPr>
          <w:rFonts w:ascii="Arial" w:hAnsi="Arial" w:cs="Arial"/>
          <w:color w:val="000000" w:themeColor="text1"/>
        </w:rPr>
        <w:t xml:space="preserve"> and those pulsed once and tissue assessed after 8 hours (</w:t>
      </w:r>
      <w:r>
        <w:rPr>
          <w:rFonts w:ascii="Arial" w:hAnsi="Arial" w:cs="Arial"/>
          <w:color w:val="000000" w:themeColor="text1"/>
        </w:rPr>
        <w:t>Extended Data Fig.</w:t>
      </w:r>
      <w:r w:rsidRPr="00531135">
        <w:rPr>
          <w:rFonts w:ascii="Arial" w:hAnsi="Arial" w:cs="Arial"/>
          <w:color w:val="000000" w:themeColor="text1"/>
        </w:rPr>
        <w:t xml:space="preserve"> </w:t>
      </w:r>
      <w:r>
        <w:rPr>
          <w:rFonts w:ascii="Arial" w:hAnsi="Arial" w:cs="Arial"/>
          <w:color w:val="000000" w:themeColor="text1"/>
        </w:rPr>
        <w:t>2b</w:t>
      </w:r>
      <w:r w:rsidRPr="00531135">
        <w:rPr>
          <w:rFonts w:ascii="Arial" w:hAnsi="Arial" w:cs="Arial"/>
          <w:color w:val="000000" w:themeColor="text1"/>
        </w:rPr>
        <w:t>). We next assessed the bioavailability of BrdU in NMR</w:t>
      </w:r>
      <w:r>
        <w:rPr>
          <w:rFonts w:ascii="Arial" w:hAnsi="Arial" w:cs="Arial"/>
          <w:color w:val="000000" w:themeColor="text1"/>
        </w:rPr>
        <w:t xml:space="preserve">s over a specific period post-injection by withdrawing blood from animals after 8h and 16h after the first injection at time 0 (Extended Data Fig. 2c, top). The plasma collected at these time points was added to the growth medium of HEK293T cells and uptake by these cells was detected by anti-BrdU immunolabelling (Extended Data Fig. 2c, left). We observed </w:t>
      </w:r>
      <w:r w:rsidRPr="00C546E2">
        <w:rPr>
          <w:rFonts w:ascii="Arial" w:hAnsi="Arial" w:cs="Arial"/>
          <w:color w:val="000000" w:themeColor="text1"/>
        </w:rPr>
        <w:t>18</w:t>
      </w:r>
      <w:r w:rsidRPr="0034218A">
        <w:rPr>
          <w:rFonts w:ascii="Arial" w:hAnsi="Arial" w:cs="Arial"/>
          <w:color w:val="000000" w:themeColor="text1"/>
        </w:rPr>
        <w:t xml:space="preserve">% </w:t>
      </w:r>
      <w:r>
        <w:rPr>
          <w:rFonts w:ascii="Arial" w:hAnsi="Arial" w:cs="Arial"/>
          <w:color w:val="000000" w:themeColor="text1"/>
        </w:rPr>
        <w:t xml:space="preserve">± 6 </w:t>
      </w:r>
      <w:r w:rsidRPr="0034218A">
        <w:rPr>
          <w:rFonts w:ascii="Arial" w:hAnsi="Arial" w:cs="Arial"/>
          <w:color w:val="000000" w:themeColor="text1"/>
        </w:rPr>
        <w:t>of</w:t>
      </w:r>
      <w:r>
        <w:rPr>
          <w:rFonts w:ascii="Arial" w:hAnsi="Arial" w:cs="Arial"/>
          <w:color w:val="000000" w:themeColor="text1"/>
        </w:rPr>
        <w:t xml:space="preserve"> BrdU-labelled HEK293T cells (labelling index) from sera collected at 8h while no BrdU-positive cells were detected in wells supplemented with NMR sera collected after 16h of BrdU administration (Extended Data Fig. 2c, left). Using known concentrations of BrdU, we generated a standard curve with the percentage of HEK293T cells labelled with different concentrations (Extended Data Fig. 2c, middle). Using this standard curve, we found the concentration of BrdU in NMR sera after 8h injection was 15 </w:t>
      </w:r>
      <w:r>
        <w:rPr>
          <w:rFonts w:ascii="Arial" w:hAnsi="Arial" w:cs="Arial"/>
          <w:color w:val="000000" w:themeColor="text1"/>
        </w:rPr>
        <w:sym w:font="Symbol" w:char="F06D"/>
      </w:r>
      <w:r>
        <w:rPr>
          <w:rFonts w:ascii="Arial" w:hAnsi="Arial" w:cs="Arial"/>
          <w:color w:val="000000" w:themeColor="text1"/>
        </w:rPr>
        <w:t>g/ml ± 5 (Extended Data Fig. 2c, right) which was enough to label cycling cells in the intestinal crypts (Extended Data Fig. 2a-b). A previous study using the same method in mouse, canary and quail has shown a faster clearance of BrdU (1 to 2 hours) in these species</w:t>
      </w:r>
      <w:r w:rsidRPr="00052140">
        <w:rPr>
          <w:rFonts w:ascii="Arial" w:hAnsi="Arial" w:cs="Arial"/>
          <w:noProof/>
          <w:color w:val="000000" w:themeColor="text1"/>
          <w:vertAlign w:val="superscript"/>
        </w:rPr>
        <w:t>76</w:t>
      </w:r>
      <w:r w:rsidRPr="00531135">
        <w:rPr>
          <w:rFonts w:ascii="Arial" w:hAnsi="Arial" w:cs="Arial"/>
          <w:color w:val="000000" w:themeColor="text1"/>
        </w:rPr>
        <w:t xml:space="preserve">. Given the time between each injection had to be shorter than Ts </w:t>
      </w:r>
      <w:r>
        <w:rPr>
          <w:rFonts w:ascii="Arial" w:hAnsi="Arial" w:cs="Arial"/>
          <w:color w:val="000000" w:themeColor="text1"/>
        </w:rPr>
        <w:t>to ensure</w:t>
      </w:r>
      <w:r w:rsidRPr="00531135">
        <w:rPr>
          <w:rFonts w:ascii="Arial" w:hAnsi="Arial" w:cs="Arial"/>
          <w:color w:val="000000" w:themeColor="text1"/>
        </w:rPr>
        <w:t xml:space="preserve"> that no proliferating cell passes completely through the S phase without being exposed to BrdU</w:t>
      </w:r>
      <w:r>
        <w:rPr>
          <w:rFonts w:ascii="Arial" w:hAnsi="Arial" w:cs="Arial"/>
          <w:color w:val="000000" w:themeColor="text1"/>
        </w:rPr>
        <w:t>,</w:t>
      </w:r>
      <w:r w:rsidRPr="00531135">
        <w:rPr>
          <w:rFonts w:ascii="Arial" w:hAnsi="Arial" w:cs="Arial"/>
          <w:color w:val="000000" w:themeColor="text1"/>
        </w:rPr>
        <w:t xml:space="preserve"> and the period of BrdU injections had to be longer than Ts so that all proliferating cells pass through S at least once</w:t>
      </w:r>
      <w:r w:rsidRPr="00052140">
        <w:rPr>
          <w:rFonts w:ascii="Arial" w:hAnsi="Arial" w:cs="Arial"/>
          <w:noProof/>
          <w:color w:val="000000" w:themeColor="text1"/>
          <w:vertAlign w:val="superscript"/>
        </w:rPr>
        <w:t>36</w:t>
      </w:r>
      <w:r w:rsidRPr="00531135">
        <w:rPr>
          <w:rFonts w:ascii="Arial" w:hAnsi="Arial" w:cs="Arial"/>
          <w:color w:val="000000" w:themeColor="text1"/>
        </w:rPr>
        <w:t xml:space="preserve">, we decided to use 8 h interval </w:t>
      </w:r>
      <w:r w:rsidRPr="00531135">
        <w:rPr>
          <w:rFonts w:ascii="Arial" w:hAnsi="Arial" w:cs="Arial"/>
          <w:color w:val="000000" w:themeColor="text1"/>
        </w:rPr>
        <w:lastRenderedPageBreak/>
        <w:t>between each injection in NMR and a total of 15 injections for 5 continuous days in our experimental design (</w:t>
      </w:r>
      <w:r>
        <w:rPr>
          <w:rFonts w:ascii="Arial" w:hAnsi="Arial" w:cs="Arial"/>
          <w:color w:val="000000" w:themeColor="text1"/>
        </w:rPr>
        <w:t>Fig.</w:t>
      </w:r>
      <w:r w:rsidRPr="00531135">
        <w:rPr>
          <w:rFonts w:ascii="Arial" w:hAnsi="Arial" w:cs="Arial"/>
          <w:color w:val="000000" w:themeColor="text1"/>
        </w:rPr>
        <w:t xml:space="preserve"> 3</w:t>
      </w:r>
      <w:r>
        <w:rPr>
          <w:rFonts w:ascii="Arial" w:hAnsi="Arial" w:cs="Arial"/>
          <w:color w:val="000000" w:themeColor="text1"/>
        </w:rPr>
        <w:t>a, 4a</w:t>
      </w:r>
      <w:r w:rsidRPr="00531135">
        <w:rPr>
          <w:rFonts w:ascii="Arial" w:hAnsi="Arial" w:cs="Arial"/>
          <w:color w:val="000000" w:themeColor="text1"/>
        </w:rPr>
        <w:t xml:space="preserve">). Finally, to ensure that repeated </w:t>
      </w:r>
      <w:r>
        <w:rPr>
          <w:rFonts w:ascii="Arial" w:hAnsi="Arial" w:cs="Arial"/>
          <w:color w:val="000000" w:themeColor="text1"/>
        </w:rPr>
        <w:t>injections</w:t>
      </w:r>
      <w:r w:rsidRPr="00531135">
        <w:rPr>
          <w:rFonts w:ascii="Arial" w:hAnsi="Arial" w:cs="Arial"/>
          <w:color w:val="000000" w:themeColor="text1"/>
        </w:rPr>
        <w:t xml:space="preserve"> of BrdU did not change the cell cycle duration by stressing the </w:t>
      </w:r>
      <w:r>
        <w:rPr>
          <w:rFonts w:ascii="Arial" w:hAnsi="Arial" w:cs="Arial"/>
          <w:color w:val="000000" w:themeColor="text1"/>
        </w:rPr>
        <w:t xml:space="preserve">intestinal </w:t>
      </w:r>
      <w:r w:rsidRPr="00531135">
        <w:rPr>
          <w:rFonts w:ascii="Arial" w:hAnsi="Arial" w:cs="Arial"/>
          <w:color w:val="000000" w:themeColor="text1"/>
        </w:rPr>
        <w:t xml:space="preserve">cells </w:t>
      </w:r>
      <w:r w:rsidRPr="00531135">
        <w:rPr>
          <w:rFonts w:ascii="Arial" w:hAnsi="Arial" w:cs="Arial"/>
          <w:i/>
          <w:color w:val="000000" w:themeColor="text1"/>
        </w:rPr>
        <w:t>in vivo</w:t>
      </w:r>
      <w:r>
        <w:rPr>
          <w:rFonts w:ascii="Arial" w:hAnsi="Arial" w:cs="Arial"/>
          <w:color w:val="000000" w:themeColor="text1"/>
        </w:rPr>
        <w:t xml:space="preserve">, we used a second thymidine </w:t>
      </w:r>
      <w:r w:rsidRPr="00531135">
        <w:rPr>
          <w:rFonts w:ascii="Arial" w:hAnsi="Arial" w:cs="Arial"/>
          <w:color w:val="000000" w:themeColor="text1"/>
        </w:rPr>
        <w:t>analogue, EdU</w:t>
      </w:r>
      <w:r>
        <w:rPr>
          <w:rFonts w:ascii="Arial" w:hAnsi="Arial" w:cs="Arial"/>
          <w:color w:val="000000" w:themeColor="text1"/>
        </w:rPr>
        <w:t xml:space="preserve">, in NMRs that had received no BrdU injection (control) and analysed small intestinal crypts after 8 hours (Extended Data Fig 2d, top) to obtain the proportion of EdU+ cells per crypt (14%± 0.8) (Extended Data Fig 2d). In parallel, we scored EdU+ cells in NMR crypts that had previously been subjected to 15 consecutive BrdU injections and one EdU injection 8 hours prior to the termination of the experiment (Extended Data Fig 2d, top). We found the latter also to be 14.5%± 0.7 (Extended Data Fig 2d), showing that </w:t>
      </w:r>
      <w:r w:rsidRPr="00531135">
        <w:rPr>
          <w:rFonts w:ascii="Arial" w:hAnsi="Arial" w:cs="Arial"/>
          <w:color w:val="000000" w:themeColor="text1"/>
        </w:rPr>
        <w:t>the</w:t>
      </w:r>
      <w:r>
        <w:rPr>
          <w:rFonts w:ascii="Arial" w:hAnsi="Arial" w:cs="Arial"/>
          <w:color w:val="000000" w:themeColor="text1"/>
        </w:rPr>
        <w:t xml:space="preserve"> proportion of proliferating cells in the S-phase were unaffected by repeated BrdU injections </w:t>
      </w:r>
      <w:r w:rsidRPr="00531135">
        <w:rPr>
          <w:rFonts w:ascii="Arial" w:hAnsi="Arial" w:cs="Arial"/>
          <w:color w:val="000000" w:themeColor="text1"/>
        </w:rPr>
        <w:t>(</w:t>
      </w:r>
      <w:r>
        <w:rPr>
          <w:rFonts w:ascii="Arial" w:hAnsi="Arial" w:cs="Arial"/>
          <w:color w:val="000000" w:themeColor="text1"/>
        </w:rPr>
        <w:t>Extended Data Fig.</w:t>
      </w:r>
      <w:r w:rsidRPr="00531135">
        <w:rPr>
          <w:rFonts w:ascii="Arial" w:hAnsi="Arial" w:cs="Arial"/>
          <w:color w:val="000000" w:themeColor="text1"/>
        </w:rPr>
        <w:t xml:space="preserve"> </w:t>
      </w:r>
      <w:r>
        <w:rPr>
          <w:rFonts w:ascii="Arial" w:hAnsi="Arial" w:cs="Arial"/>
          <w:color w:val="000000" w:themeColor="text1"/>
        </w:rPr>
        <w:t>2d</w:t>
      </w:r>
      <w:r w:rsidRPr="00531135">
        <w:rPr>
          <w:rFonts w:ascii="Arial" w:hAnsi="Arial" w:cs="Arial"/>
          <w:color w:val="000000" w:themeColor="text1"/>
        </w:rPr>
        <w:t xml:space="preserve">). </w:t>
      </w:r>
    </w:p>
    <w:p w14:paraId="3C337352" w14:textId="77777777" w:rsidR="0030623E" w:rsidRDefault="0030623E" w:rsidP="0030623E">
      <w:pPr>
        <w:spacing w:line="360" w:lineRule="auto"/>
        <w:jc w:val="both"/>
        <w:rPr>
          <w:rFonts w:ascii="Arial" w:hAnsi="Arial" w:cs="Arial"/>
          <w:color w:val="000000" w:themeColor="text1"/>
        </w:rPr>
      </w:pPr>
    </w:p>
    <w:p w14:paraId="1CDBD6C6" w14:textId="77777777" w:rsidR="0030623E" w:rsidRDefault="0030623E" w:rsidP="0030623E">
      <w:pPr>
        <w:spacing w:line="360" w:lineRule="auto"/>
        <w:jc w:val="both"/>
        <w:rPr>
          <w:rFonts w:ascii="Arial" w:hAnsi="Arial" w:cs="Arial"/>
          <w:color w:val="000000" w:themeColor="text1"/>
        </w:rPr>
      </w:pPr>
      <w:r>
        <w:rPr>
          <w:rFonts w:ascii="Arial" w:hAnsi="Arial" w:cs="Arial"/>
          <w:noProof/>
          <w:color w:val="000000" w:themeColor="text1"/>
        </w:rPr>
        <w:lastRenderedPageBreak/>
        <w:drawing>
          <wp:inline distT="0" distB="0" distL="0" distR="0" wp14:anchorId="7116A78C" wp14:editId="0D269EF2">
            <wp:extent cx="5727700" cy="6048375"/>
            <wp:effectExtent l="0" t="0" r="0" b="0"/>
            <wp:docPr id="5" name="Picture 5"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Diagram&#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5727700" cy="6048375"/>
                    </a:xfrm>
                    <a:prstGeom prst="rect">
                      <a:avLst/>
                    </a:prstGeom>
                  </pic:spPr>
                </pic:pic>
              </a:graphicData>
            </a:graphic>
          </wp:inline>
        </w:drawing>
      </w:r>
    </w:p>
    <w:p w14:paraId="38CB366F" w14:textId="77777777" w:rsidR="0030623E" w:rsidRPr="005D59B9" w:rsidRDefault="0030623E" w:rsidP="0030623E">
      <w:pPr>
        <w:spacing w:line="360" w:lineRule="auto"/>
        <w:jc w:val="both"/>
        <w:rPr>
          <w:rFonts w:ascii="Arial" w:hAnsi="Arial" w:cs="Arial"/>
        </w:rPr>
      </w:pPr>
      <w:r>
        <w:rPr>
          <w:rFonts w:ascii="Arial" w:hAnsi="Arial" w:cs="Arial"/>
          <w:b/>
          <w:bCs/>
        </w:rPr>
        <w:t xml:space="preserve">Extended Data </w:t>
      </w:r>
      <w:r w:rsidRPr="005D59B9">
        <w:rPr>
          <w:rFonts w:ascii="Arial" w:hAnsi="Arial" w:cs="Arial"/>
          <w:b/>
          <w:bCs/>
        </w:rPr>
        <w:t>Fig</w:t>
      </w:r>
      <w:r>
        <w:rPr>
          <w:rFonts w:ascii="Arial" w:hAnsi="Arial" w:cs="Arial"/>
          <w:b/>
          <w:bCs/>
        </w:rPr>
        <w:t>. 2</w:t>
      </w:r>
      <w:r>
        <w:rPr>
          <w:rFonts w:ascii="Arial" w:hAnsi="Arial" w:cs="Arial"/>
        </w:rPr>
        <w:t xml:space="preserve"> | </w:t>
      </w:r>
      <w:r w:rsidRPr="00531135">
        <w:rPr>
          <w:rFonts w:ascii="Arial" w:hAnsi="Arial" w:cs="Arial"/>
          <w:b/>
          <w:bCs/>
          <w:color w:val="000000" w:themeColor="text1"/>
        </w:rPr>
        <w:t xml:space="preserve">Optimising experimental parameters for administering BrdU in </w:t>
      </w:r>
      <w:r>
        <w:rPr>
          <w:rFonts w:ascii="Arial" w:hAnsi="Arial" w:cs="Arial"/>
          <w:b/>
          <w:bCs/>
          <w:color w:val="000000" w:themeColor="text1"/>
        </w:rPr>
        <w:t xml:space="preserve">naked mole rats </w:t>
      </w:r>
      <w:r w:rsidRPr="00C546E2">
        <w:rPr>
          <w:rFonts w:ascii="Arial" w:hAnsi="Arial" w:cs="Arial"/>
          <w:b/>
          <w:bCs/>
          <w:i/>
          <w:iCs/>
          <w:color w:val="000000" w:themeColor="text1"/>
        </w:rPr>
        <w:t>in vivo</w:t>
      </w:r>
      <w:r>
        <w:rPr>
          <w:rFonts w:ascii="Arial" w:hAnsi="Arial" w:cs="Arial"/>
        </w:rPr>
        <w:t xml:space="preserve"> </w:t>
      </w:r>
      <w:r w:rsidRPr="005538B4">
        <w:rPr>
          <w:rFonts w:ascii="Arial" w:hAnsi="Arial" w:cs="Arial"/>
          <w:bCs/>
        </w:rPr>
        <w:t>a</w:t>
      </w:r>
      <w:r>
        <w:rPr>
          <w:rFonts w:ascii="Arial" w:hAnsi="Arial" w:cs="Arial"/>
        </w:rPr>
        <w:t>,</w:t>
      </w:r>
      <w:r w:rsidRPr="005D59B9">
        <w:rPr>
          <w:rFonts w:ascii="Arial" w:hAnsi="Arial" w:cs="Arial"/>
        </w:rPr>
        <w:t xml:space="preserve"> </w:t>
      </w:r>
      <w:r>
        <w:rPr>
          <w:rFonts w:ascii="Arial" w:hAnsi="Arial" w:cs="Arial"/>
        </w:rPr>
        <w:t>Top, s</w:t>
      </w:r>
      <w:r w:rsidRPr="005D59B9">
        <w:rPr>
          <w:rFonts w:ascii="Arial" w:hAnsi="Arial" w:cs="Arial"/>
        </w:rPr>
        <w:t>chema showing timeline of BrdU injections (green</w:t>
      </w:r>
      <w:r>
        <w:rPr>
          <w:rFonts w:ascii="Arial" w:hAnsi="Arial" w:cs="Arial"/>
        </w:rPr>
        <w:t xml:space="preserve"> dots</w:t>
      </w:r>
      <w:r w:rsidRPr="005D59B9">
        <w:rPr>
          <w:rFonts w:ascii="Arial" w:hAnsi="Arial" w:cs="Arial"/>
        </w:rPr>
        <w:t>) into NMRs at two different doses (100 and 200 mg/kg-bodyweight) and time of tissue harvest (red</w:t>
      </w:r>
      <w:r>
        <w:rPr>
          <w:rFonts w:ascii="Arial" w:hAnsi="Arial" w:cs="Arial"/>
        </w:rPr>
        <w:t xml:space="preserve"> dot</w:t>
      </w:r>
      <w:r w:rsidRPr="005D59B9">
        <w:rPr>
          <w:rFonts w:ascii="Arial" w:hAnsi="Arial" w:cs="Arial"/>
        </w:rPr>
        <w:t xml:space="preserve">). </w:t>
      </w:r>
      <w:r>
        <w:rPr>
          <w:rFonts w:ascii="Arial" w:hAnsi="Arial" w:cs="Arial"/>
        </w:rPr>
        <w:t xml:space="preserve">Bottom, </w:t>
      </w:r>
      <w:r w:rsidRPr="005D59B9">
        <w:rPr>
          <w:rFonts w:ascii="Arial" w:hAnsi="Arial" w:cs="Arial"/>
        </w:rPr>
        <w:t xml:space="preserve">Photomicrographs showing </w:t>
      </w:r>
      <w:r>
        <w:rPr>
          <w:rFonts w:ascii="Arial" w:hAnsi="Arial" w:cs="Arial"/>
        </w:rPr>
        <w:t xml:space="preserve">small intestinal </w:t>
      </w:r>
      <w:r w:rsidRPr="005D59B9">
        <w:rPr>
          <w:rFonts w:ascii="Arial" w:hAnsi="Arial" w:cs="Arial"/>
        </w:rPr>
        <w:t xml:space="preserve">crypts from both cohorts stained with anti-BrdU antibody (brown) and counterstained with haematoxylin (blue). </w:t>
      </w:r>
      <w:r>
        <w:rPr>
          <w:rFonts w:ascii="Arial" w:hAnsi="Arial" w:cs="Arial"/>
        </w:rPr>
        <w:t xml:space="preserve">Right, </w:t>
      </w:r>
      <w:r w:rsidRPr="005D59B9">
        <w:rPr>
          <w:rFonts w:ascii="Arial" w:hAnsi="Arial" w:cs="Arial"/>
        </w:rPr>
        <w:t>Bar graphs showing no significant difference in the proportion of BrdU</w:t>
      </w:r>
      <w:r w:rsidRPr="005D59B9">
        <w:rPr>
          <w:rFonts w:ascii="Arial" w:hAnsi="Arial" w:cs="Arial"/>
          <w:vertAlign w:val="superscript"/>
        </w:rPr>
        <w:t>+</w:t>
      </w:r>
      <w:r w:rsidRPr="005D59B9">
        <w:rPr>
          <w:rFonts w:ascii="Arial" w:hAnsi="Arial" w:cs="Arial"/>
        </w:rPr>
        <w:t xml:space="preserve"> cells in duodenal crypts between the two doses </w:t>
      </w:r>
      <w:r>
        <w:rPr>
          <w:rFonts w:ascii="Arial" w:hAnsi="Arial" w:cs="Arial"/>
        </w:rPr>
        <w:t xml:space="preserve">of BrdU </w:t>
      </w:r>
      <w:r w:rsidRPr="005D59B9">
        <w:rPr>
          <w:rFonts w:ascii="Arial" w:hAnsi="Arial" w:cs="Arial"/>
        </w:rPr>
        <w:t xml:space="preserve">used (n=42 crypts from 2 animals per dose, </w:t>
      </w:r>
      <w:r w:rsidRPr="005D59B9">
        <w:rPr>
          <w:rFonts w:ascii="Arial" w:hAnsi="Arial" w:cs="Arial"/>
          <w:i/>
          <w:iCs/>
        </w:rPr>
        <w:t>P</w:t>
      </w:r>
      <w:r w:rsidRPr="005D59B9">
        <w:rPr>
          <w:rFonts w:ascii="Arial" w:hAnsi="Arial" w:cs="Arial"/>
        </w:rPr>
        <w:t xml:space="preserve">=0.55). </w:t>
      </w:r>
      <w:r w:rsidRPr="005538B4">
        <w:rPr>
          <w:rFonts w:ascii="Arial" w:hAnsi="Arial" w:cs="Arial"/>
          <w:b/>
          <w:bCs/>
        </w:rPr>
        <w:t>b</w:t>
      </w:r>
      <w:r>
        <w:rPr>
          <w:rFonts w:ascii="Arial" w:hAnsi="Arial" w:cs="Arial"/>
        </w:rPr>
        <w:t>,</w:t>
      </w:r>
      <w:r w:rsidRPr="005D59B9">
        <w:rPr>
          <w:rFonts w:ascii="Arial" w:hAnsi="Arial" w:cs="Arial"/>
        </w:rPr>
        <w:t xml:space="preserve"> </w:t>
      </w:r>
      <w:r>
        <w:rPr>
          <w:rFonts w:ascii="Arial" w:hAnsi="Arial" w:cs="Arial"/>
        </w:rPr>
        <w:t>Top, s</w:t>
      </w:r>
      <w:r w:rsidRPr="005D59B9">
        <w:rPr>
          <w:rFonts w:ascii="Arial" w:hAnsi="Arial" w:cs="Arial"/>
        </w:rPr>
        <w:t>chema illustrating two different frequencies (once only</w:t>
      </w:r>
      <w:r>
        <w:rPr>
          <w:rFonts w:ascii="Arial" w:hAnsi="Arial" w:cs="Arial"/>
        </w:rPr>
        <w:t xml:space="preserve"> and </w:t>
      </w:r>
      <w:r w:rsidRPr="005D59B9">
        <w:rPr>
          <w:rFonts w:ascii="Arial" w:hAnsi="Arial" w:cs="Arial"/>
        </w:rPr>
        <w:t xml:space="preserve">every 1 hour for 8 hours) of BrdU injections (green dots) and time of tissue collection (red dot) after the first injection. </w:t>
      </w:r>
      <w:r>
        <w:rPr>
          <w:rFonts w:ascii="Arial" w:hAnsi="Arial" w:cs="Arial"/>
        </w:rPr>
        <w:t xml:space="preserve">Bottom, </w:t>
      </w:r>
      <w:r w:rsidRPr="005D59B9">
        <w:rPr>
          <w:rFonts w:ascii="Arial" w:hAnsi="Arial" w:cs="Arial"/>
        </w:rPr>
        <w:t xml:space="preserve">Brightfield </w:t>
      </w:r>
      <w:r w:rsidRPr="005D59B9">
        <w:rPr>
          <w:rFonts w:ascii="Arial" w:hAnsi="Arial" w:cs="Arial"/>
        </w:rPr>
        <w:lastRenderedPageBreak/>
        <w:t xml:space="preserve">images showing </w:t>
      </w:r>
      <w:r>
        <w:rPr>
          <w:rFonts w:ascii="Arial" w:hAnsi="Arial" w:cs="Arial"/>
        </w:rPr>
        <w:t xml:space="preserve">small intestinal </w:t>
      </w:r>
      <w:r w:rsidRPr="005D59B9">
        <w:rPr>
          <w:rFonts w:ascii="Arial" w:hAnsi="Arial" w:cs="Arial"/>
        </w:rPr>
        <w:t xml:space="preserve">crypts from both </w:t>
      </w:r>
      <w:r>
        <w:rPr>
          <w:rFonts w:ascii="Arial" w:hAnsi="Arial" w:cs="Arial"/>
        </w:rPr>
        <w:t>frequencies</w:t>
      </w:r>
      <w:r w:rsidRPr="005D59B9">
        <w:rPr>
          <w:rFonts w:ascii="Arial" w:hAnsi="Arial" w:cs="Arial"/>
        </w:rPr>
        <w:t xml:space="preserve"> stained with anti-BrdU antibody (brown) and counterstained with </w:t>
      </w:r>
      <w:r>
        <w:rPr>
          <w:rFonts w:ascii="Arial" w:hAnsi="Arial" w:cs="Arial"/>
        </w:rPr>
        <w:t>H</w:t>
      </w:r>
      <w:r w:rsidRPr="005D59B9">
        <w:rPr>
          <w:rFonts w:ascii="Arial" w:hAnsi="Arial" w:cs="Arial"/>
        </w:rPr>
        <w:t>aematoxylin (blue). Bar graphs showing no significant difference in the percentage of BrdU</w:t>
      </w:r>
      <w:r w:rsidRPr="005D59B9">
        <w:rPr>
          <w:rFonts w:ascii="Arial" w:hAnsi="Arial" w:cs="Arial"/>
          <w:vertAlign w:val="superscript"/>
        </w:rPr>
        <w:t>+</w:t>
      </w:r>
      <w:r w:rsidRPr="005D59B9">
        <w:rPr>
          <w:rFonts w:ascii="Arial" w:hAnsi="Arial" w:cs="Arial"/>
        </w:rPr>
        <w:t xml:space="preserve"> cells in the </w:t>
      </w:r>
      <w:r>
        <w:rPr>
          <w:rFonts w:ascii="Arial" w:hAnsi="Arial" w:cs="Arial"/>
        </w:rPr>
        <w:t>small intestinal</w:t>
      </w:r>
      <w:r w:rsidRPr="005D59B9">
        <w:rPr>
          <w:rFonts w:ascii="Arial" w:hAnsi="Arial" w:cs="Arial"/>
        </w:rPr>
        <w:t xml:space="preserve"> crypt of </w:t>
      </w:r>
      <w:r>
        <w:rPr>
          <w:rFonts w:ascii="Arial" w:hAnsi="Arial" w:cs="Arial"/>
        </w:rPr>
        <w:t>NMR</w:t>
      </w:r>
      <w:r w:rsidRPr="005D59B9">
        <w:rPr>
          <w:rFonts w:ascii="Arial" w:hAnsi="Arial" w:cs="Arial"/>
        </w:rPr>
        <w:t xml:space="preserve">s injected hourly for 8 h or only once (n=60 crypts from 2 animals per group, </w:t>
      </w:r>
      <w:r w:rsidRPr="005D59B9">
        <w:rPr>
          <w:rFonts w:ascii="Arial" w:hAnsi="Arial" w:cs="Arial"/>
          <w:i/>
          <w:iCs/>
        </w:rPr>
        <w:t>P</w:t>
      </w:r>
      <w:r w:rsidRPr="005D59B9">
        <w:rPr>
          <w:rFonts w:ascii="Arial" w:hAnsi="Arial" w:cs="Arial"/>
        </w:rPr>
        <w:t xml:space="preserve">=0.74). </w:t>
      </w:r>
      <w:r w:rsidRPr="005538B4">
        <w:rPr>
          <w:rFonts w:ascii="Arial" w:hAnsi="Arial" w:cs="Arial"/>
          <w:b/>
          <w:bCs/>
        </w:rPr>
        <w:t>c</w:t>
      </w:r>
      <w:r>
        <w:rPr>
          <w:rFonts w:ascii="Arial" w:hAnsi="Arial" w:cs="Arial"/>
        </w:rPr>
        <w:t>,</w:t>
      </w:r>
      <w:r w:rsidRPr="005D59B9">
        <w:rPr>
          <w:rFonts w:ascii="Arial" w:hAnsi="Arial" w:cs="Arial"/>
        </w:rPr>
        <w:t xml:space="preserve"> </w:t>
      </w:r>
      <w:r>
        <w:rPr>
          <w:rFonts w:ascii="Arial" w:hAnsi="Arial" w:cs="Arial"/>
        </w:rPr>
        <w:t>Top, s</w:t>
      </w:r>
      <w:r w:rsidRPr="005D59B9">
        <w:rPr>
          <w:rFonts w:ascii="Arial" w:hAnsi="Arial" w:cs="Arial"/>
        </w:rPr>
        <w:t xml:space="preserve">chema showing time of blood collection (purple) from the tail veins of NMRs after one injection of BrdU (green). </w:t>
      </w:r>
      <w:r>
        <w:rPr>
          <w:rFonts w:ascii="Arial" w:hAnsi="Arial" w:cs="Arial"/>
        </w:rPr>
        <w:t>Bottom, p</w:t>
      </w:r>
      <w:r w:rsidRPr="005D59B9">
        <w:rPr>
          <w:rFonts w:ascii="Arial" w:hAnsi="Arial" w:cs="Arial"/>
        </w:rPr>
        <w:t>hotomicrographs of HEK293T cells supplemented with plasma collected from the BrdU-injected NMRs at 8 h and 16 h after injection and stained with anti-BrdU antibody (brown). Quantification of the BrdU</w:t>
      </w:r>
      <w:r w:rsidRPr="005D59B9">
        <w:rPr>
          <w:rFonts w:ascii="Arial" w:hAnsi="Arial" w:cs="Arial"/>
          <w:vertAlign w:val="superscript"/>
        </w:rPr>
        <w:t>+</w:t>
      </w:r>
      <w:r w:rsidRPr="005D59B9">
        <w:rPr>
          <w:rFonts w:ascii="Arial" w:hAnsi="Arial" w:cs="Arial"/>
        </w:rPr>
        <w:t xml:space="preserve"> HEK293T cells (counts from triplicate wells) exposed to known concentrations of BrdU </w:t>
      </w:r>
      <w:r>
        <w:rPr>
          <w:rFonts w:ascii="Arial" w:hAnsi="Arial" w:cs="Arial"/>
        </w:rPr>
        <w:t xml:space="preserve">used to </w:t>
      </w:r>
      <w:r w:rsidRPr="005D59B9">
        <w:rPr>
          <w:rFonts w:ascii="Arial" w:hAnsi="Arial" w:cs="Arial"/>
        </w:rPr>
        <w:t xml:space="preserve">generate a standard titration curve which </w:t>
      </w:r>
      <w:r>
        <w:rPr>
          <w:rFonts w:ascii="Arial" w:hAnsi="Arial" w:cs="Arial"/>
        </w:rPr>
        <w:t>gave</w:t>
      </w:r>
      <w:r w:rsidRPr="005D59B9">
        <w:rPr>
          <w:rFonts w:ascii="Arial" w:hAnsi="Arial" w:cs="Arial"/>
        </w:rPr>
        <w:t xml:space="preserve"> the plasma BrdU concentration</w:t>
      </w:r>
      <w:r>
        <w:rPr>
          <w:rFonts w:ascii="Arial" w:hAnsi="Arial" w:cs="Arial"/>
        </w:rPr>
        <w:t xml:space="preserve"> of NMRs</w:t>
      </w:r>
      <w:r w:rsidRPr="005D59B9">
        <w:rPr>
          <w:rFonts w:ascii="Arial" w:hAnsi="Arial" w:cs="Arial"/>
        </w:rPr>
        <w:t>. Bar graphs showing BrdU concentration detected in the plasma of NMR</w:t>
      </w:r>
      <w:r>
        <w:rPr>
          <w:rFonts w:ascii="Arial" w:hAnsi="Arial" w:cs="Arial"/>
        </w:rPr>
        <w:t>s at</w:t>
      </w:r>
      <w:r w:rsidRPr="005D59B9">
        <w:rPr>
          <w:rFonts w:ascii="Arial" w:hAnsi="Arial" w:cs="Arial"/>
        </w:rPr>
        <w:t xml:space="preserve"> 8 and 16 hours after injection (n=2 animals at each time-point). </w:t>
      </w:r>
      <w:r>
        <w:rPr>
          <w:rFonts w:ascii="Arial" w:hAnsi="Arial" w:cs="Arial"/>
          <w:b/>
          <w:bCs/>
        </w:rPr>
        <w:t>d</w:t>
      </w:r>
      <w:r>
        <w:rPr>
          <w:rFonts w:ascii="Arial" w:hAnsi="Arial" w:cs="Arial"/>
        </w:rPr>
        <w:t>,</w:t>
      </w:r>
      <w:r w:rsidRPr="005D59B9">
        <w:rPr>
          <w:rFonts w:ascii="Arial" w:hAnsi="Arial" w:cs="Arial"/>
        </w:rPr>
        <w:t xml:space="preserve"> </w:t>
      </w:r>
      <w:r>
        <w:rPr>
          <w:rFonts w:ascii="Arial" w:hAnsi="Arial" w:cs="Arial"/>
        </w:rPr>
        <w:t xml:space="preserve">Top, schema showing injection of </w:t>
      </w:r>
      <w:r w:rsidRPr="005D59B9">
        <w:rPr>
          <w:rFonts w:ascii="Arial" w:hAnsi="Arial" w:cs="Arial"/>
        </w:rPr>
        <w:t xml:space="preserve">2’-deoxy-5-ethynyluridine </w:t>
      </w:r>
      <w:r>
        <w:rPr>
          <w:rFonts w:ascii="Arial" w:hAnsi="Arial" w:cs="Arial"/>
        </w:rPr>
        <w:t xml:space="preserve">(EdU) (purple dots) in NMRs that had not received any BrdU injections (control) or at the end of 15 consecutive BrdU injections (green dots) and tissues analysed 8h later (red dots at 5.33 days). Bottom, </w:t>
      </w:r>
      <w:r w:rsidRPr="005D59B9">
        <w:rPr>
          <w:rFonts w:ascii="Arial" w:hAnsi="Arial" w:cs="Arial"/>
        </w:rPr>
        <w:t xml:space="preserve">representative </w:t>
      </w:r>
      <w:r>
        <w:rPr>
          <w:rFonts w:ascii="Arial" w:hAnsi="Arial" w:cs="Arial"/>
        </w:rPr>
        <w:t>c</w:t>
      </w:r>
      <w:r w:rsidRPr="005D59B9">
        <w:rPr>
          <w:rFonts w:ascii="Arial" w:hAnsi="Arial" w:cs="Arial"/>
        </w:rPr>
        <w:t>onfocal images</w:t>
      </w:r>
      <w:r>
        <w:rPr>
          <w:rFonts w:ascii="Arial" w:hAnsi="Arial" w:cs="Arial"/>
        </w:rPr>
        <w:t xml:space="preserve"> showing NMR</w:t>
      </w:r>
      <w:r w:rsidRPr="005D59B9">
        <w:rPr>
          <w:rFonts w:ascii="Arial" w:hAnsi="Arial" w:cs="Arial"/>
        </w:rPr>
        <w:t xml:space="preserve"> </w:t>
      </w:r>
      <w:r>
        <w:rPr>
          <w:rFonts w:ascii="Arial" w:hAnsi="Arial" w:cs="Arial"/>
        </w:rPr>
        <w:t>small intestinal</w:t>
      </w:r>
      <w:r w:rsidRPr="005D59B9">
        <w:rPr>
          <w:rFonts w:ascii="Arial" w:hAnsi="Arial" w:cs="Arial"/>
        </w:rPr>
        <w:t xml:space="preserve"> crypts </w:t>
      </w:r>
      <w:r>
        <w:rPr>
          <w:rFonts w:ascii="Arial" w:hAnsi="Arial" w:cs="Arial"/>
        </w:rPr>
        <w:t xml:space="preserve">stained with </w:t>
      </w:r>
      <w:r w:rsidRPr="005D59B9">
        <w:rPr>
          <w:rFonts w:ascii="Arial" w:hAnsi="Arial" w:cs="Arial"/>
        </w:rPr>
        <w:t>EdU</w:t>
      </w:r>
      <w:r>
        <w:rPr>
          <w:rFonts w:ascii="Arial" w:hAnsi="Arial" w:cs="Arial"/>
        </w:rPr>
        <w:t>-Alexa488 dye</w:t>
      </w:r>
      <w:r w:rsidRPr="005D59B9">
        <w:rPr>
          <w:rFonts w:ascii="Arial" w:hAnsi="Arial" w:cs="Arial"/>
        </w:rPr>
        <w:t xml:space="preserve"> (red), </w:t>
      </w:r>
      <w:r>
        <w:rPr>
          <w:rFonts w:ascii="Arial" w:hAnsi="Arial" w:cs="Arial"/>
        </w:rPr>
        <w:t>anti-</w:t>
      </w:r>
      <w:r w:rsidRPr="005D59B9">
        <w:rPr>
          <w:rFonts w:ascii="Arial" w:hAnsi="Arial" w:cs="Arial"/>
        </w:rPr>
        <w:t>BrdU (green)</w:t>
      </w:r>
      <w:r>
        <w:rPr>
          <w:rFonts w:ascii="Arial" w:hAnsi="Arial" w:cs="Arial"/>
        </w:rPr>
        <w:t xml:space="preserve"> antibody </w:t>
      </w:r>
      <w:r w:rsidRPr="005D59B9">
        <w:rPr>
          <w:rFonts w:ascii="Arial" w:hAnsi="Arial" w:cs="Arial"/>
        </w:rPr>
        <w:t>and DAPI (</w:t>
      </w:r>
      <w:r>
        <w:rPr>
          <w:rFonts w:ascii="Arial" w:hAnsi="Arial" w:cs="Arial"/>
        </w:rPr>
        <w:t>grey</w:t>
      </w:r>
      <w:r w:rsidRPr="005D59B9">
        <w:rPr>
          <w:rFonts w:ascii="Arial" w:hAnsi="Arial" w:cs="Arial"/>
        </w:rPr>
        <w:t>). Bar graphs showing no significant difference in EdU</w:t>
      </w:r>
      <w:r w:rsidRPr="005D59B9">
        <w:rPr>
          <w:rFonts w:ascii="Arial" w:hAnsi="Arial" w:cs="Arial"/>
          <w:vertAlign w:val="superscript"/>
        </w:rPr>
        <w:t>+</w:t>
      </w:r>
      <w:r w:rsidRPr="005D59B9">
        <w:rPr>
          <w:rFonts w:ascii="Arial" w:hAnsi="Arial" w:cs="Arial"/>
        </w:rPr>
        <w:t xml:space="preserve"> cells in duodenal NMR crypts </w:t>
      </w:r>
      <w:r>
        <w:rPr>
          <w:rFonts w:ascii="Arial" w:hAnsi="Arial" w:cs="Arial"/>
        </w:rPr>
        <w:t xml:space="preserve">with no BrdU injections or after 15 successive BrdU injections </w:t>
      </w:r>
      <w:r w:rsidRPr="005D59B9">
        <w:rPr>
          <w:rFonts w:ascii="Arial" w:hAnsi="Arial" w:cs="Arial"/>
        </w:rPr>
        <w:t xml:space="preserve">(n=40 crypts from 2 animals per group, </w:t>
      </w:r>
      <w:r w:rsidRPr="005D59B9">
        <w:rPr>
          <w:rFonts w:ascii="Arial" w:hAnsi="Arial" w:cs="Arial"/>
          <w:i/>
          <w:iCs/>
        </w:rPr>
        <w:t>P</w:t>
      </w:r>
      <w:r w:rsidRPr="005D59B9">
        <w:rPr>
          <w:rFonts w:ascii="Arial" w:hAnsi="Arial" w:cs="Arial"/>
        </w:rPr>
        <w:t xml:space="preserve">=0.64). In all cases, statistical significances were determined by performing Student’s t-tests using </w:t>
      </w:r>
      <w:r>
        <w:rPr>
          <w:rFonts w:ascii="Arial" w:hAnsi="Arial" w:cs="Arial"/>
        </w:rPr>
        <w:t xml:space="preserve">a </w:t>
      </w:r>
      <w:r w:rsidRPr="005D59B9">
        <w:rPr>
          <w:rFonts w:ascii="Arial" w:hAnsi="Arial" w:cs="Arial"/>
        </w:rPr>
        <w:t>two-tailed, unpaired, and unequal variance. Each bar represents mean ± standard error of mean. Scale bars are indicated on the images (25 µm or 50 µm).</w:t>
      </w:r>
    </w:p>
    <w:p w14:paraId="66F40542" w14:textId="77777777" w:rsidR="0030623E" w:rsidRDefault="0030623E" w:rsidP="0030623E">
      <w:pPr>
        <w:rPr>
          <w:rFonts w:ascii="Arial" w:hAnsi="Arial" w:cs="Arial"/>
          <w:color w:val="000000" w:themeColor="text1"/>
        </w:rPr>
      </w:pPr>
      <w:r>
        <w:rPr>
          <w:rFonts w:ascii="Arial" w:hAnsi="Arial" w:cs="Arial"/>
          <w:color w:val="000000" w:themeColor="text1"/>
        </w:rPr>
        <w:br w:type="page"/>
      </w:r>
    </w:p>
    <w:p w14:paraId="3A7A9303" w14:textId="77777777" w:rsidR="0030623E" w:rsidRDefault="0030623E" w:rsidP="0030623E">
      <w:pPr>
        <w:spacing w:line="360" w:lineRule="auto"/>
        <w:jc w:val="both"/>
        <w:rPr>
          <w:rFonts w:ascii="Arial" w:hAnsi="Arial" w:cs="Arial"/>
          <w:color w:val="000000" w:themeColor="text1"/>
        </w:rPr>
      </w:pPr>
      <w:r>
        <w:rPr>
          <w:rFonts w:ascii="Arial" w:hAnsi="Arial" w:cs="Arial"/>
          <w:noProof/>
          <w:color w:val="000000" w:themeColor="text1"/>
        </w:rPr>
        <w:lastRenderedPageBreak/>
        <w:drawing>
          <wp:inline distT="0" distB="0" distL="0" distR="0" wp14:anchorId="1DAC71C6" wp14:editId="7B9573D2">
            <wp:extent cx="5727700" cy="4853940"/>
            <wp:effectExtent l="0" t="0" r="0" b="0"/>
            <wp:docPr id="10" name="Picture 10" descr="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Graphical user interface&#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a:off x="0" y="0"/>
                      <a:ext cx="5727700" cy="4853940"/>
                    </a:xfrm>
                    <a:prstGeom prst="rect">
                      <a:avLst/>
                    </a:prstGeom>
                  </pic:spPr>
                </pic:pic>
              </a:graphicData>
            </a:graphic>
          </wp:inline>
        </w:drawing>
      </w:r>
    </w:p>
    <w:p w14:paraId="0B66B25C" w14:textId="77777777" w:rsidR="0030623E" w:rsidRDefault="0030623E" w:rsidP="0030623E">
      <w:pPr>
        <w:spacing w:line="360" w:lineRule="auto"/>
        <w:jc w:val="both"/>
        <w:rPr>
          <w:rFonts w:ascii="Arial" w:hAnsi="Arial" w:cs="Arial"/>
          <w:b/>
          <w:bCs/>
        </w:rPr>
      </w:pPr>
      <w:r>
        <w:rPr>
          <w:rFonts w:ascii="Arial" w:hAnsi="Arial" w:cs="Arial"/>
          <w:b/>
          <w:bCs/>
        </w:rPr>
        <w:t xml:space="preserve">Extended Data </w:t>
      </w:r>
      <w:r w:rsidRPr="005D59B9">
        <w:rPr>
          <w:rFonts w:ascii="Arial" w:hAnsi="Arial" w:cs="Arial"/>
          <w:b/>
          <w:bCs/>
        </w:rPr>
        <w:t>Fig</w:t>
      </w:r>
      <w:r>
        <w:rPr>
          <w:rFonts w:ascii="Arial" w:hAnsi="Arial" w:cs="Arial"/>
          <w:b/>
          <w:bCs/>
        </w:rPr>
        <w:t xml:space="preserve">. 3 | Mitotic index </w:t>
      </w:r>
      <w:r w:rsidRPr="00D92225">
        <w:rPr>
          <w:rFonts w:ascii="Arial" w:hAnsi="Arial" w:cs="Arial"/>
          <w:b/>
          <w:bCs/>
        </w:rPr>
        <w:t>(phospho-histone-H3(S28)</w:t>
      </w:r>
      <w:r w:rsidRPr="00D92225">
        <w:rPr>
          <w:rFonts w:ascii="Arial" w:hAnsi="Arial" w:cs="Arial"/>
          <w:b/>
          <w:bCs/>
          <w:vertAlign w:val="superscript"/>
        </w:rPr>
        <w:t>+</w:t>
      </w:r>
      <w:r w:rsidRPr="00D92225">
        <w:rPr>
          <w:rFonts w:ascii="Arial" w:hAnsi="Arial" w:cs="Arial"/>
          <w:b/>
          <w:bCs/>
        </w:rPr>
        <w:t xml:space="preserve">) of </w:t>
      </w:r>
      <w:r w:rsidRPr="00D92225">
        <w:rPr>
          <w:rFonts w:ascii="Arial" w:hAnsi="Arial" w:cs="Arial"/>
          <w:b/>
          <w:bCs/>
          <w:i/>
          <w:iCs/>
        </w:rPr>
        <w:t>Lgr5/LGR5</w:t>
      </w:r>
      <w:r w:rsidRPr="00D92225">
        <w:rPr>
          <w:rFonts w:ascii="Arial" w:hAnsi="Arial" w:cs="Arial"/>
          <w:b/>
          <w:bCs/>
          <w:i/>
          <w:iCs/>
          <w:vertAlign w:val="superscript"/>
        </w:rPr>
        <w:t>+CBC</w:t>
      </w:r>
      <w:r>
        <w:rPr>
          <w:rFonts w:ascii="Arial" w:hAnsi="Arial" w:cs="Arial"/>
          <w:b/>
          <w:bCs/>
        </w:rPr>
        <w:t xml:space="preserve"> cells</w:t>
      </w:r>
    </w:p>
    <w:p w14:paraId="7DD525D8" w14:textId="77777777" w:rsidR="0030623E" w:rsidRDefault="0030623E" w:rsidP="0030623E">
      <w:pPr>
        <w:spacing w:line="360" w:lineRule="auto"/>
        <w:jc w:val="both"/>
        <w:rPr>
          <w:rFonts w:ascii="Arial" w:hAnsi="Arial" w:cs="Arial"/>
          <w:b/>
          <w:bCs/>
          <w:color w:val="000000" w:themeColor="text1"/>
        </w:rPr>
      </w:pPr>
      <w:r>
        <w:rPr>
          <w:rFonts w:ascii="Arial" w:hAnsi="Arial" w:cs="Arial"/>
        </w:rPr>
        <w:t xml:space="preserve">Confocal images showing intestinal crypts stained with </w:t>
      </w:r>
      <w:r w:rsidRPr="00AD2BD9">
        <w:rPr>
          <w:rFonts w:ascii="Arial" w:hAnsi="Arial" w:cs="Arial"/>
          <w:i/>
          <w:iCs/>
        </w:rPr>
        <w:t>Lgr5/LGR5</w:t>
      </w:r>
      <w:r>
        <w:rPr>
          <w:rFonts w:ascii="Arial" w:hAnsi="Arial" w:cs="Arial"/>
        </w:rPr>
        <w:t xml:space="preserve">-mRNA ISH (red), anti-phospho-histone-H3(S28) antibody (green) and counterstained with DAPI (blue) in </w:t>
      </w:r>
      <w:r w:rsidRPr="005538B4">
        <w:rPr>
          <w:rFonts w:ascii="Arial" w:hAnsi="Arial" w:cs="Arial"/>
          <w:b/>
          <w:bCs/>
        </w:rPr>
        <w:t>a</w:t>
      </w:r>
      <w:r>
        <w:rPr>
          <w:rFonts w:ascii="Arial" w:hAnsi="Arial" w:cs="Arial"/>
        </w:rPr>
        <w:t xml:space="preserve">, wild-caught mouse (12-month old) and wild-caught NMR (12-month old) small intestines, and </w:t>
      </w:r>
      <w:r w:rsidRPr="005538B4">
        <w:rPr>
          <w:rFonts w:ascii="Arial" w:hAnsi="Arial" w:cs="Arial"/>
          <w:b/>
          <w:bCs/>
        </w:rPr>
        <w:t>b</w:t>
      </w:r>
      <w:r>
        <w:rPr>
          <w:rFonts w:ascii="Arial" w:hAnsi="Arial" w:cs="Arial"/>
        </w:rPr>
        <w:t xml:space="preserve">, mouse, human (65-70 year-old), and NMR colons. Percentages of </w:t>
      </w:r>
      <w:r w:rsidRPr="00AD2BD9">
        <w:rPr>
          <w:rFonts w:ascii="Arial" w:hAnsi="Arial" w:cs="Arial"/>
          <w:i/>
          <w:iCs/>
        </w:rPr>
        <w:t>Lgr5/LGR5</w:t>
      </w:r>
      <w:r w:rsidRPr="00AD2BD9">
        <w:rPr>
          <w:rFonts w:ascii="Arial" w:hAnsi="Arial" w:cs="Arial"/>
          <w:i/>
          <w:iCs/>
          <w:vertAlign w:val="superscript"/>
        </w:rPr>
        <w:t>+CBC</w:t>
      </w:r>
      <w:r>
        <w:rPr>
          <w:rFonts w:ascii="Arial" w:hAnsi="Arial" w:cs="Arial"/>
          <w:b/>
          <w:bCs/>
        </w:rPr>
        <w:t xml:space="preserve"> </w:t>
      </w:r>
      <w:r w:rsidRPr="00AD2BD9">
        <w:rPr>
          <w:rFonts w:ascii="Arial" w:hAnsi="Arial" w:cs="Arial"/>
        </w:rPr>
        <w:t>cells</w:t>
      </w:r>
      <w:r>
        <w:rPr>
          <w:rFonts w:ascii="Arial" w:hAnsi="Arial" w:cs="Arial"/>
        </w:rPr>
        <w:t xml:space="preserve"> positive for PHH3(ser28)-expression per crypt has been shown under each image (mean ± SEM of n = 150 crypts counted from 3 individuals per species). Dashed lines demarcate the outer periphery of each crypt. White arrows indicate </w:t>
      </w:r>
      <w:r w:rsidRPr="005538B4">
        <w:rPr>
          <w:rFonts w:ascii="Arial" w:hAnsi="Arial" w:cs="Arial"/>
          <w:i/>
          <w:iCs/>
        </w:rPr>
        <w:t>Lgr5</w:t>
      </w:r>
      <w:r>
        <w:rPr>
          <w:rFonts w:ascii="Arial" w:hAnsi="Arial" w:cs="Arial"/>
          <w:i/>
          <w:iCs/>
        </w:rPr>
        <w:t>(</w:t>
      </w:r>
      <w:r w:rsidRPr="005538B4">
        <w:rPr>
          <w:rFonts w:ascii="Arial" w:hAnsi="Arial" w:cs="Arial"/>
          <w:i/>
          <w:iCs/>
        </w:rPr>
        <w:t>LGR5</w:t>
      </w:r>
      <w:r>
        <w:rPr>
          <w:rFonts w:ascii="Arial" w:hAnsi="Arial" w:cs="Arial"/>
          <w:i/>
          <w:iCs/>
        </w:rPr>
        <w:t>)</w:t>
      </w:r>
      <w:r w:rsidRPr="005538B4">
        <w:rPr>
          <w:rFonts w:ascii="Arial" w:hAnsi="Arial" w:cs="Arial"/>
          <w:i/>
          <w:iCs/>
          <w:vertAlign w:val="superscript"/>
        </w:rPr>
        <w:t>+CBC</w:t>
      </w:r>
      <w:r>
        <w:rPr>
          <w:rFonts w:ascii="Arial" w:hAnsi="Arial" w:cs="Arial"/>
          <w:i/>
          <w:iCs/>
          <w:vertAlign w:val="superscript"/>
        </w:rPr>
        <w:t xml:space="preserve"> </w:t>
      </w:r>
      <w:r>
        <w:rPr>
          <w:rFonts w:ascii="Arial" w:hAnsi="Arial" w:cs="Arial"/>
        </w:rPr>
        <w:t>phospho-histone-H3(S28)</w:t>
      </w:r>
      <w:r w:rsidRPr="005538B4">
        <w:rPr>
          <w:rFonts w:ascii="Arial" w:hAnsi="Arial" w:cs="Arial"/>
          <w:vertAlign w:val="superscript"/>
        </w:rPr>
        <w:t>+</w:t>
      </w:r>
      <w:r>
        <w:rPr>
          <w:rFonts w:ascii="Arial" w:hAnsi="Arial" w:cs="Arial"/>
        </w:rPr>
        <w:t xml:space="preserve"> cells. Scale bar is indicated on the images (20 µm).</w:t>
      </w:r>
    </w:p>
    <w:p w14:paraId="7519D909" w14:textId="77777777" w:rsidR="0030623E" w:rsidRDefault="0030623E" w:rsidP="0030623E">
      <w:pPr>
        <w:spacing w:line="360" w:lineRule="auto"/>
        <w:jc w:val="both"/>
        <w:rPr>
          <w:rFonts w:ascii="Arial" w:hAnsi="Arial" w:cs="Arial"/>
          <w:color w:val="000000" w:themeColor="text1"/>
        </w:rPr>
      </w:pPr>
    </w:p>
    <w:p w14:paraId="7BA81AFD" w14:textId="77777777" w:rsidR="0030623E" w:rsidRDefault="0030623E" w:rsidP="0030623E">
      <w:pPr>
        <w:spacing w:line="360" w:lineRule="auto"/>
        <w:jc w:val="both"/>
        <w:rPr>
          <w:rFonts w:ascii="Arial" w:hAnsi="Arial" w:cs="Arial"/>
          <w:color w:val="000000" w:themeColor="text1"/>
        </w:rPr>
      </w:pPr>
      <w:r>
        <w:rPr>
          <w:rFonts w:ascii="Arial" w:hAnsi="Arial" w:cs="Arial"/>
          <w:noProof/>
          <w:color w:val="000000" w:themeColor="text1"/>
        </w:rPr>
        <w:lastRenderedPageBreak/>
        <w:drawing>
          <wp:inline distT="0" distB="0" distL="0" distR="0" wp14:anchorId="2F8936A7" wp14:editId="3E0265C8">
            <wp:extent cx="5727700" cy="2432685"/>
            <wp:effectExtent l="0" t="0" r="0" b="5715"/>
            <wp:docPr id="315662839" name="Picture 4"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5662839" name="Picture 4" descr="Chart&#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5727700" cy="2432685"/>
                    </a:xfrm>
                    <a:prstGeom prst="rect">
                      <a:avLst/>
                    </a:prstGeom>
                  </pic:spPr>
                </pic:pic>
              </a:graphicData>
            </a:graphic>
          </wp:inline>
        </w:drawing>
      </w:r>
    </w:p>
    <w:p w14:paraId="7B204B53" w14:textId="77777777" w:rsidR="0030623E" w:rsidRDefault="0030623E" w:rsidP="0030623E">
      <w:pPr>
        <w:spacing w:line="360" w:lineRule="auto"/>
        <w:jc w:val="both"/>
        <w:rPr>
          <w:rFonts w:ascii="Arial" w:hAnsi="Arial" w:cs="Arial"/>
          <w:b/>
          <w:bCs/>
        </w:rPr>
      </w:pPr>
      <w:r>
        <w:rPr>
          <w:rFonts w:ascii="Arial" w:hAnsi="Arial" w:cs="Arial"/>
          <w:b/>
          <w:bCs/>
        </w:rPr>
        <w:t xml:space="preserve">Extended Data </w:t>
      </w:r>
      <w:r w:rsidRPr="005D59B9">
        <w:rPr>
          <w:rFonts w:ascii="Arial" w:hAnsi="Arial" w:cs="Arial"/>
          <w:b/>
          <w:bCs/>
        </w:rPr>
        <w:t>Fig</w:t>
      </w:r>
      <w:r>
        <w:rPr>
          <w:rFonts w:ascii="Arial" w:hAnsi="Arial" w:cs="Arial"/>
          <w:b/>
          <w:bCs/>
        </w:rPr>
        <w:t>. 4 |</w:t>
      </w:r>
      <w:r>
        <w:rPr>
          <w:rFonts w:ascii="Arial" w:hAnsi="Arial" w:cs="Arial"/>
        </w:rPr>
        <w:t xml:space="preserve"> </w:t>
      </w:r>
      <w:r>
        <w:rPr>
          <w:rFonts w:ascii="Arial" w:hAnsi="Arial" w:cs="Arial"/>
          <w:b/>
          <w:bCs/>
        </w:rPr>
        <w:t>D</w:t>
      </w:r>
      <w:r w:rsidRPr="00882310">
        <w:rPr>
          <w:rFonts w:ascii="Arial" w:hAnsi="Arial" w:cs="Arial"/>
          <w:b/>
          <w:bCs/>
        </w:rPr>
        <w:t>uration of</w:t>
      </w:r>
      <w:r>
        <w:rPr>
          <w:rFonts w:ascii="Arial" w:hAnsi="Arial" w:cs="Arial"/>
          <w:b/>
          <w:bCs/>
        </w:rPr>
        <w:t xml:space="preserve"> specific </w:t>
      </w:r>
      <w:r w:rsidRPr="00236B75">
        <w:rPr>
          <w:rFonts w:ascii="Arial" w:hAnsi="Arial" w:cs="Arial"/>
          <w:b/>
          <w:bCs/>
        </w:rPr>
        <w:t>cell cycle phases</w:t>
      </w:r>
      <w:r>
        <w:rPr>
          <w:rFonts w:ascii="Arial" w:hAnsi="Arial" w:cs="Arial"/>
          <w:b/>
          <w:bCs/>
        </w:rPr>
        <w:t xml:space="preserve"> in human colonic</w:t>
      </w:r>
      <w:r w:rsidRPr="00882310">
        <w:rPr>
          <w:rFonts w:ascii="Arial" w:hAnsi="Arial" w:cs="Arial"/>
          <w:b/>
          <w:bCs/>
          <w:i/>
          <w:iCs/>
        </w:rPr>
        <w:t xml:space="preserve"> LGR5</w:t>
      </w:r>
      <w:r w:rsidRPr="00882310">
        <w:rPr>
          <w:rFonts w:ascii="Arial" w:hAnsi="Arial" w:cs="Arial"/>
          <w:b/>
          <w:bCs/>
          <w:i/>
          <w:iCs/>
          <w:vertAlign w:val="superscript"/>
        </w:rPr>
        <w:t>+CBC</w:t>
      </w:r>
      <w:r w:rsidRPr="00882310">
        <w:rPr>
          <w:rFonts w:ascii="Arial" w:hAnsi="Arial" w:cs="Arial"/>
          <w:b/>
          <w:bCs/>
        </w:rPr>
        <w:t xml:space="preserve"> </w:t>
      </w:r>
      <w:r>
        <w:rPr>
          <w:rFonts w:ascii="Arial" w:hAnsi="Arial" w:cs="Arial"/>
          <w:b/>
          <w:bCs/>
        </w:rPr>
        <w:t>cells</w:t>
      </w:r>
    </w:p>
    <w:p w14:paraId="20F6B341" w14:textId="77777777" w:rsidR="0030623E" w:rsidRDefault="0030623E" w:rsidP="0030623E">
      <w:pPr>
        <w:spacing w:line="360" w:lineRule="auto"/>
        <w:jc w:val="both"/>
        <w:rPr>
          <w:rStyle w:val="apple-converted-space"/>
          <w:rFonts w:ascii="Arial" w:hAnsi="Arial" w:cs="Arial"/>
        </w:rPr>
      </w:pPr>
      <w:r w:rsidRPr="00883D99">
        <w:rPr>
          <w:rFonts w:ascii="Arial" w:hAnsi="Arial" w:cs="Arial"/>
          <w:b/>
          <w:bCs/>
        </w:rPr>
        <w:t>a</w:t>
      </w:r>
      <w:r w:rsidRPr="00883D99">
        <w:rPr>
          <w:rFonts w:ascii="Arial" w:hAnsi="Arial" w:cs="Arial"/>
        </w:rPr>
        <w:t xml:space="preserve">, Bar graph showing percentages of </w:t>
      </w:r>
      <w:r w:rsidRPr="00883D99">
        <w:rPr>
          <w:rFonts w:ascii="Arial" w:hAnsi="Arial" w:cs="Arial"/>
          <w:i/>
          <w:iCs/>
        </w:rPr>
        <w:t>LGR5</w:t>
      </w:r>
      <w:r w:rsidRPr="00883D99">
        <w:rPr>
          <w:rFonts w:ascii="Arial" w:hAnsi="Arial" w:cs="Arial"/>
          <w:i/>
          <w:iCs/>
          <w:vertAlign w:val="superscript"/>
        </w:rPr>
        <w:t>+CBC</w:t>
      </w:r>
      <w:r w:rsidRPr="00883D99">
        <w:rPr>
          <w:rFonts w:ascii="Arial" w:hAnsi="Arial" w:cs="Arial"/>
        </w:rPr>
        <w:t xml:space="preserve"> cells positive for KI67 and P27 expression in the human colon. Each bar indicates mean ± SEM of </w:t>
      </w:r>
      <w:r>
        <w:rPr>
          <w:rFonts w:ascii="Arial" w:hAnsi="Arial" w:cs="Arial"/>
        </w:rPr>
        <w:t>35</w:t>
      </w:r>
      <w:r w:rsidRPr="00883D99">
        <w:rPr>
          <w:rFonts w:ascii="Arial" w:hAnsi="Arial" w:cs="Arial"/>
        </w:rPr>
        <w:t xml:space="preserve"> crypts counted from 5 individuals (65-70 year-old). </w:t>
      </w:r>
      <w:r w:rsidRPr="00883D99">
        <w:rPr>
          <w:rFonts w:ascii="Arial" w:hAnsi="Arial" w:cs="Arial"/>
          <w:b/>
          <w:bCs/>
        </w:rPr>
        <w:t>b</w:t>
      </w:r>
      <w:r w:rsidRPr="00883D99">
        <w:rPr>
          <w:rFonts w:ascii="Arial" w:hAnsi="Arial" w:cs="Arial"/>
        </w:rPr>
        <w:t xml:space="preserve">, </w:t>
      </w:r>
      <w:r w:rsidRPr="00A05934">
        <w:rPr>
          <w:rFonts w:ascii="Arial" w:hAnsi="Arial" w:cs="Arial"/>
        </w:rPr>
        <w:t xml:space="preserve">Bar graph showing the duration of each phase of the cell cycle in human colonic </w:t>
      </w:r>
      <w:r w:rsidRPr="00A05934">
        <w:rPr>
          <w:rFonts w:ascii="Arial" w:hAnsi="Arial" w:cs="Arial"/>
          <w:i/>
          <w:iCs/>
        </w:rPr>
        <w:t>LGR5</w:t>
      </w:r>
      <w:r w:rsidRPr="00A05934">
        <w:rPr>
          <w:rFonts w:ascii="Arial" w:hAnsi="Arial" w:cs="Arial"/>
          <w:i/>
          <w:iCs/>
          <w:vertAlign w:val="superscript"/>
        </w:rPr>
        <w:t>+CBC</w:t>
      </w:r>
      <w:r w:rsidRPr="00A05934">
        <w:rPr>
          <w:rFonts w:ascii="Arial" w:hAnsi="Arial" w:cs="Arial"/>
        </w:rPr>
        <w:t xml:space="preserve"> cells which have been shown to cycle every 7.3 days (T</w:t>
      </w:r>
      <w:r w:rsidRPr="00A05934">
        <w:rPr>
          <w:rFonts w:ascii="Arial" w:hAnsi="Arial" w:cs="Arial"/>
          <w:vertAlign w:val="subscript"/>
        </w:rPr>
        <w:t>T</w:t>
      </w:r>
      <w:r w:rsidRPr="00A05934">
        <w:rPr>
          <w:rFonts w:ascii="Arial" w:hAnsi="Arial" w:cs="Arial"/>
        </w:rPr>
        <w:t>), with S phase duration of 0.25 days</w:t>
      </w:r>
      <w:r w:rsidRPr="007855F2">
        <w:rPr>
          <w:rFonts w:ascii="Arial" w:hAnsi="Arial" w:cs="Arial"/>
          <w:noProof/>
          <w:vertAlign w:val="superscript"/>
        </w:rPr>
        <w:t>4</w:t>
      </w:r>
      <w:r w:rsidRPr="00A05934">
        <w:rPr>
          <w:rFonts w:ascii="Arial" w:hAnsi="Arial" w:cs="Arial"/>
        </w:rPr>
        <w:t>.</w:t>
      </w:r>
      <w:r w:rsidRPr="00883D99">
        <w:rPr>
          <w:rStyle w:val="apple-converted-space"/>
          <w:rFonts w:ascii="Arial" w:hAnsi="Arial" w:cs="Arial"/>
        </w:rPr>
        <w:t xml:space="preserve"> </w:t>
      </w:r>
      <w:r w:rsidRPr="00883D99">
        <w:rPr>
          <w:rStyle w:val="ui-provider"/>
          <w:rFonts w:ascii="Arial" w:hAnsi="Arial" w:cs="Arial"/>
        </w:rPr>
        <w:t xml:space="preserve">Using the fraction of </w:t>
      </w:r>
      <w:r w:rsidRPr="00883D99">
        <w:rPr>
          <w:rStyle w:val="ui-provider"/>
          <w:rFonts w:ascii="Arial" w:hAnsi="Arial" w:cs="Arial"/>
          <w:i/>
          <w:iCs/>
        </w:rPr>
        <w:t>LGR5</w:t>
      </w:r>
      <w:r w:rsidRPr="00883D99">
        <w:rPr>
          <w:rStyle w:val="ui-provider"/>
          <w:rFonts w:ascii="Arial" w:hAnsi="Arial" w:cs="Arial"/>
          <w:i/>
          <w:iCs/>
          <w:vertAlign w:val="superscript"/>
        </w:rPr>
        <w:t xml:space="preserve">+CBC </w:t>
      </w:r>
      <w:r w:rsidRPr="00883D99">
        <w:rPr>
          <w:rStyle w:val="ui-provider"/>
          <w:rFonts w:ascii="Arial" w:hAnsi="Arial" w:cs="Arial"/>
        </w:rPr>
        <w:t xml:space="preserve">cells positive for KI67, we calculated the time of the active cell cycle (S to M) using equation (i) shown </w:t>
      </w:r>
      <w:r>
        <w:rPr>
          <w:rStyle w:val="ui-provider"/>
          <w:rFonts w:ascii="Arial" w:hAnsi="Arial" w:cs="Arial"/>
        </w:rPr>
        <w:t>alongside</w:t>
      </w:r>
      <w:r w:rsidRPr="00883D99">
        <w:rPr>
          <w:rStyle w:val="ui-provider"/>
          <w:rFonts w:ascii="Arial" w:hAnsi="Arial" w:cs="Arial"/>
        </w:rPr>
        <w:t xml:space="preserve"> the graph. </w:t>
      </w:r>
      <w:r>
        <w:rPr>
          <w:rStyle w:val="ui-provider"/>
          <w:rFonts w:ascii="Arial" w:hAnsi="Arial" w:cs="Arial"/>
        </w:rPr>
        <w:t>Fraction</w:t>
      </w:r>
      <w:r w:rsidRPr="00883D99">
        <w:rPr>
          <w:rStyle w:val="ui-provider"/>
          <w:rFonts w:ascii="Arial" w:hAnsi="Arial" w:cs="Arial"/>
        </w:rPr>
        <w:t xml:space="preserve"> of </w:t>
      </w:r>
      <w:r w:rsidRPr="00883D99">
        <w:rPr>
          <w:rStyle w:val="ui-provider"/>
          <w:rFonts w:ascii="Arial" w:hAnsi="Arial" w:cs="Arial"/>
          <w:i/>
          <w:iCs/>
        </w:rPr>
        <w:t>LGR5</w:t>
      </w:r>
      <w:r w:rsidRPr="00883D99">
        <w:rPr>
          <w:rStyle w:val="ui-provider"/>
          <w:rFonts w:ascii="Arial" w:hAnsi="Arial" w:cs="Arial"/>
          <w:i/>
          <w:iCs/>
          <w:vertAlign w:val="superscript"/>
        </w:rPr>
        <w:t xml:space="preserve">+CBC </w:t>
      </w:r>
      <w:r w:rsidRPr="00883D99">
        <w:rPr>
          <w:rStyle w:val="ui-provider"/>
          <w:rFonts w:ascii="Arial" w:hAnsi="Arial" w:cs="Arial"/>
        </w:rPr>
        <w:t>cells that scored positive for PHH3(S28) (1.2% ± 0.30) was used to estimate the duration of M-phase (</w:t>
      </w:r>
      <w:r w:rsidRPr="00883D99">
        <w:rPr>
          <w:rFonts w:ascii="Arial" w:hAnsi="Arial" w:cs="Arial"/>
        </w:rPr>
        <w:t>T</w:t>
      </w:r>
      <w:r w:rsidRPr="00883D99">
        <w:rPr>
          <w:rFonts w:ascii="Arial" w:hAnsi="Arial" w:cs="Arial"/>
          <w:vertAlign w:val="subscript"/>
        </w:rPr>
        <w:t>M</w:t>
      </w:r>
      <w:r w:rsidRPr="00883D99">
        <w:rPr>
          <w:rStyle w:val="ui-provider"/>
          <w:rFonts w:ascii="Arial" w:hAnsi="Arial" w:cs="Arial"/>
        </w:rPr>
        <w:t>) using equation (ii). The time spent in the G2 phase (T</w:t>
      </w:r>
      <w:r w:rsidRPr="00883D99">
        <w:rPr>
          <w:rStyle w:val="ui-provider"/>
          <w:rFonts w:ascii="Arial" w:hAnsi="Arial" w:cs="Arial"/>
          <w:vertAlign w:val="subscript"/>
        </w:rPr>
        <w:t>G2</w:t>
      </w:r>
      <w:r w:rsidRPr="00883D99">
        <w:rPr>
          <w:rStyle w:val="ui-provider"/>
          <w:rFonts w:ascii="Arial" w:hAnsi="Arial" w:cs="Arial"/>
        </w:rPr>
        <w:t>) was calculated using equation (iii)</w:t>
      </w:r>
      <w:r w:rsidRPr="00A05934">
        <w:rPr>
          <w:rFonts w:ascii="Arial" w:hAnsi="Arial" w:cs="Arial"/>
        </w:rPr>
        <w:t>.</w:t>
      </w:r>
      <w:r w:rsidRPr="00883D99">
        <w:rPr>
          <w:rFonts w:ascii="Arial" w:hAnsi="Arial" w:cs="Arial"/>
        </w:rPr>
        <w:t xml:space="preserve"> We estimated the duration of G0 and G1 (T</w:t>
      </w:r>
      <w:r w:rsidRPr="00883D99">
        <w:rPr>
          <w:rFonts w:ascii="Arial" w:hAnsi="Arial" w:cs="Arial"/>
          <w:vertAlign w:val="subscript"/>
        </w:rPr>
        <w:t>G0, G1</w:t>
      </w:r>
      <w:r w:rsidRPr="00883D99">
        <w:rPr>
          <w:rFonts w:ascii="Arial" w:hAnsi="Arial" w:cs="Arial"/>
        </w:rPr>
        <w:t xml:space="preserve">) in </w:t>
      </w:r>
      <w:r w:rsidRPr="00883D99">
        <w:rPr>
          <w:rStyle w:val="ui-provider"/>
          <w:rFonts w:ascii="Arial" w:hAnsi="Arial" w:cs="Arial"/>
        </w:rPr>
        <w:t xml:space="preserve">human colonic </w:t>
      </w:r>
      <w:r w:rsidRPr="00883D99">
        <w:rPr>
          <w:rStyle w:val="ui-provider"/>
          <w:rFonts w:ascii="Arial" w:hAnsi="Arial" w:cs="Arial"/>
          <w:i/>
          <w:iCs/>
        </w:rPr>
        <w:t>LGR5</w:t>
      </w:r>
      <w:r w:rsidRPr="00883D99">
        <w:rPr>
          <w:rStyle w:val="ui-provider"/>
          <w:rFonts w:ascii="Arial" w:hAnsi="Arial" w:cs="Arial"/>
          <w:i/>
          <w:iCs/>
          <w:vertAlign w:val="superscript"/>
        </w:rPr>
        <w:t xml:space="preserve">+CBC </w:t>
      </w:r>
      <w:r w:rsidRPr="00883D99">
        <w:rPr>
          <w:rStyle w:val="ui-provider"/>
          <w:rFonts w:ascii="Arial" w:hAnsi="Arial" w:cs="Arial"/>
        </w:rPr>
        <w:t>cells</w:t>
      </w:r>
      <w:r w:rsidRPr="00883D99">
        <w:rPr>
          <w:rFonts w:ascii="Arial" w:hAnsi="Arial" w:cs="Arial"/>
        </w:rPr>
        <w:t xml:space="preserve"> by using the proportion of </w:t>
      </w:r>
      <w:r w:rsidRPr="00883D99">
        <w:rPr>
          <w:rStyle w:val="ui-provider"/>
          <w:rFonts w:ascii="Arial" w:hAnsi="Arial" w:cs="Arial"/>
          <w:i/>
          <w:iCs/>
        </w:rPr>
        <w:t>LGR5</w:t>
      </w:r>
      <w:r w:rsidRPr="00883D99">
        <w:rPr>
          <w:rStyle w:val="ui-provider"/>
          <w:rFonts w:ascii="Arial" w:hAnsi="Arial" w:cs="Arial"/>
          <w:i/>
          <w:iCs/>
          <w:vertAlign w:val="superscript"/>
        </w:rPr>
        <w:t xml:space="preserve">+CBC </w:t>
      </w:r>
      <w:r w:rsidRPr="00883D99">
        <w:rPr>
          <w:rStyle w:val="ui-provider"/>
          <w:rFonts w:ascii="Arial" w:hAnsi="Arial" w:cs="Arial"/>
        </w:rPr>
        <w:t>P27</w:t>
      </w:r>
      <w:r w:rsidRPr="00883D99">
        <w:rPr>
          <w:rStyle w:val="ui-provider"/>
          <w:rFonts w:ascii="Arial" w:hAnsi="Arial" w:cs="Arial"/>
          <w:vertAlign w:val="superscript"/>
        </w:rPr>
        <w:t>+</w:t>
      </w:r>
      <w:r w:rsidRPr="00883D99">
        <w:rPr>
          <w:rStyle w:val="ui-provider"/>
          <w:rFonts w:ascii="Arial" w:hAnsi="Arial" w:cs="Arial"/>
        </w:rPr>
        <w:t xml:space="preserve"> and</w:t>
      </w:r>
      <w:r w:rsidRPr="00883D99">
        <w:rPr>
          <w:rFonts w:ascii="Arial" w:hAnsi="Arial" w:cs="Arial"/>
        </w:rPr>
        <w:t xml:space="preserve"> </w:t>
      </w:r>
      <w:r w:rsidRPr="00A05934">
        <w:rPr>
          <w:rFonts w:ascii="Arial" w:hAnsi="Arial" w:cs="Arial"/>
        </w:rPr>
        <w:t>T</w:t>
      </w:r>
      <w:r w:rsidRPr="00A05934">
        <w:rPr>
          <w:rFonts w:ascii="Arial" w:hAnsi="Arial" w:cs="Arial"/>
          <w:vertAlign w:val="subscript"/>
        </w:rPr>
        <w:t>T</w:t>
      </w:r>
      <w:r w:rsidRPr="00883D99">
        <w:rPr>
          <w:rFonts w:ascii="Arial" w:hAnsi="Arial" w:cs="Arial"/>
          <w:vertAlign w:val="subscript"/>
        </w:rPr>
        <w:t xml:space="preserve"> </w:t>
      </w:r>
      <w:r w:rsidRPr="00883D99">
        <w:rPr>
          <w:rFonts w:ascii="Arial" w:hAnsi="Arial" w:cs="Arial"/>
        </w:rPr>
        <w:t>in equation (iv).  Then T</w:t>
      </w:r>
      <w:r w:rsidRPr="00883D99">
        <w:rPr>
          <w:rFonts w:ascii="Arial" w:hAnsi="Arial" w:cs="Arial"/>
          <w:vertAlign w:val="subscript"/>
        </w:rPr>
        <w:t xml:space="preserve">G0 </w:t>
      </w:r>
      <w:r w:rsidRPr="00883D99">
        <w:rPr>
          <w:rFonts w:ascii="Arial" w:hAnsi="Arial" w:cs="Arial"/>
        </w:rPr>
        <w:t>was estimated using the reported proportion of</w:t>
      </w:r>
      <w:r w:rsidRPr="00883D99">
        <w:rPr>
          <w:rFonts w:ascii="Arial" w:hAnsi="Arial" w:cs="Arial"/>
          <w:i/>
          <w:iCs/>
        </w:rPr>
        <w:t xml:space="preserve"> </w:t>
      </w:r>
      <w:r w:rsidRPr="00883D99">
        <w:rPr>
          <w:rFonts w:ascii="Arial" w:hAnsi="Arial" w:cs="Arial"/>
        </w:rPr>
        <w:t>LGR5</w:t>
      </w:r>
      <w:r w:rsidRPr="00883D99">
        <w:rPr>
          <w:rFonts w:ascii="Arial" w:hAnsi="Arial" w:cs="Arial"/>
          <w:vertAlign w:val="superscript"/>
        </w:rPr>
        <w:t>+</w:t>
      </w:r>
      <w:r w:rsidRPr="00883D99">
        <w:rPr>
          <w:rFonts w:ascii="Arial" w:hAnsi="Arial" w:cs="Arial"/>
        </w:rPr>
        <w:t>P27</w:t>
      </w:r>
      <w:r w:rsidRPr="00883D99">
        <w:rPr>
          <w:rFonts w:ascii="Arial" w:hAnsi="Arial" w:cs="Arial"/>
          <w:vertAlign w:val="superscript"/>
        </w:rPr>
        <w:t>+</w:t>
      </w:r>
      <w:r w:rsidRPr="00883D99" w:rsidDel="008B62C3">
        <w:rPr>
          <w:rFonts w:ascii="Arial" w:hAnsi="Arial" w:cs="Arial"/>
        </w:rPr>
        <w:t xml:space="preserve"> </w:t>
      </w:r>
      <w:r w:rsidRPr="00883D99">
        <w:rPr>
          <w:rFonts w:ascii="Arial" w:hAnsi="Arial" w:cs="Arial"/>
        </w:rPr>
        <w:t>cells in G0 (Quiescence Fraction, QF= 83%)</w:t>
      </w:r>
      <w:r w:rsidRPr="007855F2">
        <w:rPr>
          <w:rFonts w:ascii="Arial" w:hAnsi="Arial" w:cs="Arial"/>
          <w:noProof/>
          <w:vertAlign w:val="superscript"/>
        </w:rPr>
        <w:t>4</w:t>
      </w:r>
      <w:r w:rsidRPr="00883D99">
        <w:rPr>
          <w:rFonts w:ascii="Arial" w:hAnsi="Arial" w:cs="Arial"/>
        </w:rPr>
        <w:t xml:space="preserve"> in equation (v</w:t>
      </w:r>
      <w:r w:rsidRPr="00883D99">
        <w:rPr>
          <w:rFonts w:ascii="Arial" w:hAnsi="Arial" w:cs="Arial"/>
          <w:color w:val="000000"/>
        </w:rPr>
        <w:t>)</w:t>
      </w:r>
      <w:r w:rsidRPr="00883D99">
        <w:rPr>
          <w:rFonts w:ascii="Arial" w:hAnsi="Arial" w:cs="Arial"/>
        </w:rPr>
        <w:t>. T</w:t>
      </w:r>
      <w:r w:rsidRPr="00883D99">
        <w:rPr>
          <w:rFonts w:ascii="Arial" w:hAnsi="Arial" w:cs="Arial"/>
          <w:vertAlign w:val="subscript"/>
        </w:rPr>
        <w:t xml:space="preserve">G1 </w:t>
      </w:r>
      <w:r w:rsidRPr="00883D99">
        <w:rPr>
          <w:rFonts w:ascii="Arial" w:hAnsi="Arial" w:cs="Arial"/>
        </w:rPr>
        <w:t>was estimated using equation (vi).</w:t>
      </w:r>
    </w:p>
    <w:p w14:paraId="33478115" w14:textId="77777777" w:rsidR="0030623E" w:rsidRDefault="0030623E" w:rsidP="0030623E">
      <w:pPr>
        <w:spacing w:line="360" w:lineRule="auto"/>
        <w:jc w:val="both"/>
        <w:rPr>
          <w:rStyle w:val="apple-converted-space"/>
          <w:rFonts w:ascii="Arial" w:hAnsi="Arial" w:cs="Arial"/>
        </w:rPr>
      </w:pPr>
    </w:p>
    <w:p w14:paraId="592FCC82" w14:textId="77777777" w:rsidR="0030623E" w:rsidRDefault="0030623E" w:rsidP="0030623E">
      <w:pPr>
        <w:rPr>
          <w:rFonts w:ascii="Arial" w:hAnsi="Arial" w:cs="Arial"/>
          <w:b/>
          <w:bCs/>
        </w:rPr>
      </w:pPr>
      <w:r>
        <w:rPr>
          <w:rFonts w:ascii="Arial" w:hAnsi="Arial" w:cs="Arial"/>
          <w:b/>
          <w:bCs/>
        </w:rPr>
        <w:br w:type="page"/>
      </w:r>
    </w:p>
    <w:p w14:paraId="19C574D1" w14:textId="77777777" w:rsidR="0030623E" w:rsidRPr="00443847" w:rsidRDefault="0030623E" w:rsidP="0030623E">
      <w:pPr>
        <w:pStyle w:val="Heading2"/>
        <w:spacing w:line="360" w:lineRule="auto"/>
        <w:jc w:val="both"/>
        <w:rPr>
          <w:rFonts w:ascii="Arial" w:hAnsi="Arial" w:cs="Arial"/>
          <w:b/>
          <w:color w:val="000000" w:themeColor="text1"/>
          <w:sz w:val="24"/>
          <w:szCs w:val="24"/>
        </w:rPr>
      </w:pPr>
      <w:r>
        <w:rPr>
          <w:rFonts w:ascii="Arial" w:hAnsi="Arial" w:cs="Arial"/>
          <w:b/>
          <w:color w:val="000000" w:themeColor="text1"/>
          <w:sz w:val="24"/>
          <w:szCs w:val="24"/>
        </w:rPr>
        <w:lastRenderedPageBreak/>
        <w:t xml:space="preserve">Supplementary Note 2: </w:t>
      </w:r>
      <w:r w:rsidRPr="00443847">
        <w:rPr>
          <w:rFonts w:ascii="Arial" w:hAnsi="Arial" w:cs="Arial"/>
          <w:b/>
          <w:color w:val="000000" w:themeColor="text1"/>
          <w:sz w:val="24"/>
          <w:szCs w:val="24"/>
        </w:rPr>
        <w:t>Naked mole rat intestinal epithelium has an expanded differentiation zone</w:t>
      </w:r>
    </w:p>
    <w:p w14:paraId="471F2462" w14:textId="77777777" w:rsidR="0030623E" w:rsidRDefault="0030623E" w:rsidP="0030623E">
      <w:pPr>
        <w:spacing w:line="360" w:lineRule="auto"/>
        <w:jc w:val="both"/>
        <w:rPr>
          <w:rFonts w:ascii="Arial" w:hAnsi="Arial" w:cs="Arial"/>
        </w:rPr>
      </w:pPr>
      <w:r>
        <w:rPr>
          <w:rFonts w:ascii="Arial" w:hAnsi="Arial" w:cs="Arial"/>
        </w:rPr>
        <w:t>Starting by characterising the macroscopic features of the intestine, we</w:t>
      </w:r>
      <w:r w:rsidRPr="00EA1E8A">
        <w:rPr>
          <w:rFonts w:ascii="Arial" w:hAnsi="Arial" w:cs="Arial"/>
        </w:rPr>
        <w:t xml:space="preserve"> found that NMR small intestine and colon </w:t>
      </w:r>
      <w:r>
        <w:rPr>
          <w:rFonts w:ascii="Arial" w:hAnsi="Arial" w:cs="Arial"/>
        </w:rPr>
        <w:t>were</w:t>
      </w:r>
      <w:r w:rsidRPr="00EA1E8A">
        <w:rPr>
          <w:rFonts w:ascii="Arial" w:hAnsi="Arial" w:cs="Arial"/>
        </w:rPr>
        <w:t xml:space="preserve"> significantly shorter in </w:t>
      </w:r>
      <w:r>
        <w:rPr>
          <w:rFonts w:ascii="Arial" w:hAnsi="Arial" w:cs="Arial"/>
        </w:rPr>
        <w:t xml:space="preserve">absolute </w:t>
      </w:r>
      <w:r w:rsidRPr="00EA1E8A">
        <w:rPr>
          <w:rFonts w:ascii="Arial" w:hAnsi="Arial" w:cs="Arial"/>
        </w:rPr>
        <w:t>length (</w:t>
      </w:r>
      <w:r>
        <w:rPr>
          <w:rFonts w:ascii="Arial" w:hAnsi="Arial" w:cs="Arial"/>
        </w:rPr>
        <w:t>54</w:t>
      </w:r>
      <w:r w:rsidRPr="00EA1E8A">
        <w:rPr>
          <w:rFonts w:ascii="Arial" w:hAnsi="Arial" w:cs="Arial"/>
        </w:rPr>
        <w:t>% and 3</w:t>
      </w:r>
      <w:r>
        <w:rPr>
          <w:rFonts w:ascii="Arial" w:hAnsi="Arial" w:cs="Arial"/>
        </w:rPr>
        <w:t>1</w:t>
      </w:r>
      <w:r w:rsidRPr="00EA1E8A">
        <w:rPr>
          <w:rFonts w:ascii="Arial" w:hAnsi="Arial" w:cs="Arial"/>
        </w:rPr>
        <w:t xml:space="preserve">%, respectively) than </w:t>
      </w:r>
      <w:r>
        <w:rPr>
          <w:rFonts w:ascii="Arial" w:hAnsi="Arial" w:cs="Arial"/>
        </w:rPr>
        <w:t xml:space="preserve">the </w:t>
      </w:r>
      <w:r w:rsidRPr="00EA1E8A">
        <w:rPr>
          <w:rFonts w:ascii="Arial" w:hAnsi="Arial" w:cs="Arial"/>
        </w:rPr>
        <w:t>mouse (</w:t>
      </w:r>
      <w:r>
        <w:rPr>
          <w:rFonts w:ascii="Arial" w:hAnsi="Arial" w:cs="Arial"/>
        </w:rPr>
        <w:t>Extended Data Fig. 5a, left and Supplementary Table 1</w:t>
      </w:r>
      <w:r w:rsidRPr="00EA1E8A">
        <w:rPr>
          <w:rFonts w:ascii="Arial" w:hAnsi="Arial" w:cs="Arial"/>
        </w:rPr>
        <w:t xml:space="preserve">). </w:t>
      </w:r>
      <w:r>
        <w:rPr>
          <w:rFonts w:ascii="Arial" w:hAnsi="Arial" w:cs="Arial"/>
        </w:rPr>
        <w:t xml:space="preserve">Similarly, after normalising to body mass, NMR intestinal length was significantly shorter than mouse (Extended Data Fig. 5a, right). </w:t>
      </w:r>
      <w:r w:rsidRPr="00EA1E8A">
        <w:rPr>
          <w:rFonts w:ascii="Arial" w:hAnsi="Arial" w:cs="Arial"/>
        </w:rPr>
        <w:t>Histological analysis of these tissues showed that the intestinal villi in NMR</w:t>
      </w:r>
      <w:r>
        <w:rPr>
          <w:rFonts w:ascii="Arial" w:hAnsi="Arial" w:cs="Arial"/>
        </w:rPr>
        <w:t>s</w:t>
      </w:r>
      <w:r w:rsidRPr="00EA1E8A">
        <w:rPr>
          <w:rFonts w:ascii="Arial" w:hAnsi="Arial" w:cs="Arial"/>
        </w:rPr>
        <w:t xml:space="preserve"> </w:t>
      </w:r>
      <w:r w:rsidRPr="000229DD">
        <w:rPr>
          <w:rFonts w:ascii="Arial" w:hAnsi="Arial" w:cs="Arial"/>
        </w:rPr>
        <w:t xml:space="preserve">were </w:t>
      </w:r>
      <w:r>
        <w:rPr>
          <w:rFonts w:ascii="Arial" w:hAnsi="Arial" w:cs="Arial"/>
        </w:rPr>
        <w:t>approximately 79</w:t>
      </w:r>
      <w:r w:rsidRPr="000229DD">
        <w:rPr>
          <w:rFonts w:ascii="Arial" w:hAnsi="Arial" w:cs="Arial"/>
        </w:rPr>
        <w:t xml:space="preserve">% longer </w:t>
      </w:r>
      <w:r>
        <w:rPr>
          <w:rFonts w:ascii="Arial" w:hAnsi="Arial" w:cs="Arial"/>
        </w:rPr>
        <w:t>than in</w:t>
      </w:r>
      <w:r w:rsidRPr="000229DD">
        <w:rPr>
          <w:rFonts w:ascii="Arial" w:hAnsi="Arial" w:cs="Arial"/>
        </w:rPr>
        <w:t xml:space="preserve"> mice, </w:t>
      </w:r>
      <w:r>
        <w:rPr>
          <w:rFonts w:ascii="Arial" w:hAnsi="Arial" w:cs="Arial"/>
        </w:rPr>
        <w:t xml:space="preserve">consistent with </w:t>
      </w:r>
      <w:r w:rsidRPr="00EA1E8A">
        <w:rPr>
          <w:rFonts w:ascii="Arial" w:hAnsi="Arial" w:cs="Arial"/>
        </w:rPr>
        <w:t>higher cell count</w:t>
      </w:r>
      <w:r>
        <w:rPr>
          <w:rFonts w:ascii="Arial" w:hAnsi="Arial" w:cs="Arial"/>
        </w:rPr>
        <w:t xml:space="preserve">s </w:t>
      </w:r>
      <w:r w:rsidRPr="00EA1E8A">
        <w:rPr>
          <w:rFonts w:ascii="Arial" w:hAnsi="Arial" w:cs="Arial"/>
        </w:rPr>
        <w:t>(</w:t>
      </w:r>
      <w:r>
        <w:rPr>
          <w:rFonts w:ascii="Arial" w:hAnsi="Arial" w:cs="Arial"/>
        </w:rPr>
        <w:t>Extended Data Fig. 5b</w:t>
      </w:r>
      <w:r w:rsidRPr="00EA1E8A">
        <w:rPr>
          <w:rFonts w:ascii="Arial" w:hAnsi="Arial" w:cs="Arial"/>
        </w:rPr>
        <w:t xml:space="preserve">). </w:t>
      </w:r>
    </w:p>
    <w:p w14:paraId="10C38EC2" w14:textId="77777777" w:rsidR="0030623E" w:rsidRDefault="0030623E" w:rsidP="0030623E">
      <w:pPr>
        <w:spacing w:line="360" w:lineRule="auto"/>
        <w:jc w:val="both"/>
        <w:rPr>
          <w:rFonts w:ascii="Arial" w:hAnsi="Arial" w:cs="Arial"/>
        </w:rPr>
      </w:pPr>
    </w:p>
    <w:p w14:paraId="39486312" w14:textId="77777777" w:rsidR="0030623E" w:rsidRDefault="0030623E" w:rsidP="0030623E">
      <w:pPr>
        <w:spacing w:line="360" w:lineRule="auto"/>
        <w:jc w:val="both"/>
        <w:rPr>
          <w:rFonts w:ascii="Arial" w:hAnsi="Arial" w:cs="Arial"/>
        </w:rPr>
      </w:pPr>
      <w:r>
        <w:rPr>
          <w:rFonts w:ascii="Arial" w:hAnsi="Arial" w:cs="Arial"/>
        </w:rPr>
        <w:t>We quantified any differential distribution of secretory (goblet and enteroendocrine) and absorptive (enterocytes) cell types between the two species. We observed</w:t>
      </w:r>
      <w:r w:rsidRPr="00EA1E8A">
        <w:rPr>
          <w:rFonts w:ascii="Arial" w:hAnsi="Arial" w:cs="Arial"/>
        </w:rPr>
        <w:t xml:space="preserve"> </w:t>
      </w:r>
      <w:r>
        <w:rPr>
          <w:rFonts w:ascii="Arial" w:hAnsi="Arial" w:cs="Arial"/>
        </w:rPr>
        <w:t xml:space="preserve">a significantly higher proportion of </w:t>
      </w:r>
      <w:r w:rsidRPr="00EA1E8A">
        <w:rPr>
          <w:rFonts w:ascii="Arial" w:hAnsi="Arial" w:cs="Arial"/>
        </w:rPr>
        <w:t>goblet cell</w:t>
      </w:r>
      <w:r>
        <w:rPr>
          <w:rFonts w:ascii="Arial" w:hAnsi="Arial" w:cs="Arial"/>
        </w:rPr>
        <w:t xml:space="preserve">s, assessed by alcian blue staining, in both the crypts (48%) and villi (67%) of the NMR small intestine compared to mice </w:t>
      </w:r>
      <w:r w:rsidRPr="0048284D">
        <w:rPr>
          <w:rFonts w:ascii="Arial" w:hAnsi="Arial" w:cs="Arial"/>
        </w:rPr>
        <w:t>(</w:t>
      </w:r>
      <w:r>
        <w:rPr>
          <w:rFonts w:ascii="Arial" w:hAnsi="Arial" w:cs="Arial"/>
        </w:rPr>
        <w:t>Extended Data Fig. 5c, Supplementary Table 1</w:t>
      </w:r>
      <w:r w:rsidRPr="0048284D">
        <w:rPr>
          <w:rFonts w:ascii="Arial" w:hAnsi="Arial" w:cs="Arial"/>
        </w:rPr>
        <w:t>)</w:t>
      </w:r>
      <w:r w:rsidRPr="00A16E24">
        <w:rPr>
          <w:rFonts w:ascii="Arial" w:hAnsi="Arial" w:cs="Arial"/>
        </w:rPr>
        <w:t>.</w:t>
      </w:r>
      <w:r w:rsidRPr="00EA1E8A">
        <w:rPr>
          <w:rFonts w:ascii="Arial" w:hAnsi="Arial" w:cs="Arial"/>
        </w:rPr>
        <w:t xml:space="preserve"> </w:t>
      </w:r>
      <w:r>
        <w:rPr>
          <w:rFonts w:ascii="Arial" w:hAnsi="Arial" w:cs="Arial"/>
        </w:rPr>
        <w:t>In the colon due to the narrower structure of the colonic crypts in both species, it was not possible to accurately discern individual cells for counting after alcian blue staining in fixed tissues (Extended Data Fig. 5d, left). We, therefore, measured the thickness of the surface mucus layer by processing the colonic tissues in Carnoy’s solution that stabilised the mucus gel before alcian blue staining</w:t>
      </w:r>
      <w:r w:rsidRPr="00052140">
        <w:rPr>
          <w:rFonts w:ascii="Arial" w:hAnsi="Arial" w:cs="Arial"/>
          <w:noProof/>
          <w:vertAlign w:val="superscript"/>
        </w:rPr>
        <w:t>79</w:t>
      </w:r>
      <w:r>
        <w:rPr>
          <w:rFonts w:ascii="Arial" w:hAnsi="Arial" w:cs="Arial"/>
        </w:rPr>
        <w:t xml:space="preserve">. </w:t>
      </w:r>
      <w:r w:rsidRPr="00BC2219">
        <w:rPr>
          <w:rFonts w:ascii="Arial" w:hAnsi="Arial" w:cs="Arial"/>
        </w:rPr>
        <w:t>Measuring</w:t>
      </w:r>
      <w:r w:rsidRPr="009617C8">
        <w:rPr>
          <w:rFonts w:ascii="Arial" w:hAnsi="Arial" w:cs="Arial"/>
        </w:rPr>
        <w:t xml:space="preserve"> the distance from the </w:t>
      </w:r>
      <w:r w:rsidRPr="00BC2219">
        <w:rPr>
          <w:rFonts w:ascii="Arial" w:hAnsi="Arial" w:cs="Arial"/>
        </w:rPr>
        <w:t xml:space="preserve">inner to the </w:t>
      </w:r>
      <w:r w:rsidRPr="009617C8">
        <w:rPr>
          <w:rFonts w:ascii="Arial" w:hAnsi="Arial" w:cs="Arial"/>
        </w:rPr>
        <w:t xml:space="preserve">outermost layer of the mucus gel lining </w:t>
      </w:r>
      <w:r w:rsidRPr="00BC2219">
        <w:rPr>
          <w:rFonts w:ascii="Arial" w:hAnsi="Arial" w:cs="Arial"/>
        </w:rPr>
        <w:t>the surface epithelium</w:t>
      </w:r>
      <w:r w:rsidRPr="009617C8">
        <w:rPr>
          <w:rFonts w:ascii="Arial" w:hAnsi="Arial" w:cs="Arial"/>
        </w:rPr>
        <w:t>, we fo</w:t>
      </w:r>
      <w:r>
        <w:rPr>
          <w:rFonts w:ascii="Arial" w:hAnsi="Arial" w:cs="Arial"/>
        </w:rPr>
        <w:t xml:space="preserve">und that the NMR </w:t>
      </w:r>
      <w:r w:rsidRPr="000B405E">
        <w:rPr>
          <w:rFonts w:ascii="Arial" w:hAnsi="Arial" w:cs="Arial"/>
          <w:color w:val="000000" w:themeColor="text1"/>
        </w:rPr>
        <w:t xml:space="preserve">mucin layer </w:t>
      </w:r>
      <w:r>
        <w:rPr>
          <w:rFonts w:ascii="Arial" w:hAnsi="Arial" w:cs="Arial"/>
          <w:color w:val="000000" w:themeColor="text1"/>
        </w:rPr>
        <w:t xml:space="preserve">was </w:t>
      </w:r>
      <w:r w:rsidRPr="005278A7">
        <w:rPr>
          <w:rFonts w:ascii="Arial" w:hAnsi="Arial" w:cs="Arial"/>
          <w:color w:val="000000" w:themeColor="text1"/>
        </w:rPr>
        <w:t xml:space="preserve">1.65 times thicker </w:t>
      </w:r>
      <w:r>
        <w:rPr>
          <w:rFonts w:ascii="Arial" w:hAnsi="Arial" w:cs="Arial"/>
          <w:color w:val="000000" w:themeColor="text1"/>
        </w:rPr>
        <w:t xml:space="preserve">compared to mouse </w:t>
      </w:r>
      <w:r w:rsidRPr="005278A7">
        <w:rPr>
          <w:rFonts w:ascii="Arial" w:hAnsi="Arial" w:cs="Arial"/>
          <w:color w:val="000000" w:themeColor="text1"/>
        </w:rPr>
        <w:t>(</w:t>
      </w:r>
      <w:r>
        <w:rPr>
          <w:rFonts w:ascii="Arial" w:hAnsi="Arial" w:cs="Arial"/>
        </w:rPr>
        <w:t>Extended Data Fig. 5d right, Supplementary Table 1</w:t>
      </w:r>
      <w:r w:rsidRPr="005278A7">
        <w:rPr>
          <w:rFonts w:ascii="Arial" w:hAnsi="Arial" w:cs="Arial"/>
        </w:rPr>
        <w:t xml:space="preserve">). </w:t>
      </w:r>
      <w:r>
        <w:rPr>
          <w:rFonts w:ascii="Arial" w:hAnsi="Arial" w:cs="Arial"/>
        </w:rPr>
        <w:t xml:space="preserve">Moreover, we also found higher gene expression levels of </w:t>
      </w:r>
      <w:r w:rsidRPr="000B405E">
        <w:rPr>
          <w:rFonts w:ascii="Arial" w:hAnsi="Arial" w:cs="Arial"/>
          <w:i/>
          <w:color w:val="000000" w:themeColor="text1"/>
        </w:rPr>
        <w:t>Muc2</w:t>
      </w:r>
      <w:r w:rsidRPr="00460367">
        <w:rPr>
          <w:rFonts w:ascii="Arial" w:hAnsi="Arial" w:cs="Arial"/>
          <w:color w:val="000000" w:themeColor="text1"/>
        </w:rPr>
        <w:t>,</w:t>
      </w:r>
      <w:r>
        <w:rPr>
          <w:rFonts w:ascii="Arial" w:hAnsi="Arial" w:cs="Arial"/>
          <w:i/>
          <w:color w:val="000000" w:themeColor="text1"/>
        </w:rPr>
        <w:t xml:space="preserve"> </w:t>
      </w:r>
      <w:r w:rsidRPr="00891A26">
        <w:rPr>
          <w:rFonts w:ascii="Arial" w:hAnsi="Arial" w:cs="Arial"/>
          <w:iCs/>
          <w:color w:val="000000" w:themeColor="text1"/>
        </w:rPr>
        <w:t>a gene</w:t>
      </w:r>
      <w:r>
        <w:rPr>
          <w:rFonts w:ascii="Arial" w:hAnsi="Arial" w:cs="Arial"/>
          <w:iCs/>
          <w:color w:val="000000" w:themeColor="text1"/>
        </w:rPr>
        <w:t xml:space="preserve"> encoding the predominant gel-forming mucin in the intestine,</w:t>
      </w:r>
      <w:r w:rsidRPr="000B405E">
        <w:rPr>
          <w:rFonts w:ascii="Arial" w:hAnsi="Arial" w:cs="Arial"/>
          <w:color w:val="000000" w:themeColor="text1"/>
        </w:rPr>
        <w:t xml:space="preserve"> </w:t>
      </w:r>
      <w:r>
        <w:rPr>
          <w:rFonts w:ascii="Arial" w:hAnsi="Arial" w:cs="Arial"/>
          <w:color w:val="000000" w:themeColor="text1"/>
        </w:rPr>
        <w:t xml:space="preserve">in </w:t>
      </w:r>
      <w:r w:rsidRPr="000B405E">
        <w:rPr>
          <w:rFonts w:ascii="Arial" w:hAnsi="Arial" w:cs="Arial"/>
          <w:color w:val="000000" w:themeColor="text1"/>
        </w:rPr>
        <w:t xml:space="preserve">all regions of the NMR intestine compared to mouse </w:t>
      </w:r>
      <w:r w:rsidRPr="00BD0EEC">
        <w:rPr>
          <w:rFonts w:ascii="Arial" w:hAnsi="Arial" w:cs="Arial"/>
          <w:color w:val="000000" w:themeColor="text1"/>
        </w:rPr>
        <w:t>(</w:t>
      </w:r>
      <w:r>
        <w:rPr>
          <w:rFonts w:ascii="Arial" w:hAnsi="Arial" w:cs="Arial"/>
        </w:rPr>
        <w:t>Extended Data Fig. 5e</w:t>
      </w:r>
      <w:r w:rsidRPr="00BD0EEC">
        <w:rPr>
          <w:rFonts w:ascii="Arial" w:hAnsi="Arial" w:cs="Arial"/>
        </w:rPr>
        <w:t>).</w:t>
      </w:r>
      <w:r>
        <w:rPr>
          <w:rFonts w:ascii="Arial" w:hAnsi="Arial" w:cs="Arial"/>
        </w:rPr>
        <w:t xml:space="preserve"> </w:t>
      </w:r>
    </w:p>
    <w:p w14:paraId="290D8507" w14:textId="77777777" w:rsidR="0030623E" w:rsidRDefault="0030623E" w:rsidP="0030623E">
      <w:pPr>
        <w:spacing w:line="360" w:lineRule="auto"/>
        <w:jc w:val="both"/>
        <w:rPr>
          <w:rFonts w:ascii="Arial" w:hAnsi="Arial" w:cs="Arial"/>
        </w:rPr>
      </w:pPr>
    </w:p>
    <w:p w14:paraId="06B52F12" w14:textId="77777777" w:rsidR="0030623E" w:rsidRDefault="0030623E" w:rsidP="0030623E">
      <w:pPr>
        <w:spacing w:line="360" w:lineRule="auto"/>
        <w:jc w:val="both"/>
        <w:rPr>
          <w:rFonts w:ascii="Arial" w:hAnsi="Arial" w:cs="Arial"/>
        </w:rPr>
      </w:pPr>
      <w:r w:rsidRPr="00EA1E8A">
        <w:rPr>
          <w:rFonts w:ascii="Arial" w:hAnsi="Arial" w:cs="Arial"/>
        </w:rPr>
        <w:t>Chrom</w:t>
      </w:r>
      <w:r>
        <w:rPr>
          <w:rFonts w:ascii="Arial" w:hAnsi="Arial" w:cs="Arial"/>
        </w:rPr>
        <w:t>o</w:t>
      </w:r>
      <w:r w:rsidRPr="00EA1E8A">
        <w:rPr>
          <w:rFonts w:ascii="Arial" w:hAnsi="Arial" w:cs="Arial"/>
        </w:rPr>
        <w:t>granin</w:t>
      </w:r>
      <w:r>
        <w:rPr>
          <w:rFonts w:ascii="Arial" w:hAnsi="Arial" w:cs="Arial"/>
        </w:rPr>
        <w:t xml:space="preserve"> </w:t>
      </w:r>
      <w:r w:rsidRPr="00EA1E8A">
        <w:rPr>
          <w:rFonts w:ascii="Arial" w:hAnsi="Arial" w:cs="Arial"/>
        </w:rPr>
        <w:t xml:space="preserve">A </w:t>
      </w:r>
      <w:r>
        <w:rPr>
          <w:rFonts w:ascii="Arial" w:hAnsi="Arial" w:cs="Arial"/>
        </w:rPr>
        <w:t xml:space="preserve">immunohistochemistry showed a higher proportion of </w:t>
      </w:r>
      <w:r w:rsidRPr="00EA1E8A">
        <w:rPr>
          <w:rFonts w:ascii="Arial" w:hAnsi="Arial" w:cs="Arial"/>
        </w:rPr>
        <w:t xml:space="preserve">enteroendocrine cells in both the </w:t>
      </w:r>
      <w:r>
        <w:rPr>
          <w:rFonts w:ascii="Arial" w:hAnsi="Arial" w:cs="Arial"/>
        </w:rPr>
        <w:t xml:space="preserve">NMR small intestine and colon </w:t>
      </w:r>
      <w:r w:rsidRPr="00EA1E8A">
        <w:rPr>
          <w:rFonts w:ascii="Arial" w:hAnsi="Arial" w:cs="Arial"/>
        </w:rPr>
        <w:t xml:space="preserve">compared to mice </w:t>
      </w:r>
      <w:r w:rsidRPr="00DC3852">
        <w:rPr>
          <w:rFonts w:ascii="Arial" w:hAnsi="Arial" w:cs="Arial"/>
        </w:rPr>
        <w:t>(</w:t>
      </w:r>
      <w:r>
        <w:rPr>
          <w:rFonts w:ascii="Arial" w:hAnsi="Arial" w:cs="Arial"/>
        </w:rPr>
        <w:t>Extended Data Fig. 5f, Supplementary Table 1</w:t>
      </w:r>
      <w:r w:rsidRPr="00DC3852">
        <w:rPr>
          <w:rFonts w:ascii="Arial" w:hAnsi="Arial" w:cs="Arial"/>
        </w:rPr>
        <w:t>).</w:t>
      </w:r>
      <w:r w:rsidRPr="00EA1E8A">
        <w:rPr>
          <w:rFonts w:ascii="Arial" w:hAnsi="Arial" w:cs="Arial"/>
        </w:rPr>
        <w:t xml:space="preserve"> R</w:t>
      </w:r>
      <w:r>
        <w:rPr>
          <w:rFonts w:ascii="Arial" w:hAnsi="Arial" w:cs="Arial"/>
        </w:rPr>
        <w:t>eal time</w:t>
      </w:r>
      <w:r w:rsidRPr="00EA1E8A">
        <w:rPr>
          <w:rFonts w:ascii="Arial" w:hAnsi="Arial" w:cs="Arial"/>
        </w:rPr>
        <w:t xml:space="preserve">-PCR </w:t>
      </w:r>
      <w:r>
        <w:rPr>
          <w:rFonts w:ascii="Arial" w:hAnsi="Arial" w:cs="Arial"/>
        </w:rPr>
        <w:t xml:space="preserve">also </w:t>
      </w:r>
      <w:r w:rsidRPr="00EA1E8A">
        <w:rPr>
          <w:rFonts w:ascii="Arial" w:hAnsi="Arial" w:cs="Arial"/>
        </w:rPr>
        <w:t xml:space="preserve">detected elevated levels of </w:t>
      </w:r>
      <w:r w:rsidRPr="00607527">
        <w:rPr>
          <w:rFonts w:ascii="Arial" w:hAnsi="Arial" w:cs="Arial"/>
          <w:i/>
        </w:rPr>
        <w:t>Synaptophysin</w:t>
      </w:r>
      <w:r>
        <w:rPr>
          <w:rFonts w:ascii="Arial" w:hAnsi="Arial" w:cs="Arial"/>
        </w:rPr>
        <w:t>,</w:t>
      </w:r>
      <w:r w:rsidRPr="00EA1E8A">
        <w:rPr>
          <w:rFonts w:ascii="Arial" w:hAnsi="Arial" w:cs="Arial"/>
        </w:rPr>
        <w:t xml:space="preserve"> a gene expressed by synaptic-like microvesicles secreted </w:t>
      </w:r>
      <w:r>
        <w:rPr>
          <w:rFonts w:ascii="Arial" w:hAnsi="Arial" w:cs="Arial"/>
        </w:rPr>
        <w:t xml:space="preserve">by </w:t>
      </w:r>
      <w:r w:rsidRPr="000A25E2">
        <w:rPr>
          <w:rFonts w:ascii="Arial" w:hAnsi="Arial" w:cs="Arial"/>
        </w:rPr>
        <w:t xml:space="preserve">enteroendocrine cells, in NMR intestinal villi and crypts compared to murine counterparts </w:t>
      </w:r>
      <w:r w:rsidRPr="000A25E2">
        <w:rPr>
          <w:rFonts w:ascii="Arial" w:hAnsi="Arial" w:cs="Arial"/>
          <w:color w:val="000000" w:themeColor="text1"/>
        </w:rPr>
        <w:t>(</w:t>
      </w:r>
      <w:r>
        <w:rPr>
          <w:rFonts w:ascii="Arial" w:hAnsi="Arial" w:cs="Arial"/>
        </w:rPr>
        <w:t>Extended Data Fig. 5g</w:t>
      </w:r>
      <w:r w:rsidRPr="000A25E2">
        <w:rPr>
          <w:rFonts w:ascii="Arial" w:hAnsi="Arial" w:cs="Arial"/>
        </w:rPr>
        <w:t>).</w:t>
      </w:r>
      <w:r>
        <w:rPr>
          <w:rFonts w:ascii="Arial" w:hAnsi="Arial" w:cs="Arial"/>
        </w:rPr>
        <w:t xml:space="preserve"> </w:t>
      </w:r>
    </w:p>
    <w:p w14:paraId="6FDB6AA0" w14:textId="77777777" w:rsidR="0030623E" w:rsidRDefault="0030623E" w:rsidP="0030623E">
      <w:pPr>
        <w:spacing w:line="360" w:lineRule="auto"/>
        <w:jc w:val="both"/>
        <w:rPr>
          <w:rFonts w:ascii="Arial" w:hAnsi="Arial" w:cs="Arial"/>
        </w:rPr>
      </w:pPr>
    </w:p>
    <w:p w14:paraId="4F9678F4" w14:textId="77777777" w:rsidR="0030623E" w:rsidRDefault="0030623E" w:rsidP="0030623E">
      <w:pPr>
        <w:spacing w:line="360" w:lineRule="auto"/>
        <w:jc w:val="both"/>
        <w:rPr>
          <w:rFonts w:ascii="Arial" w:hAnsi="Arial" w:cs="Arial"/>
          <w:b/>
          <w:i/>
          <w:iCs/>
        </w:rPr>
      </w:pPr>
      <w:r>
        <w:rPr>
          <w:rFonts w:ascii="Arial" w:hAnsi="Arial" w:cs="Arial"/>
        </w:rPr>
        <w:lastRenderedPageBreak/>
        <w:t xml:space="preserve">Using a histochemical assay to measure </w:t>
      </w:r>
      <w:r w:rsidRPr="00EA1E8A">
        <w:rPr>
          <w:rFonts w:ascii="Arial" w:hAnsi="Arial" w:cs="Arial"/>
        </w:rPr>
        <w:t>alkaline phosphatase (AP)</w:t>
      </w:r>
      <w:r>
        <w:rPr>
          <w:rFonts w:ascii="Arial" w:hAnsi="Arial" w:cs="Arial"/>
        </w:rPr>
        <w:t xml:space="preserve"> activity in the absorptive </w:t>
      </w:r>
      <w:r w:rsidRPr="00EA1E8A">
        <w:rPr>
          <w:rFonts w:ascii="Arial" w:hAnsi="Arial" w:cs="Arial"/>
        </w:rPr>
        <w:t xml:space="preserve">enterocytes of the small intestine, </w:t>
      </w:r>
      <w:r>
        <w:rPr>
          <w:rFonts w:ascii="Arial" w:hAnsi="Arial" w:cs="Arial"/>
        </w:rPr>
        <w:t xml:space="preserve">we observed a </w:t>
      </w:r>
      <w:r w:rsidRPr="00EA1E8A">
        <w:rPr>
          <w:rFonts w:ascii="Arial" w:hAnsi="Arial" w:cs="Arial"/>
        </w:rPr>
        <w:t xml:space="preserve">gradual decrease in AP staining </w:t>
      </w:r>
      <w:r>
        <w:rPr>
          <w:rFonts w:ascii="Arial" w:hAnsi="Arial" w:cs="Arial"/>
        </w:rPr>
        <w:t xml:space="preserve">in the mouse </w:t>
      </w:r>
      <w:r w:rsidRPr="00EA1E8A">
        <w:rPr>
          <w:rFonts w:ascii="Arial" w:hAnsi="Arial" w:cs="Arial"/>
        </w:rPr>
        <w:t xml:space="preserve">villi from </w:t>
      </w:r>
      <w:r>
        <w:rPr>
          <w:rFonts w:ascii="Arial" w:hAnsi="Arial" w:cs="Arial"/>
        </w:rPr>
        <w:t xml:space="preserve">the </w:t>
      </w:r>
      <w:r w:rsidRPr="00EA1E8A">
        <w:rPr>
          <w:rFonts w:ascii="Arial" w:hAnsi="Arial" w:cs="Arial"/>
        </w:rPr>
        <w:t xml:space="preserve">proximal to distal </w:t>
      </w:r>
      <w:r>
        <w:rPr>
          <w:rFonts w:ascii="Arial" w:hAnsi="Arial" w:cs="Arial"/>
        </w:rPr>
        <w:t xml:space="preserve">regions (Extended Data Fig. 5h, top panel). Conversely, we observed a sustained expression of AP throughout the small intestine in NMR villi </w:t>
      </w:r>
      <w:r w:rsidRPr="00EA1E8A">
        <w:rPr>
          <w:rFonts w:ascii="Arial" w:hAnsi="Arial" w:cs="Arial"/>
        </w:rPr>
        <w:t>(</w:t>
      </w:r>
      <w:r>
        <w:rPr>
          <w:rFonts w:ascii="Arial" w:hAnsi="Arial" w:cs="Arial"/>
        </w:rPr>
        <w:t>Extended Data Fig. 5h, bottom panel</w:t>
      </w:r>
      <w:r w:rsidRPr="00EA1E8A">
        <w:rPr>
          <w:rFonts w:ascii="Arial" w:hAnsi="Arial" w:cs="Arial"/>
        </w:rPr>
        <w:t xml:space="preserve">). </w:t>
      </w:r>
      <w:r>
        <w:rPr>
          <w:rFonts w:ascii="Arial" w:hAnsi="Arial" w:cs="Arial"/>
        </w:rPr>
        <w:t xml:space="preserve">Quantitative-PCR analysis of the small intestinal crypts and villi revealed much higher </w:t>
      </w:r>
      <w:r w:rsidRPr="00D11A80">
        <w:rPr>
          <w:rFonts w:ascii="Arial" w:hAnsi="Arial" w:cs="Arial"/>
        </w:rPr>
        <w:t xml:space="preserve">expression of </w:t>
      </w:r>
      <w:r w:rsidRPr="00D11A80">
        <w:rPr>
          <w:rFonts w:ascii="Arial" w:hAnsi="Arial" w:cs="Arial"/>
          <w:i/>
          <w:iCs/>
        </w:rPr>
        <w:t>AldolaseB</w:t>
      </w:r>
      <w:r>
        <w:rPr>
          <w:rFonts w:ascii="Arial" w:hAnsi="Arial" w:cs="Arial"/>
          <w:i/>
          <w:iCs/>
        </w:rPr>
        <w:t xml:space="preserve">, </w:t>
      </w:r>
      <w:r w:rsidRPr="001E5AA0">
        <w:rPr>
          <w:rFonts w:ascii="Arial" w:hAnsi="Arial" w:cs="Arial"/>
        </w:rPr>
        <w:t>another marker of enterocytes</w:t>
      </w:r>
      <w:r w:rsidRPr="00052140">
        <w:rPr>
          <w:rFonts w:ascii="Arial" w:hAnsi="Arial" w:cs="Arial"/>
          <w:noProof/>
          <w:vertAlign w:val="superscript"/>
        </w:rPr>
        <w:t>80,81</w:t>
      </w:r>
      <w:r>
        <w:rPr>
          <w:rFonts w:ascii="Arial" w:hAnsi="Arial" w:cs="Arial"/>
        </w:rPr>
        <w:t xml:space="preserve">, </w:t>
      </w:r>
      <w:r w:rsidRPr="00D11A80">
        <w:rPr>
          <w:rFonts w:ascii="Arial" w:hAnsi="Arial" w:cs="Arial"/>
        </w:rPr>
        <w:t xml:space="preserve"> in NMR</w:t>
      </w:r>
      <w:r>
        <w:rPr>
          <w:rFonts w:ascii="Arial" w:hAnsi="Arial" w:cs="Arial"/>
        </w:rPr>
        <w:t>s</w:t>
      </w:r>
      <w:r w:rsidRPr="00D11A80">
        <w:rPr>
          <w:rFonts w:ascii="Arial" w:hAnsi="Arial" w:cs="Arial"/>
        </w:rPr>
        <w:t xml:space="preserve"> compared to mice </w:t>
      </w:r>
      <w:r w:rsidRPr="00A77435">
        <w:rPr>
          <w:rFonts w:ascii="Arial" w:hAnsi="Arial" w:cs="Arial"/>
          <w:color w:val="000000" w:themeColor="text1"/>
        </w:rPr>
        <w:t>(</w:t>
      </w:r>
      <w:r>
        <w:rPr>
          <w:rFonts w:ascii="Arial" w:hAnsi="Arial" w:cs="Arial"/>
        </w:rPr>
        <w:t>Extended Data Fig. 5i</w:t>
      </w:r>
      <w:r w:rsidRPr="00A77435">
        <w:rPr>
          <w:rFonts w:ascii="Arial" w:hAnsi="Arial" w:cs="Arial"/>
        </w:rPr>
        <w:t>)</w:t>
      </w:r>
      <w:r w:rsidRPr="00D11A80">
        <w:rPr>
          <w:rFonts w:ascii="Arial" w:hAnsi="Arial" w:cs="Arial"/>
        </w:rPr>
        <w:t>.</w:t>
      </w:r>
      <w:r>
        <w:rPr>
          <w:rFonts w:ascii="Arial" w:hAnsi="Arial" w:cs="Arial"/>
        </w:rPr>
        <w:t xml:space="preserve"> In summary, both the NMR small intestine and colon possessed increased numbers of every differentiated cell type we assessed compared to mouse intestine (Supplementary Table 1). We did not extend our analysis to Paneth, tuft or M cells. </w:t>
      </w:r>
    </w:p>
    <w:p w14:paraId="5AAB1A28" w14:textId="77777777" w:rsidR="0030623E" w:rsidRDefault="0030623E" w:rsidP="0030623E">
      <w:pPr>
        <w:spacing w:line="360" w:lineRule="auto"/>
        <w:jc w:val="both"/>
        <w:rPr>
          <w:rFonts w:ascii="Arial" w:hAnsi="Arial" w:cs="Arial"/>
          <w:color w:val="000000" w:themeColor="text1"/>
        </w:rPr>
      </w:pPr>
      <w:r>
        <w:rPr>
          <w:rFonts w:ascii="Arial" w:hAnsi="Arial" w:cs="Arial"/>
          <w:noProof/>
          <w:color w:val="000000" w:themeColor="text1"/>
        </w:rPr>
        <w:lastRenderedPageBreak/>
        <w:drawing>
          <wp:inline distT="0" distB="0" distL="0" distR="0" wp14:anchorId="7D077D93" wp14:editId="23695B07">
            <wp:extent cx="5727700" cy="6103620"/>
            <wp:effectExtent l="0" t="0" r="0" b="5080"/>
            <wp:docPr id="12" name="Picture 12"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picture containing text&#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5727700" cy="6103620"/>
                    </a:xfrm>
                    <a:prstGeom prst="rect">
                      <a:avLst/>
                    </a:prstGeom>
                  </pic:spPr>
                </pic:pic>
              </a:graphicData>
            </a:graphic>
          </wp:inline>
        </w:drawing>
      </w:r>
    </w:p>
    <w:p w14:paraId="7117517C" w14:textId="77777777" w:rsidR="0030623E" w:rsidRPr="005D59B9" w:rsidRDefault="0030623E" w:rsidP="0030623E">
      <w:pPr>
        <w:spacing w:line="360" w:lineRule="auto"/>
        <w:jc w:val="both"/>
        <w:rPr>
          <w:rFonts w:ascii="Arial" w:hAnsi="Arial" w:cs="Arial"/>
        </w:rPr>
      </w:pPr>
      <w:r>
        <w:rPr>
          <w:rFonts w:ascii="Arial" w:hAnsi="Arial" w:cs="Arial"/>
          <w:b/>
          <w:bCs/>
        </w:rPr>
        <w:t xml:space="preserve">Extended Data </w:t>
      </w:r>
      <w:r w:rsidRPr="005D59B9">
        <w:rPr>
          <w:rFonts w:ascii="Arial" w:hAnsi="Arial" w:cs="Arial"/>
          <w:b/>
          <w:bCs/>
        </w:rPr>
        <w:t>Fig</w:t>
      </w:r>
      <w:r>
        <w:rPr>
          <w:rFonts w:ascii="Arial" w:hAnsi="Arial" w:cs="Arial"/>
          <w:b/>
          <w:bCs/>
        </w:rPr>
        <w:t>. 5 |</w:t>
      </w:r>
      <w:r w:rsidRPr="005D59B9">
        <w:rPr>
          <w:rFonts w:ascii="Arial" w:hAnsi="Arial" w:cs="Arial"/>
        </w:rPr>
        <w:t xml:space="preserve"> </w:t>
      </w:r>
      <w:r w:rsidRPr="005D59B9">
        <w:rPr>
          <w:rFonts w:ascii="Arial" w:hAnsi="Arial" w:cs="Arial"/>
          <w:b/>
          <w:bCs/>
        </w:rPr>
        <w:t xml:space="preserve">Macroscopic and microscopic analysis of </w:t>
      </w:r>
      <w:r>
        <w:rPr>
          <w:rFonts w:ascii="Arial" w:hAnsi="Arial" w:cs="Arial"/>
          <w:b/>
          <w:bCs/>
        </w:rPr>
        <w:t xml:space="preserve">wild-caught </w:t>
      </w:r>
      <w:r w:rsidRPr="005D59B9">
        <w:rPr>
          <w:rFonts w:ascii="Arial" w:hAnsi="Arial" w:cs="Arial"/>
          <w:b/>
          <w:bCs/>
        </w:rPr>
        <w:t>naked mole rat (NMR) versus wild</w:t>
      </w:r>
      <w:r>
        <w:rPr>
          <w:rFonts w:ascii="Arial" w:hAnsi="Arial" w:cs="Arial"/>
          <w:b/>
          <w:bCs/>
        </w:rPr>
        <w:t>-caught</w:t>
      </w:r>
      <w:r w:rsidRPr="005D59B9">
        <w:rPr>
          <w:rFonts w:ascii="Arial" w:hAnsi="Arial" w:cs="Arial"/>
          <w:b/>
          <w:bCs/>
        </w:rPr>
        <w:t xml:space="preserve"> mouse intestine</w:t>
      </w:r>
      <w:r>
        <w:rPr>
          <w:rFonts w:ascii="Arial" w:hAnsi="Arial" w:cs="Arial"/>
          <w:b/>
          <w:bCs/>
        </w:rPr>
        <w:t>.</w:t>
      </w:r>
      <w:r>
        <w:rPr>
          <w:rFonts w:ascii="Arial" w:hAnsi="Arial" w:cs="Arial"/>
        </w:rPr>
        <w:t xml:space="preserve"> </w:t>
      </w:r>
      <w:r w:rsidRPr="005D59B9">
        <w:rPr>
          <w:rFonts w:ascii="Arial" w:hAnsi="Arial" w:cs="Arial"/>
        </w:rPr>
        <w:t xml:space="preserve">Significant differences were observed between NMR and mouse in </w:t>
      </w:r>
      <w:r w:rsidRPr="005538B4">
        <w:rPr>
          <w:rFonts w:ascii="Arial" w:hAnsi="Arial" w:cs="Arial"/>
          <w:b/>
          <w:bCs/>
        </w:rPr>
        <w:t>a</w:t>
      </w:r>
      <w:r>
        <w:rPr>
          <w:rFonts w:ascii="Arial" w:hAnsi="Arial" w:cs="Arial"/>
        </w:rPr>
        <w:t xml:space="preserve">, </w:t>
      </w:r>
      <w:r w:rsidRPr="005D59B9">
        <w:rPr>
          <w:rFonts w:ascii="Arial" w:hAnsi="Arial" w:cs="Arial"/>
        </w:rPr>
        <w:t>the</w:t>
      </w:r>
      <w:r>
        <w:rPr>
          <w:rFonts w:ascii="Arial" w:hAnsi="Arial" w:cs="Arial"/>
        </w:rPr>
        <w:t xml:space="preserve"> absolute (left) and the normalised (right)</w:t>
      </w:r>
      <w:r w:rsidRPr="005D59B9">
        <w:rPr>
          <w:rFonts w:ascii="Arial" w:hAnsi="Arial" w:cs="Arial"/>
        </w:rPr>
        <w:t xml:space="preserve"> intestinal length (12 months old, n=6 animals per group; </w:t>
      </w:r>
      <w:r w:rsidRPr="005D59B9">
        <w:rPr>
          <w:rFonts w:ascii="Arial" w:hAnsi="Arial" w:cs="Arial"/>
          <w:i/>
          <w:iCs/>
        </w:rPr>
        <w:t>P</w:t>
      </w:r>
      <w:r w:rsidRPr="005D59B9">
        <w:rPr>
          <w:rFonts w:ascii="Arial" w:hAnsi="Arial" w:cs="Arial"/>
        </w:rPr>
        <w:t xml:space="preserve">&lt;0.001), </w:t>
      </w:r>
      <w:r>
        <w:rPr>
          <w:rFonts w:ascii="Arial" w:hAnsi="Arial" w:cs="Arial"/>
          <w:b/>
          <w:bCs/>
        </w:rPr>
        <w:t>b</w:t>
      </w:r>
      <w:r>
        <w:rPr>
          <w:rFonts w:ascii="Arial" w:hAnsi="Arial" w:cs="Arial"/>
        </w:rPr>
        <w:t>,</w:t>
      </w:r>
      <w:r w:rsidRPr="005D59B9">
        <w:rPr>
          <w:rFonts w:ascii="Arial" w:hAnsi="Arial" w:cs="Arial"/>
        </w:rPr>
        <w:t xml:space="preserve">villus length (n=60 villi from 6 animals per group, </w:t>
      </w:r>
      <w:r w:rsidRPr="005D59B9">
        <w:rPr>
          <w:rFonts w:ascii="Arial" w:hAnsi="Arial" w:cs="Arial"/>
          <w:i/>
          <w:iCs/>
        </w:rPr>
        <w:t>P</w:t>
      </w:r>
      <w:r w:rsidRPr="005D59B9">
        <w:rPr>
          <w:rFonts w:ascii="Arial" w:hAnsi="Arial" w:cs="Arial"/>
        </w:rPr>
        <w:t xml:space="preserve">&lt;0.001), and villus cell counts (n=60 villi from 6 animals per group, </w:t>
      </w:r>
      <w:r w:rsidRPr="005D59B9">
        <w:rPr>
          <w:rFonts w:ascii="Arial" w:hAnsi="Arial" w:cs="Arial"/>
          <w:i/>
          <w:iCs/>
        </w:rPr>
        <w:t>P</w:t>
      </w:r>
      <w:r w:rsidRPr="005D59B9">
        <w:rPr>
          <w:rFonts w:ascii="Arial" w:hAnsi="Arial" w:cs="Arial"/>
        </w:rPr>
        <w:t xml:space="preserve">&lt;0.001). </w:t>
      </w:r>
      <w:r>
        <w:rPr>
          <w:rFonts w:ascii="Arial" w:hAnsi="Arial" w:cs="Arial"/>
          <w:b/>
          <w:bCs/>
        </w:rPr>
        <w:t>c</w:t>
      </w:r>
      <w:r>
        <w:rPr>
          <w:rFonts w:ascii="Arial" w:hAnsi="Arial" w:cs="Arial"/>
        </w:rPr>
        <w:t xml:space="preserve">, </w:t>
      </w:r>
      <w:r w:rsidRPr="005D59B9">
        <w:rPr>
          <w:rFonts w:ascii="Arial" w:hAnsi="Arial" w:cs="Arial"/>
        </w:rPr>
        <w:t xml:space="preserve">Differences were also noted in the proportion of goblet cells (Alcian blue positive) in the villi (top panel) and the crypts (bottom panel) of the duodenum (SB1), jejunum (SB2) and ileum (SB3) (n=60 crypts/villi from 6 animals per group, </w:t>
      </w:r>
      <w:r w:rsidRPr="005D59B9">
        <w:rPr>
          <w:rFonts w:ascii="Arial" w:hAnsi="Arial" w:cs="Arial"/>
          <w:i/>
          <w:iCs/>
        </w:rPr>
        <w:t>P</w:t>
      </w:r>
      <w:r w:rsidRPr="005D59B9">
        <w:rPr>
          <w:rFonts w:ascii="Arial" w:hAnsi="Arial" w:cs="Arial"/>
        </w:rPr>
        <w:t xml:space="preserve">&lt;0.001). </w:t>
      </w:r>
      <w:r>
        <w:rPr>
          <w:rFonts w:ascii="Arial" w:hAnsi="Arial" w:cs="Arial"/>
          <w:b/>
          <w:bCs/>
        </w:rPr>
        <w:t>d</w:t>
      </w:r>
      <w:r>
        <w:rPr>
          <w:rFonts w:ascii="Arial" w:hAnsi="Arial" w:cs="Arial"/>
        </w:rPr>
        <w:t xml:space="preserve">, </w:t>
      </w:r>
      <w:r w:rsidRPr="005D59B9">
        <w:rPr>
          <w:rFonts w:ascii="Arial" w:hAnsi="Arial" w:cs="Arial"/>
        </w:rPr>
        <w:t xml:space="preserve">Measurement of the secreted mucin from the inner (denoted by *) to the outer (+) layer revealed a significantly thicker layer in the NMR </w:t>
      </w:r>
      <w:r w:rsidRPr="005D59B9">
        <w:rPr>
          <w:rFonts w:ascii="Arial" w:hAnsi="Arial" w:cs="Arial"/>
        </w:rPr>
        <w:lastRenderedPageBreak/>
        <w:t>colon (</w:t>
      </w:r>
      <w:r w:rsidRPr="005D59B9">
        <w:rPr>
          <w:rFonts w:ascii="Arial" w:hAnsi="Arial" w:cs="Arial"/>
          <w:color w:val="000000" w:themeColor="text1"/>
        </w:rPr>
        <w:t>n=3</w:t>
      </w:r>
      <w:r>
        <w:rPr>
          <w:rFonts w:ascii="Arial" w:hAnsi="Arial" w:cs="Arial"/>
          <w:color w:val="000000" w:themeColor="text1"/>
        </w:rPr>
        <w:t>0 measurements from 3</w:t>
      </w:r>
      <w:r w:rsidRPr="005D59B9">
        <w:rPr>
          <w:rFonts w:ascii="Arial" w:hAnsi="Arial" w:cs="Arial"/>
          <w:color w:val="000000" w:themeColor="text1"/>
        </w:rPr>
        <w:t xml:space="preserve"> animals per group, </w:t>
      </w:r>
      <w:r w:rsidRPr="005D59B9">
        <w:rPr>
          <w:rFonts w:ascii="Arial" w:hAnsi="Arial" w:cs="Arial"/>
          <w:i/>
          <w:iCs/>
        </w:rPr>
        <w:t>P</w:t>
      </w:r>
      <w:r w:rsidRPr="005D59B9">
        <w:rPr>
          <w:rFonts w:ascii="Arial" w:hAnsi="Arial" w:cs="Arial"/>
        </w:rPr>
        <w:t xml:space="preserve">&lt;0.001). </w:t>
      </w:r>
      <w:r w:rsidRPr="005538B4">
        <w:rPr>
          <w:rFonts w:ascii="Arial" w:hAnsi="Arial" w:cs="Arial"/>
          <w:b/>
          <w:bCs/>
        </w:rPr>
        <w:t>e</w:t>
      </w:r>
      <w:r>
        <w:rPr>
          <w:rFonts w:ascii="Arial" w:hAnsi="Arial" w:cs="Arial"/>
        </w:rPr>
        <w:t>,</w:t>
      </w:r>
      <w:r w:rsidRPr="005D59B9">
        <w:rPr>
          <w:rFonts w:ascii="Arial" w:hAnsi="Arial" w:cs="Arial"/>
        </w:rPr>
        <w:t xml:space="preserve"> qRT-PCR analysis showed elevated expression of </w:t>
      </w:r>
      <w:r w:rsidRPr="005D59B9">
        <w:rPr>
          <w:rFonts w:ascii="Arial" w:hAnsi="Arial" w:cs="Arial"/>
          <w:i/>
          <w:iCs/>
        </w:rPr>
        <w:t>Muc2</w:t>
      </w:r>
      <w:r w:rsidRPr="005D59B9">
        <w:rPr>
          <w:rFonts w:ascii="Arial" w:hAnsi="Arial" w:cs="Arial"/>
        </w:rPr>
        <w:t xml:space="preserve"> in NMR villi and crypts compared to mice (n=3 animals per group) </w:t>
      </w:r>
      <w:r w:rsidRPr="005538B4">
        <w:rPr>
          <w:rFonts w:ascii="Arial" w:hAnsi="Arial" w:cs="Arial"/>
          <w:b/>
          <w:bCs/>
        </w:rPr>
        <w:t>f</w:t>
      </w:r>
      <w:r>
        <w:rPr>
          <w:rFonts w:ascii="Arial" w:hAnsi="Arial" w:cs="Arial"/>
        </w:rPr>
        <w:t>,</w:t>
      </w:r>
      <w:r w:rsidRPr="005D59B9">
        <w:rPr>
          <w:rFonts w:ascii="Arial" w:hAnsi="Arial" w:cs="Arial"/>
        </w:rPr>
        <w:t xml:space="preserve"> Proportion of enteroendocrine cells (Chromagranin A</w:t>
      </w:r>
      <w:r w:rsidRPr="005D59B9">
        <w:rPr>
          <w:rFonts w:ascii="Arial" w:hAnsi="Arial" w:cs="Arial"/>
          <w:vertAlign w:val="superscript"/>
        </w:rPr>
        <w:t>+</w:t>
      </w:r>
      <w:r w:rsidRPr="005D59B9">
        <w:rPr>
          <w:rFonts w:ascii="Arial" w:hAnsi="Arial" w:cs="Arial"/>
        </w:rPr>
        <w:t xml:space="preserve">) were also higher in both the NMR villi (top panel) as well as crypts (bottom panel) of SB1, SB2, SB3 and colon compared to mice (n=60 crypts/villi from 6 animals per group, </w:t>
      </w:r>
      <w:r w:rsidRPr="005D59B9">
        <w:rPr>
          <w:rFonts w:ascii="Arial" w:hAnsi="Arial" w:cs="Arial"/>
          <w:i/>
          <w:iCs/>
        </w:rPr>
        <w:t>P</w:t>
      </w:r>
      <w:r w:rsidRPr="005D59B9">
        <w:rPr>
          <w:rFonts w:ascii="Arial" w:hAnsi="Arial" w:cs="Arial"/>
        </w:rPr>
        <w:t xml:space="preserve">&lt;0.01). </w:t>
      </w:r>
      <w:r w:rsidRPr="005538B4">
        <w:rPr>
          <w:rFonts w:ascii="Arial" w:hAnsi="Arial" w:cs="Arial"/>
          <w:b/>
          <w:bCs/>
        </w:rPr>
        <w:t>g</w:t>
      </w:r>
      <w:r>
        <w:rPr>
          <w:rFonts w:ascii="Arial" w:hAnsi="Arial" w:cs="Arial"/>
        </w:rPr>
        <w:t>,</w:t>
      </w:r>
      <w:r w:rsidRPr="005D59B9">
        <w:rPr>
          <w:rFonts w:ascii="Arial" w:hAnsi="Arial" w:cs="Arial"/>
        </w:rPr>
        <w:t xml:space="preserve"> qRT-PCR measurement of </w:t>
      </w:r>
      <w:r w:rsidRPr="005D59B9">
        <w:rPr>
          <w:rFonts w:ascii="Arial" w:hAnsi="Arial" w:cs="Arial"/>
          <w:i/>
        </w:rPr>
        <w:t>Synaptophysin</w:t>
      </w:r>
      <w:r w:rsidRPr="005D59B9">
        <w:rPr>
          <w:rFonts w:ascii="Arial" w:hAnsi="Arial" w:cs="Arial"/>
        </w:rPr>
        <w:t xml:space="preserve"> gene expression showed higher levels in NMR villi and crypts (n=3 animals per group). </w:t>
      </w:r>
      <w:r w:rsidRPr="005538B4">
        <w:rPr>
          <w:rFonts w:ascii="Arial" w:hAnsi="Arial" w:cs="Arial"/>
          <w:b/>
          <w:bCs/>
        </w:rPr>
        <w:t>h</w:t>
      </w:r>
      <w:r>
        <w:rPr>
          <w:rFonts w:ascii="Arial" w:hAnsi="Arial" w:cs="Arial"/>
          <w:b/>
        </w:rPr>
        <w:t>,</w:t>
      </w:r>
      <w:r w:rsidRPr="005D59B9">
        <w:rPr>
          <w:rFonts w:ascii="Arial" w:hAnsi="Arial" w:cs="Arial"/>
        </w:rPr>
        <w:t xml:space="preserve"> Photomicrographs of alkaline phosphatase staining to mark enterocytes (blue) in the small intestine showed a gradual decline in the mouse (top panel) whereas sustained expression throughout the small bowel in the NMR (bottom panel)</w:t>
      </w:r>
      <w:r>
        <w:rPr>
          <w:rFonts w:ascii="Arial" w:hAnsi="Arial" w:cs="Arial"/>
        </w:rPr>
        <w:t>.</w:t>
      </w:r>
      <w:r w:rsidRPr="005D59B9">
        <w:rPr>
          <w:rFonts w:ascii="Arial" w:hAnsi="Arial" w:cs="Arial"/>
        </w:rPr>
        <w:t xml:space="preserve"> </w:t>
      </w:r>
      <w:r w:rsidRPr="005538B4">
        <w:rPr>
          <w:rFonts w:ascii="Arial" w:hAnsi="Arial" w:cs="Arial"/>
          <w:b/>
          <w:bCs/>
        </w:rPr>
        <w:t>i</w:t>
      </w:r>
      <w:r>
        <w:rPr>
          <w:rFonts w:ascii="Arial" w:hAnsi="Arial" w:cs="Arial"/>
        </w:rPr>
        <w:t>,</w:t>
      </w:r>
      <w:r w:rsidRPr="005D59B9">
        <w:rPr>
          <w:rFonts w:ascii="Arial" w:hAnsi="Arial" w:cs="Arial"/>
        </w:rPr>
        <w:t xml:space="preserve"> qRT-PCR analysis of </w:t>
      </w:r>
      <w:r w:rsidRPr="005D59B9">
        <w:rPr>
          <w:rFonts w:ascii="Arial" w:hAnsi="Arial" w:cs="Arial"/>
          <w:i/>
        </w:rPr>
        <w:t>Aldolase B</w:t>
      </w:r>
      <w:r w:rsidRPr="005D59B9">
        <w:rPr>
          <w:rFonts w:ascii="Arial" w:hAnsi="Arial" w:cs="Arial"/>
        </w:rPr>
        <w:t xml:space="preserve"> expression showed higher levels in NMR villi (top) and crypts (bottom) compared to mice (n=3 animals per group). In all cases, statistical significances were determined by performing Student’s t-tests using </w:t>
      </w:r>
      <w:r>
        <w:rPr>
          <w:rFonts w:ascii="Arial" w:hAnsi="Arial" w:cs="Arial"/>
        </w:rPr>
        <w:t xml:space="preserve">a </w:t>
      </w:r>
      <w:r w:rsidRPr="005D59B9">
        <w:rPr>
          <w:rFonts w:ascii="Arial" w:hAnsi="Arial" w:cs="Arial"/>
        </w:rPr>
        <w:t xml:space="preserve">two-tailed, unpaired, and unequal variance. Significant </w:t>
      </w:r>
      <w:r w:rsidRPr="005D59B9">
        <w:rPr>
          <w:rFonts w:ascii="Arial" w:hAnsi="Arial" w:cs="Arial"/>
          <w:i/>
          <w:iCs/>
        </w:rPr>
        <w:t>P</w:t>
      </w:r>
      <w:r w:rsidRPr="005D59B9">
        <w:rPr>
          <w:rFonts w:ascii="Arial" w:hAnsi="Arial" w:cs="Arial"/>
        </w:rPr>
        <w:t xml:space="preserve">-values are denoted as ***&lt;0.001. Each bar represents mean ± standard error of mean. Scale bars are indicated on the images (20 µm, 25 µm, 50 µm, 100 µm, 1 mm, 5 cm). </w:t>
      </w:r>
    </w:p>
    <w:p w14:paraId="269E03E6" w14:textId="77777777" w:rsidR="0030623E" w:rsidRDefault="0030623E" w:rsidP="0030623E">
      <w:pPr>
        <w:rPr>
          <w:rFonts w:ascii="Arial" w:hAnsi="Arial" w:cs="Arial"/>
          <w:color w:val="000000" w:themeColor="text1"/>
        </w:rPr>
      </w:pPr>
      <w:r>
        <w:rPr>
          <w:rFonts w:ascii="Arial" w:hAnsi="Arial" w:cs="Arial"/>
          <w:color w:val="000000" w:themeColor="text1"/>
        </w:rPr>
        <w:br w:type="page"/>
      </w:r>
    </w:p>
    <w:p w14:paraId="17086028" w14:textId="77777777" w:rsidR="0030623E" w:rsidRPr="004035DA" w:rsidRDefault="0030623E" w:rsidP="0030623E">
      <w:pPr>
        <w:jc w:val="both"/>
        <w:rPr>
          <w:rFonts w:ascii="Arial" w:hAnsi="Arial" w:cs="Arial"/>
          <w:b/>
          <w:bCs/>
          <w:lang w:val="en-US"/>
        </w:rPr>
      </w:pPr>
      <w:r>
        <w:rPr>
          <w:rFonts w:ascii="Arial" w:hAnsi="Arial" w:cs="Arial"/>
          <w:b/>
          <w:bCs/>
          <w:lang w:val="en-US"/>
        </w:rPr>
        <w:lastRenderedPageBreak/>
        <w:t>Supplementary Table 1</w:t>
      </w:r>
      <w:r w:rsidRPr="004035DA">
        <w:rPr>
          <w:rFonts w:ascii="Arial" w:hAnsi="Arial" w:cs="Arial"/>
          <w:b/>
          <w:bCs/>
          <w:lang w:val="en-US"/>
        </w:rPr>
        <w:t xml:space="preserve">. Summary of histological comparison between </w:t>
      </w:r>
      <w:r>
        <w:rPr>
          <w:rFonts w:ascii="Arial" w:hAnsi="Arial" w:cs="Arial"/>
          <w:b/>
          <w:bCs/>
          <w:lang w:val="en-US"/>
        </w:rPr>
        <w:t xml:space="preserve">wild-caught </w:t>
      </w:r>
      <w:r w:rsidRPr="004035DA">
        <w:rPr>
          <w:rFonts w:ascii="Arial" w:hAnsi="Arial" w:cs="Arial"/>
          <w:b/>
          <w:bCs/>
          <w:lang w:val="en-US"/>
        </w:rPr>
        <w:t>NMR and wild</w:t>
      </w:r>
      <w:r>
        <w:rPr>
          <w:rFonts w:ascii="Arial" w:hAnsi="Arial" w:cs="Arial"/>
          <w:b/>
          <w:bCs/>
          <w:lang w:val="en-US"/>
        </w:rPr>
        <w:t>-caught</w:t>
      </w:r>
      <w:r w:rsidRPr="004035DA">
        <w:rPr>
          <w:rFonts w:ascii="Arial" w:hAnsi="Arial" w:cs="Arial"/>
          <w:b/>
          <w:bCs/>
          <w:lang w:val="en-US"/>
        </w:rPr>
        <w:t xml:space="preserve"> mouse intestine</w:t>
      </w:r>
    </w:p>
    <w:p w14:paraId="375D8A97" w14:textId="77777777" w:rsidR="0030623E" w:rsidRPr="005D59B9" w:rsidRDefault="0030623E" w:rsidP="0030623E">
      <w:pPr>
        <w:jc w:val="both"/>
        <w:rPr>
          <w:rFonts w:ascii="Arial" w:hAnsi="Arial" w:cs="Arial"/>
          <w:lang w:val="en-US"/>
        </w:rPr>
      </w:pPr>
    </w:p>
    <w:tbl>
      <w:tblPr>
        <w:tblStyle w:val="TableGrid"/>
        <w:tblW w:w="0" w:type="auto"/>
        <w:tblLook w:val="04A0" w:firstRow="1" w:lastRow="0" w:firstColumn="1" w:lastColumn="0" w:noHBand="0" w:noVBand="1"/>
      </w:tblPr>
      <w:tblGrid>
        <w:gridCol w:w="1298"/>
        <w:gridCol w:w="1372"/>
        <w:gridCol w:w="1336"/>
        <w:gridCol w:w="1245"/>
        <w:gridCol w:w="1256"/>
        <w:gridCol w:w="1252"/>
        <w:gridCol w:w="1251"/>
      </w:tblGrid>
      <w:tr w:rsidR="0030623E" w:rsidRPr="005D59B9" w14:paraId="5A8406CC" w14:textId="77777777" w:rsidTr="006D516B">
        <w:trPr>
          <w:tblHeader/>
        </w:trPr>
        <w:tc>
          <w:tcPr>
            <w:tcW w:w="1251" w:type="dxa"/>
            <w:vMerge w:val="restart"/>
          </w:tcPr>
          <w:p w14:paraId="1A9A9534" w14:textId="77777777" w:rsidR="0030623E" w:rsidRPr="005D59B9" w:rsidRDefault="0030623E" w:rsidP="006D516B">
            <w:pPr>
              <w:jc w:val="both"/>
              <w:rPr>
                <w:rFonts w:ascii="Arial" w:hAnsi="Arial" w:cs="Arial"/>
                <w:b/>
                <w:bCs/>
              </w:rPr>
            </w:pPr>
          </w:p>
        </w:tc>
        <w:tc>
          <w:tcPr>
            <w:tcW w:w="3979" w:type="dxa"/>
            <w:gridSpan w:val="3"/>
          </w:tcPr>
          <w:p w14:paraId="375AB745" w14:textId="77777777" w:rsidR="0030623E" w:rsidRPr="005D59B9" w:rsidRDefault="0030623E" w:rsidP="006D516B">
            <w:pPr>
              <w:jc w:val="both"/>
              <w:rPr>
                <w:rFonts w:ascii="Arial" w:hAnsi="Arial" w:cs="Arial"/>
                <w:b/>
                <w:bCs/>
              </w:rPr>
            </w:pPr>
            <w:r w:rsidRPr="005D59B9">
              <w:rPr>
                <w:rFonts w:ascii="Arial" w:hAnsi="Arial" w:cs="Arial"/>
                <w:b/>
                <w:bCs/>
              </w:rPr>
              <w:t>Small intestine</w:t>
            </w:r>
          </w:p>
        </w:tc>
        <w:tc>
          <w:tcPr>
            <w:tcW w:w="3780" w:type="dxa"/>
            <w:gridSpan w:val="3"/>
          </w:tcPr>
          <w:p w14:paraId="2E35A191" w14:textId="77777777" w:rsidR="0030623E" w:rsidRPr="005D59B9" w:rsidRDefault="0030623E" w:rsidP="006D516B">
            <w:pPr>
              <w:jc w:val="both"/>
              <w:rPr>
                <w:rFonts w:ascii="Arial" w:hAnsi="Arial" w:cs="Arial"/>
                <w:b/>
                <w:bCs/>
              </w:rPr>
            </w:pPr>
            <w:r w:rsidRPr="005D59B9">
              <w:rPr>
                <w:rFonts w:ascii="Arial" w:hAnsi="Arial" w:cs="Arial"/>
                <w:b/>
                <w:bCs/>
              </w:rPr>
              <w:t>Colon</w:t>
            </w:r>
          </w:p>
        </w:tc>
      </w:tr>
      <w:tr w:rsidR="0030623E" w:rsidRPr="005D59B9" w14:paraId="4781A2B8" w14:textId="77777777" w:rsidTr="006D516B">
        <w:trPr>
          <w:tblHeader/>
        </w:trPr>
        <w:tc>
          <w:tcPr>
            <w:tcW w:w="1251" w:type="dxa"/>
            <w:vMerge/>
          </w:tcPr>
          <w:p w14:paraId="1605B91F" w14:textId="77777777" w:rsidR="0030623E" w:rsidRPr="005D59B9" w:rsidRDefault="0030623E" w:rsidP="006D516B">
            <w:pPr>
              <w:jc w:val="both"/>
              <w:rPr>
                <w:rFonts w:ascii="Arial" w:hAnsi="Arial" w:cs="Arial"/>
              </w:rPr>
            </w:pPr>
          </w:p>
        </w:tc>
        <w:tc>
          <w:tcPr>
            <w:tcW w:w="1381" w:type="dxa"/>
          </w:tcPr>
          <w:p w14:paraId="749B9B26" w14:textId="77777777" w:rsidR="0030623E" w:rsidRPr="005D59B9" w:rsidRDefault="0030623E" w:rsidP="006D516B">
            <w:pPr>
              <w:jc w:val="both"/>
              <w:rPr>
                <w:rFonts w:ascii="Arial" w:hAnsi="Arial" w:cs="Arial"/>
              </w:rPr>
            </w:pPr>
            <w:r w:rsidRPr="005D59B9">
              <w:rPr>
                <w:rFonts w:ascii="Arial" w:hAnsi="Arial" w:cs="Arial"/>
              </w:rPr>
              <w:t>Mouse</w:t>
            </w:r>
            <w:r w:rsidRPr="005D59B9">
              <w:rPr>
                <w:rFonts w:ascii="Arial" w:hAnsi="Arial" w:cs="Arial"/>
                <w:vertAlign w:val="superscript"/>
              </w:rPr>
              <w:t>1</w:t>
            </w:r>
          </w:p>
        </w:tc>
        <w:tc>
          <w:tcPr>
            <w:tcW w:w="1346" w:type="dxa"/>
          </w:tcPr>
          <w:p w14:paraId="109BE630" w14:textId="77777777" w:rsidR="0030623E" w:rsidRPr="005D59B9" w:rsidRDefault="0030623E" w:rsidP="006D516B">
            <w:pPr>
              <w:jc w:val="both"/>
              <w:rPr>
                <w:rFonts w:ascii="Arial" w:hAnsi="Arial" w:cs="Arial"/>
              </w:rPr>
            </w:pPr>
            <w:r w:rsidRPr="005D59B9">
              <w:rPr>
                <w:rFonts w:ascii="Arial" w:hAnsi="Arial" w:cs="Arial"/>
              </w:rPr>
              <w:t>NMR</w:t>
            </w:r>
            <w:r w:rsidRPr="005D59B9">
              <w:rPr>
                <w:rFonts w:ascii="Arial" w:hAnsi="Arial" w:cs="Arial"/>
                <w:vertAlign w:val="superscript"/>
              </w:rPr>
              <w:t>1</w:t>
            </w:r>
          </w:p>
        </w:tc>
        <w:tc>
          <w:tcPr>
            <w:tcW w:w="1252" w:type="dxa"/>
          </w:tcPr>
          <w:p w14:paraId="47DA69C6" w14:textId="77777777" w:rsidR="0030623E" w:rsidRPr="005D59B9" w:rsidRDefault="0030623E" w:rsidP="006D516B">
            <w:pPr>
              <w:jc w:val="both"/>
              <w:rPr>
                <w:rFonts w:ascii="Arial" w:hAnsi="Arial" w:cs="Arial"/>
              </w:rPr>
            </w:pPr>
            <w:r w:rsidRPr="005D59B9">
              <w:rPr>
                <w:rFonts w:ascii="Arial" w:hAnsi="Arial" w:cs="Arial"/>
                <w:i/>
                <w:iCs/>
              </w:rPr>
              <w:t>P</w:t>
            </w:r>
            <w:r w:rsidRPr="005D59B9">
              <w:rPr>
                <w:rFonts w:ascii="Arial" w:hAnsi="Arial" w:cs="Arial"/>
              </w:rPr>
              <w:t>-value</w:t>
            </w:r>
            <w:r w:rsidRPr="005D59B9">
              <w:rPr>
                <w:rFonts w:ascii="Arial" w:hAnsi="Arial" w:cs="Arial"/>
                <w:vertAlign w:val="superscript"/>
              </w:rPr>
              <w:t>2</w:t>
            </w:r>
          </w:p>
        </w:tc>
        <w:tc>
          <w:tcPr>
            <w:tcW w:w="1262" w:type="dxa"/>
          </w:tcPr>
          <w:p w14:paraId="21189C76" w14:textId="77777777" w:rsidR="0030623E" w:rsidRPr="005D59B9" w:rsidRDefault="0030623E" w:rsidP="006D516B">
            <w:pPr>
              <w:jc w:val="both"/>
              <w:rPr>
                <w:rFonts w:ascii="Arial" w:hAnsi="Arial" w:cs="Arial"/>
              </w:rPr>
            </w:pPr>
            <w:r w:rsidRPr="005D59B9">
              <w:rPr>
                <w:rFonts w:ascii="Arial" w:hAnsi="Arial" w:cs="Arial"/>
              </w:rPr>
              <w:t>Mouse</w:t>
            </w:r>
            <w:r w:rsidRPr="005D59B9">
              <w:rPr>
                <w:rFonts w:ascii="Arial" w:hAnsi="Arial" w:cs="Arial"/>
                <w:vertAlign w:val="superscript"/>
              </w:rPr>
              <w:t>1</w:t>
            </w:r>
          </w:p>
        </w:tc>
        <w:tc>
          <w:tcPr>
            <w:tcW w:w="1260" w:type="dxa"/>
          </w:tcPr>
          <w:p w14:paraId="483711F0" w14:textId="77777777" w:rsidR="0030623E" w:rsidRPr="005D59B9" w:rsidRDefault="0030623E" w:rsidP="006D516B">
            <w:pPr>
              <w:jc w:val="both"/>
              <w:rPr>
                <w:rFonts w:ascii="Arial" w:hAnsi="Arial" w:cs="Arial"/>
              </w:rPr>
            </w:pPr>
            <w:r w:rsidRPr="005D59B9">
              <w:rPr>
                <w:rFonts w:ascii="Arial" w:hAnsi="Arial" w:cs="Arial"/>
              </w:rPr>
              <w:t>NMR</w:t>
            </w:r>
            <w:r w:rsidRPr="005D59B9">
              <w:rPr>
                <w:rFonts w:ascii="Arial" w:hAnsi="Arial" w:cs="Arial"/>
                <w:vertAlign w:val="superscript"/>
              </w:rPr>
              <w:t>1</w:t>
            </w:r>
          </w:p>
        </w:tc>
        <w:tc>
          <w:tcPr>
            <w:tcW w:w="1258" w:type="dxa"/>
          </w:tcPr>
          <w:p w14:paraId="03B81170" w14:textId="77777777" w:rsidR="0030623E" w:rsidRPr="005D59B9" w:rsidRDefault="0030623E" w:rsidP="006D516B">
            <w:pPr>
              <w:jc w:val="both"/>
              <w:rPr>
                <w:rFonts w:ascii="Arial" w:hAnsi="Arial" w:cs="Arial"/>
              </w:rPr>
            </w:pPr>
            <w:r w:rsidRPr="005D59B9">
              <w:rPr>
                <w:rFonts w:ascii="Arial" w:hAnsi="Arial" w:cs="Arial"/>
                <w:i/>
                <w:iCs/>
              </w:rPr>
              <w:t>P</w:t>
            </w:r>
            <w:r w:rsidRPr="005D59B9">
              <w:rPr>
                <w:rFonts w:ascii="Arial" w:hAnsi="Arial" w:cs="Arial"/>
              </w:rPr>
              <w:t>-value</w:t>
            </w:r>
            <w:r w:rsidRPr="005D59B9">
              <w:rPr>
                <w:rFonts w:ascii="Arial" w:hAnsi="Arial" w:cs="Arial"/>
                <w:vertAlign w:val="superscript"/>
              </w:rPr>
              <w:t>2</w:t>
            </w:r>
          </w:p>
        </w:tc>
      </w:tr>
      <w:tr w:rsidR="0030623E" w:rsidRPr="005D59B9" w14:paraId="03B6653B" w14:textId="77777777" w:rsidTr="006D516B">
        <w:tc>
          <w:tcPr>
            <w:tcW w:w="1251" w:type="dxa"/>
          </w:tcPr>
          <w:p w14:paraId="534C4D0D" w14:textId="77777777" w:rsidR="0030623E" w:rsidRPr="005D59B9" w:rsidRDefault="0030623E" w:rsidP="006D516B">
            <w:pPr>
              <w:jc w:val="both"/>
              <w:rPr>
                <w:rFonts w:ascii="Arial" w:hAnsi="Arial" w:cs="Arial"/>
              </w:rPr>
            </w:pPr>
            <w:r w:rsidRPr="005D59B9">
              <w:rPr>
                <w:rFonts w:ascii="Arial" w:hAnsi="Arial" w:cs="Arial"/>
              </w:rPr>
              <w:t>Length of GI track (cm)</w:t>
            </w:r>
          </w:p>
        </w:tc>
        <w:tc>
          <w:tcPr>
            <w:tcW w:w="1381" w:type="dxa"/>
          </w:tcPr>
          <w:p w14:paraId="3134CE41" w14:textId="77777777" w:rsidR="0030623E" w:rsidRPr="005D59B9" w:rsidRDefault="0030623E" w:rsidP="006D516B">
            <w:pPr>
              <w:jc w:val="both"/>
              <w:rPr>
                <w:rFonts w:ascii="Arial" w:hAnsi="Arial" w:cs="Arial"/>
              </w:rPr>
            </w:pPr>
            <w:r w:rsidRPr="005D59B9">
              <w:rPr>
                <w:rFonts w:ascii="Arial" w:hAnsi="Arial" w:cs="Arial"/>
              </w:rPr>
              <w:t>36.5 ± 0.22</w:t>
            </w:r>
          </w:p>
        </w:tc>
        <w:tc>
          <w:tcPr>
            <w:tcW w:w="1346" w:type="dxa"/>
          </w:tcPr>
          <w:p w14:paraId="51D967FB" w14:textId="77777777" w:rsidR="0030623E" w:rsidRPr="005D59B9" w:rsidRDefault="0030623E" w:rsidP="006D516B">
            <w:pPr>
              <w:jc w:val="both"/>
              <w:rPr>
                <w:rFonts w:ascii="Arial" w:hAnsi="Arial" w:cs="Arial"/>
              </w:rPr>
            </w:pPr>
            <w:r w:rsidRPr="005D59B9">
              <w:rPr>
                <w:rFonts w:ascii="Arial" w:hAnsi="Arial" w:cs="Arial"/>
              </w:rPr>
              <w:t>16.5 ± 0.88</w:t>
            </w:r>
          </w:p>
        </w:tc>
        <w:tc>
          <w:tcPr>
            <w:tcW w:w="1252" w:type="dxa"/>
          </w:tcPr>
          <w:p w14:paraId="1C76F641" w14:textId="77777777" w:rsidR="0030623E" w:rsidRPr="005D59B9" w:rsidRDefault="0030623E" w:rsidP="006D516B">
            <w:pPr>
              <w:jc w:val="both"/>
              <w:rPr>
                <w:rFonts w:ascii="Arial" w:hAnsi="Arial" w:cs="Arial"/>
              </w:rPr>
            </w:pPr>
            <w:r w:rsidRPr="005D59B9">
              <w:rPr>
                <w:rFonts w:ascii="Arial" w:hAnsi="Arial" w:cs="Arial"/>
              </w:rPr>
              <w:t>&lt;0.001</w:t>
            </w:r>
          </w:p>
        </w:tc>
        <w:tc>
          <w:tcPr>
            <w:tcW w:w="1262" w:type="dxa"/>
          </w:tcPr>
          <w:p w14:paraId="1AD1EEF0" w14:textId="77777777" w:rsidR="0030623E" w:rsidRPr="005D59B9" w:rsidRDefault="0030623E" w:rsidP="006D516B">
            <w:pPr>
              <w:jc w:val="both"/>
              <w:rPr>
                <w:rFonts w:ascii="Arial" w:hAnsi="Arial" w:cs="Arial"/>
              </w:rPr>
            </w:pPr>
            <w:r w:rsidRPr="005D59B9">
              <w:rPr>
                <w:rFonts w:ascii="Arial" w:hAnsi="Arial" w:cs="Arial"/>
              </w:rPr>
              <w:t>8.5 ± 0.22</w:t>
            </w:r>
          </w:p>
        </w:tc>
        <w:tc>
          <w:tcPr>
            <w:tcW w:w="1260" w:type="dxa"/>
          </w:tcPr>
          <w:p w14:paraId="02C82011" w14:textId="77777777" w:rsidR="0030623E" w:rsidRPr="005D59B9" w:rsidRDefault="0030623E" w:rsidP="006D516B">
            <w:pPr>
              <w:jc w:val="both"/>
              <w:rPr>
                <w:rFonts w:ascii="Arial" w:hAnsi="Arial" w:cs="Arial"/>
              </w:rPr>
            </w:pPr>
            <w:r w:rsidRPr="005D59B9">
              <w:rPr>
                <w:rFonts w:ascii="Arial" w:hAnsi="Arial" w:cs="Arial"/>
              </w:rPr>
              <w:t>5.83 ± 0.31</w:t>
            </w:r>
          </w:p>
        </w:tc>
        <w:tc>
          <w:tcPr>
            <w:tcW w:w="1258" w:type="dxa"/>
          </w:tcPr>
          <w:p w14:paraId="5282EC77" w14:textId="77777777" w:rsidR="0030623E" w:rsidRPr="005D59B9" w:rsidRDefault="0030623E" w:rsidP="006D516B">
            <w:pPr>
              <w:jc w:val="both"/>
              <w:rPr>
                <w:rFonts w:ascii="Arial" w:hAnsi="Arial" w:cs="Arial"/>
              </w:rPr>
            </w:pPr>
            <w:r w:rsidRPr="005D59B9">
              <w:rPr>
                <w:rFonts w:ascii="Arial" w:hAnsi="Arial" w:cs="Arial"/>
              </w:rPr>
              <w:t>&lt;0.001</w:t>
            </w:r>
          </w:p>
        </w:tc>
      </w:tr>
      <w:tr w:rsidR="0030623E" w:rsidRPr="005D59B9" w14:paraId="190D4374" w14:textId="77777777" w:rsidTr="006D516B">
        <w:tc>
          <w:tcPr>
            <w:tcW w:w="1251" w:type="dxa"/>
          </w:tcPr>
          <w:p w14:paraId="0756444E" w14:textId="77777777" w:rsidR="0030623E" w:rsidRPr="005D59B9" w:rsidRDefault="0030623E" w:rsidP="006D516B">
            <w:pPr>
              <w:jc w:val="both"/>
              <w:rPr>
                <w:rFonts w:ascii="Arial" w:hAnsi="Arial" w:cs="Arial"/>
              </w:rPr>
            </w:pPr>
            <w:r w:rsidRPr="005D59B9">
              <w:rPr>
                <w:rFonts w:ascii="Arial" w:hAnsi="Arial" w:cs="Arial"/>
              </w:rPr>
              <w:t>Length of villi (µm)</w:t>
            </w:r>
          </w:p>
        </w:tc>
        <w:tc>
          <w:tcPr>
            <w:tcW w:w="1381" w:type="dxa"/>
          </w:tcPr>
          <w:p w14:paraId="13871CD6" w14:textId="77777777" w:rsidR="0030623E" w:rsidRPr="005D59B9" w:rsidRDefault="0030623E" w:rsidP="006D516B">
            <w:pPr>
              <w:jc w:val="both"/>
              <w:rPr>
                <w:rFonts w:ascii="Arial" w:hAnsi="Arial" w:cs="Arial"/>
              </w:rPr>
            </w:pPr>
            <w:r w:rsidRPr="005D59B9">
              <w:rPr>
                <w:rFonts w:ascii="Arial" w:hAnsi="Arial" w:cs="Arial"/>
              </w:rPr>
              <w:t>288.01 ± 8.60</w:t>
            </w:r>
          </w:p>
        </w:tc>
        <w:tc>
          <w:tcPr>
            <w:tcW w:w="1346" w:type="dxa"/>
          </w:tcPr>
          <w:p w14:paraId="4169EF92" w14:textId="77777777" w:rsidR="0030623E" w:rsidRPr="005D59B9" w:rsidRDefault="0030623E" w:rsidP="006D516B">
            <w:pPr>
              <w:jc w:val="both"/>
              <w:rPr>
                <w:rFonts w:ascii="Arial" w:hAnsi="Arial" w:cs="Arial"/>
              </w:rPr>
            </w:pPr>
            <w:r w:rsidRPr="005D59B9">
              <w:rPr>
                <w:rFonts w:ascii="Arial" w:hAnsi="Arial" w:cs="Arial"/>
              </w:rPr>
              <w:t>515.15 ± 13.13</w:t>
            </w:r>
          </w:p>
        </w:tc>
        <w:tc>
          <w:tcPr>
            <w:tcW w:w="1252" w:type="dxa"/>
          </w:tcPr>
          <w:p w14:paraId="181885DD" w14:textId="77777777" w:rsidR="0030623E" w:rsidRPr="005D59B9" w:rsidRDefault="0030623E" w:rsidP="006D516B">
            <w:pPr>
              <w:jc w:val="both"/>
              <w:rPr>
                <w:rFonts w:ascii="Arial" w:hAnsi="Arial" w:cs="Arial"/>
              </w:rPr>
            </w:pPr>
            <w:r w:rsidRPr="005D59B9">
              <w:rPr>
                <w:rFonts w:ascii="Arial" w:hAnsi="Arial" w:cs="Arial"/>
              </w:rPr>
              <w:t>&lt;0.001</w:t>
            </w:r>
          </w:p>
        </w:tc>
        <w:tc>
          <w:tcPr>
            <w:tcW w:w="3780" w:type="dxa"/>
            <w:gridSpan w:val="3"/>
          </w:tcPr>
          <w:p w14:paraId="7FD4303F" w14:textId="77777777" w:rsidR="0030623E" w:rsidRPr="005D59B9" w:rsidRDefault="0030623E" w:rsidP="006D516B">
            <w:pPr>
              <w:jc w:val="both"/>
              <w:rPr>
                <w:rFonts w:ascii="Arial" w:hAnsi="Arial" w:cs="Arial"/>
              </w:rPr>
            </w:pPr>
          </w:p>
          <w:p w14:paraId="0A4BCD3D" w14:textId="77777777" w:rsidR="0030623E" w:rsidRPr="005D59B9" w:rsidRDefault="0030623E" w:rsidP="006D516B">
            <w:pPr>
              <w:jc w:val="both"/>
              <w:rPr>
                <w:rFonts w:ascii="Arial" w:hAnsi="Arial" w:cs="Arial"/>
              </w:rPr>
            </w:pPr>
            <w:r w:rsidRPr="005D59B9">
              <w:rPr>
                <w:rFonts w:ascii="Arial" w:hAnsi="Arial" w:cs="Arial"/>
              </w:rPr>
              <w:t>---</w:t>
            </w:r>
          </w:p>
        </w:tc>
      </w:tr>
      <w:tr w:rsidR="0030623E" w:rsidRPr="005D59B9" w14:paraId="1A0F3CFB" w14:textId="77777777" w:rsidTr="006D516B">
        <w:tc>
          <w:tcPr>
            <w:tcW w:w="1251" w:type="dxa"/>
          </w:tcPr>
          <w:p w14:paraId="2CE165A6" w14:textId="77777777" w:rsidR="0030623E" w:rsidRPr="005D59B9" w:rsidRDefault="0030623E" w:rsidP="006D516B">
            <w:pPr>
              <w:jc w:val="both"/>
              <w:rPr>
                <w:rFonts w:ascii="Arial" w:hAnsi="Arial" w:cs="Arial"/>
              </w:rPr>
            </w:pPr>
            <w:r w:rsidRPr="005D59B9">
              <w:rPr>
                <w:rFonts w:ascii="Arial" w:hAnsi="Arial" w:cs="Arial"/>
              </w:rPr>
              <w:t>Number of EPCAM+ cells/villi</w:t>
            </w:r>
          </w:p>
        </w:tc>
        <w:tc>
          <w:tcPr>
            <w:tcW w:w="1381" w:type="dxa"/>
          </w:tcPr>
          <w:p w14:paraId="5E056719" w14:textId="77777777" w:rsidR="0030623E" w:rsidRPr="005D59B9" w:rsidRDefault="0030623E" w:rsidP="006D516B">
            <w:pPr>
              <w:jc w:val="both"/>
              <w:rPr>
                <w:rFonts w:ascii="Arial" w:hAnsi="Arial" w:cs="Arial"/>
              </w:rPr>
            </w:pPr>
            <w:r w:rsidRPr="005D59B9">
              <w:rPr>
                <w:rFonts w:ascii="Arial" w:hAnsi="Arial" w:cs="Arial"/>
              </w:rPr>
              <w:t>100.23 ± 1.99</w:t>
            </w:r>
          </w:p>
        </w:tc>
        <w:tc>
          <w:tcPr>
            <w:tcW w:w="1346" w:type="dxa"/>
          </w:tcPr>
          <w:p w14:paraId="1051031A" w14:textId="77777777" w:rsidR="0030623E" w:rsidRPr="005D59B9" w:rsidRDefault="0030623E" w:rsidP="006D516B">
            <w:pPr>
              <w:jc w:val="both"/>
              <w:rPr>
                <w:rFonts w:ascii="Arial" w:hAnsi="Arial" w:cs="Arial"/>
              </w:rPr>
            </w:pPr>
            <w:r w:rsidRPr="005D59B9">
              <w:rPr>
                <w:rFonts w:ascii="Arial" w:hAnsi="Arial" w:cs="Arial"/>
              </w:rPr>
              <w:t>140.36 ± 2.72</w:t>
            </w:r>
          </w:p>
        </w:tc>
        <w:tc>
          <w:tcPr>
            <w:tcW w:w="1252" w:type="dxa"/>
          </w:tcPr>
          <w:p w14:paraId="0EF0A7D5" w14:textId="77777777" w:rsidR="0030623E" w:rsidRPr="005D59B9" w:rsidRDefault="0030623E" w:rsidP="006D516B">
            <w:pPr>
              <w:jc w:val="both"/>
              <w:rPr>
                <w:rFonts w:ascii="Arial" w:hAnsi="Arial" w:cs="Arial"/>
              </w:rPr>
            </w:pPr>
            <w:r w:rsidRPr="005D59B9">
              <w:rPr>
                <w:rFonts w:ascii="Arial" w:hAnsi="Arial" w:cs="Arial"/>
              </w:rPr>
              <w:t>&lt;0.001</w:t>
            </w:r>
          </w:p>
        </w:tc>
        <w:tc>
          <w:tcPr>
            <w:tcW w:w="3780" w:type="dxa"/>
            <w:gridSpan w:val="3"/>
          </w:tcPr>
          <w:p w14:paraId="41635060" w14:textId="77777777" w:rsidR="0030623E" w:rsidRPr="005D59B9" w:rsidRDefault="0030623E" w:rsidP="006D516B">
            <w:pPr>
              <w:jc w:val="both"/>
              <w:rPr>
                <w:rFonts w:ascii="Arial" w:hAnsi="Arial" w:cs="Arial"/>
              </w:rPr>
            </w:pPr>
            <w:r w:rsidRPr="005D59B9">
              <w:rPr>
                <w:rFonts w:ascii="Arial" w:hAnsi="Arial" w:cs="Arial"/>
              </w:rPr>
              <w:t>---</w:t>
            </w:r>
          </w:p>
        </w:tc>
      </w:tr>
      <w:tr w:rsidR="0030623E" w:rsidRPr="005D59B9" w14:paraId="3A406976" w14:textId="77777777" w:rsidTr="006D516B">
        <w:tc>
          <w:tcPr>
            <w:tcW w:w="1251" w:type="dxa"/>
          </w:tcPr>
          <w:p w14:paraId="55A3354F" w14:textId="77777777" w:rsidR="0030623E" w:rsidRPr="005D59B9" w:rsidRDefault="0030623E" w:rsidP="006D516B">
            <w:pPr>
              <w:jc w:val="both"/>
              <w:rPr>
                <w:rFonts w:ascii="Arial" w:hAnsi="Arial" w:cs="Arial"/>
              </w:rPr>
            </w:pPr>
            <w:r w:rsidRPr="005D59B9">
              <w:rPr>
                <w:rFonts w:ascii="Arial" w:hAnsi="Arial" w:cs="Arial"/>
              </w:rPr>
              <w:t>Alcian+ cell/villi (%)</w:t>
            </w:r>
          </w:p>
        </w:tc>
        <w:tc>
          <w:tcPr>
            <w:tcW w:w="1381" w:type="dxa"/>
          </w:tcPr>
          <w:p w14:paraId="71410684" w14:textId="77777777" w:rsidR="0030623E" w:rsidRPr="005D59B9" w:rsidRDefault="0030623E" w:rsidP="006D516B">
            <w:pPr>
              <w:jc w:val="both"/>
              <w:rPr>
                <w:rFonts w:ascii="Arial" w:hAnsi="Arial" w:cs="Arial"/>
              </w:rPr>
            </w:pPr>
            <w:r w:rsidRPr="005D59B9">
              <w:rPr>
                <w:rFonts w:ascii="Arial" w:hAnsi="Arial" w:cs="Arial"/>
              </w:rPr>
              <w:t>12.11 ± 0.26</w:t>
            </w:r>
          </w:p>
        </w:tc>
        <w:tc>
          <w:tcPr>
            <w:tcW w:w="1346" w:type="dxa"/>
          </w:tcPr>
          <w:p w14:paraId="66A3E897" w14:textId="77777777" w:rsidR="0030623E" w:rsidRPr="005D59B9" w:rsidRDefault="0030623E" w:rsidP="006D516B">
            <w:pPr>
              <w:jc w:val="both"/>
              <w:rPr>
                <w:rFonts w:ascii="Arial" w:hAnsi="Arial" w:cs="Arial"/>
              </w:rPr>
            </w:pPr>
            <w:r w:rsidRPr="005D59B9">
              <w:rPr>
                <w:rFonts w:ascii="Arial" w:hAnsi="Arial" w:cs="Arial"/>
              </w:rPr>
              <w:t>20.23 ± 0.46</w:t>
            </w:r>
          </w:p>
        </w:tc>
        <w:tc>
          <w:tcPr>
            <w:tcW w:w="1252" w:type="dxa"/>
          </w:tcPr>
          <w:p w14:paraId="391EE5C3" w14:textId="77777777" w:rsidR="0030623E" w:rsidRPr="005D59B9" w:rsidRDefault="0030623E" w:rsidP="006D516B">
            <w:pPr>
              <w:jc w:val="both"/>
              <w:rPr>
                <w:rFonts w:ascii="Arial" w:hAnsi="Arial" w:cs="Arial"/>
              </w:rPr>
            </w:pPr>
            <w:r w:rsidRPr="005D59B9">
              <w:rPr>
                <w:rFonts w:ascii="Arial" w:hAnsi="Arial" w:cs="Arial"/>
              </w:rPr>
              <w:t>&lt;0.001</w:t>
            </w:r>
          </w:p>
        </w:tc>
        <w:tc>
          <w:tcPr>
            <w:tcW w:w="3780" w:type="dxa"/>
            <w:gridSpan w:val="3"/>
          </w:tcPr>
          <w:p w14:paraId="71613BCF" w14:textId="77777777" w:rsidR="0030623E" w:rsidRPr="005D59B9" w:rsidRDefault="0030623E" w:rsidP="006D516B">
            <w:pPr>
              <w:jc w:val="both"/>
              <w:rPr>
                <w:rFonts w:ascii="Arial" w:hAnsi="Arial" w:cs="Arial"/>
              </w:rPr>
            </w:pPr>
            <w:r w:rsidRPr="005D59B9">
              <w:rPr>
                <w:rFonts w:ascii="Arial" w:hAnsi="Arial" w:cs="Arial"/>
              </w:rPr>
              <w:t>---</w:t>
            </w:r>
          </w:p>
        </w:tc>
      </w:tr>
      <w:tr w:rsidR="0030623E" w:rsidRPr="005D59B9" w14:paraId="5EC5C2A9" w14:textId="77777777" w:rsidTr="006D516B">
        <w:tc>
          <w:tcPr>
            <w:tcW w:w="1251" w:type="dxa"/>
          </w:tcPr>
          <w:p w14:paraId="541AB80C" w14:textId="77777777" w:rsidR="0030623E" w:rsidRPr="005D59B9" w:rsidRDefault="0030623E" w:rsidP="006D516B">
            <w:pPr>
              <w:jc w:val="both"/>
              <w:rPr>
                <w:rFonts w:ascii="Arial" w:hAnsi="Arial" w:cs="Arial"/>
              </w:rPr>
            </w:pPr>
            <w:r w:rsidRPr="005D59B9">
              <w:rPr>
                <w:rFonts w:ascii="Arial" w:hAnsi="Arial" w:cs="Arial"/>
              </w:rPr>
              <w:t>Alcian+ cell/crypt (%)</w:t>
            </w:r>
          </w:p>
        </w:tc>
        <w:tc>
          <w:tcPr>
            <w:tcW w:w="1381" w:type="dxa"/>
          </w:tcPr>
          <w:p w14:paraId="20137895" w14:textId="77777777" w:rsidR="0030623E" w:rsidRPr="005D59B9" w:rsidRDefault="0030623E" w:rsidP="006D516B">
            <w:pPr>
              <w:jc w:val="both"/>
              <w:rPr>
                <w:rFonts w:ascii="Arial" w:hAnsi="Arial" w:cs="Arial"/>
              </w:rPr>
            </w:pPr>
            <w:r w:rsidRPr="005D59B9">
              <w:rPr>
                <w:rFonts w:ascii="Arial" w:hAnsi="Arial" w:cs="Arial"/>
              </w:rPr>
              <w:t xml:space="preserve">19.79 ± 0.88 </w:t>
            </w:r>
          </w:p>
        </w:tc>
        <w:tc>
          <w:tcPr>
            <w:tcW w:w="1346" w:type="dxa"/>
          </w:tcPr>
          <w:p w14:paraId="2605A5E7" w14:textId="77777777" w:rsidR="0030623E" w:rsidRPr="005D59B9" w:rsidRDefault="0030623E" w:rsidP="006D516B">
            <w:pPr>
              <w:jc w:val="both"/>
              <w:rPr>
                <w:rFonts w:ascii="Arial" w:hAnsi="Arial" w:cs="Arial"/>
              </w:rPr>
            </w:pPr>
            <w:r w:rsidRPr="005D59B9">
              <w:rPr>
                <w:rFonts w:ascii="Arial" w:hAnsi="Arial" w:cs="Arial"/>
              </w:rPr>
              <w:t>29.27 ± 1.03</w:t>
            </w:r>
          </w:p>
        </w:tc>
        <w:tc>
          <w:tcPr>
            <w:tcW w:w="1252" w:type="dxa"/>
          </w:tcPr>
          <w:p w14:paraId="41BA441E" w14:textId="77777777" w:rsidR="0030623E" w:rsidRPr="005D59B9" w:rsidRDefault="0030623E" w:rsidP="006D516B">
            <w:pPr>
              <w:jc w:val="both"/>
              <w:rPr>
                <w:rFonts w:ascii="Arial" w:hAnsi="Arial" w:cs="Arial"/>
              </w:rPr>
            </w:pPr>
            <w:r w:rsidRPr="005D59B9">
              <w:rPr>
                <w:rFonts w:ascii="Arial" w:hAnsi="Arial" w:cs="Arial"/>
              </w:rPr>
              <w:t>&lt;0.001</w:t>
            </w:r>
          </w:p>
        </w:tc>
        <w:tc>
          <w:tcPr>
            <w:tcW w:w="3780" w:type="dxa"/>
            <w:gridSpan w:val="3"/>
          </w:tcPr>
          <w:p w14:paraId="21D40B64" w14:textId="77777777" w:rsidR="0030623E" w:rsidRPr="005D59B9" w:rsidRDefault="0030623E" w:rsidP="006D516B">
            <w:pPr>
              <w:jc w:val="both"/>
              <w:rPr>
                <w:rFonts w:ascii="Arial" w:hAnsi="Arial" w:cs="Arial"/>
              </w:rPr>
            </w:pPr>
            <w:r w:rsidRPr="005D59B9">
              <w:rPr>
                <w:rFonts w:ascii="Arial" w:hAnsi="Arial" w:cs="Arial"/>
              </w:rPr>
              <w:t>---</w:t>
            </w:r>
          </w:p>
        </w:tc>
      </w:tr>
      <w:tr w:rsidR="0030623E" w:rsidRPr="005D59B9" w14:paraId="6CA9635E" w14:textId="77777777" w:rsidTr="006D516B">
        <w:tc>
          <w:tcPr>
            <w:tcW w:w="1251" w:type="dxa"/>
          </w:tcPr>
          <w:p w14:paraId="63C9A43C" w14:textId="77777777" w:rsidR="0030623E" w:rsidRPr="005D59B9" w:rsidRDefault="0030623E" w:rsidP="006D516B">
            <w:pPr>
              <w:jc w:val="both"/>
              <w:rPr>
                <w:rFonts w:ascii="Arial" w:hAnsi="Arial" w:cs="Arial"/>
              </w:rPr>
            </w:pPr>
            <w:r w:rsidRPr="005D59B9">
              <w:rPr>
                <w:rFonts w:ascii="Arial" w:hAnsi="Arial" w:cs="Arial"/>
              </w:rPr>
              <w:t>Thickness of mucus layer  (µm)</w:t>
            </w:r>
          </w:p>
        </w:tc>
        <w:tc>
          <w:tcPr>
            <w:tcW w:w="3979" w:type="dxa"/>
            <w:gridSpan w:val="3"/>
          </w:tcPr>
          <w:p w14:paraId="49AE7FA4" w14:textId="77777777" w:rsidR="0030623E" w:rsidRPr="005D59B9" w:rsidRDefault="0030623E" w:rsidP="006D516B">
            <w:pPr>
              <w:jc w:val="both"/>
              <w:rPr>
                <w:rFonts w:ascii="Arial" w:hAnsi="Arial" w:cs="Arial"/>
              </w:rPr>
            </w:pPr>
            <w:r w:rsidRPr="005D59B9">
              <w:rPr>
                <w:rFonts w:ascii="Arial" w:hAnsi="Arial" w:cs="Arial"/>
              </w:rPr>
              <w:t>---</w:t>
            </w:r>
          </w:p>
        </w:tc>
        <w:tc>
          <w:tcPr>
            <w:tcW w:w="1262" w:type="dxa"/>
          </w:tcPr>
          <w:p w14:paraId="46639B5B" w14:textId="77777777" w:rsidR="0030623E" w:rsidRPr="005D59B9" w:rsidRDefault="0030623E" w:rsidP="006D516B">
            <w:pPr>
              <w:jc w:val="both"/>
              <w:rPr>
                <w:rFonts w:ascii="Arial" w:hAnsi="Arial" w:cs="Arial"/>
              </w:rPr>
            </w:pPr>
            <w:r w:rsidRPr="005D59B9">
              <w:rPr>
                <w:rFonts w:ascii="Arial" w:hAnsi="Arial" w:cs="Arial"/>
              </w:rPr>
              <w:t>9.19 ± 0.48</w:t>
            </w:r>
          </w:p>
        </w:tc>
        <w:tc>
          <w:tcPr>
            <w:tcW w:w="1260" w:type="dxa"/>
          </w:tcPr>
          <w:p w14:paraId="764BD7A9" w14:textId="77777777" w:rsidR="0030623E" w:rsidRPr="005D59B9" w:rsidRDefault="0030623E" w:rsidP="006D516B">
            <w:pPr>
              <w:jc w:val="both"/>
              <w:rPr>
                <w:rFonts w:ascii="Arial" w:hAnsi="Arial" w:cs="Arial"/>
              </w:rPr>
            </w:pPr>
            <w:r w:rsidRPr="005D59B9">
              <w:rPr>
                <w:rFonts w:ascii="Arial" w:hAnsi="Arial" w:cs="Arial"/>
              </w:rPr>
              <w:t>24.37 ± 3.46</w:t>
            </w:r>
          </w:p>
        </w:tc>
        <w:tc>
          <w:tcPr>
            <w:tcW w:w="1258" w:type="dxa"/>
          </w:tcPr>
          <w:p w14:paraId="569D53EC" w14:textId="77777777" w:rsidR="0030623E" w:rsidRPr="005D59B9" w:rsidRDefault="0030623E" w:rsidP="006D516B">
            <w:pPr>
              <w:jc w:val="both"/>
              <w:rPr>
                <w:rFonts w:ascii="Arial" w:hAnsi="Arial" w:cs="Arial"/>
              </w:rPr>
            </w:pPr>
            <w:r w:rsidRPr="005D59B9">
              <w:rPr>
                <w:rFonts w:ascii="Arial" w:hAnsi="Arial" w:cs="Arial"/>
              </w:rPr>
              <w:t>&lt;0.001</w:t>
            </w:r>
          </w:p>
        </w:tc>
      </w:tr>
      <w:tr w:rsidR="0030623E" w:rsidRPr="005D59B9" w14:paraId="7E084D17" w14:textId="77777777" w:rsidTr="006D516B">
        <w:tc>
          <w:tcPr>
            <w:tcW w:w="1251" w:type="dxa"/>
          </w:tcPr>
          <w:p w14:paraId="3955F6CC" w14:textId="77777777" w:rsidR="0030623E" w:rsidRPr="005D59B9" w:rsidRDefault="0030623E" w:rsidP="006D516B">
            <w:pPr>
              <w:jc w:val="both"/>
              <w:rPr>
                <w:rFonts w:ascii="Arial" w:hAnsi="Arial" w:cs="Arial"/>
              </w:rPr>
            </w:pPr>
            <w:r w:rsidRPr="005D59B9">
              <w:rPr>
                <w:rFonts w:ascii="Arial" w:hAnsi="Arial" w:cs="Arial"/>
              </w:rPr>
              <w:t>ChrA+ cell/villi (%)</w:t>
            </w:r>
          </w:p>
        </w:tc>
        <w:tc>
          <w:tcPr>
            <w:tcW w:w="1381" w:type="dxa"/>
          </w:tcPr>
          <w:p w14:paraId="31E9CE72" w14:textId="77777777" w:rsidR="0030623E" w:rsidRPr="005D59B9" w:rsidRDefault="0030623E" w:rsidP="006D516B">
            <w:pPr>
              <w:jc w:val="both"/>
              <w:rPr>
                <w:rFonts w:ascii="Arial" w:hAnsi="Arial" w:cs="Arial"/>
              </w:rPr>
            </w:pPr>
            <w:r w:rsidRPr="005D59B9">
              <w:rPr>
                <w:rFonts w:ascii="Arial" w:hAnsi="Arial" w:cs="Arial"/>
              </w:rPr>
              <w:t>0.38 ± 0.04</w:t>
            </w:r>
          </w:p>
        </w:tc>
        <w:tc>
          <w:tcPr>
            <w:tcW w:w="1346" w:type="dxa"/>
          </w:tcPr>
          <w:p w14:paraId="71A1B930" w14:textId="77777777" w:rsidR="0030623E" w:rsidRPr="005D59B9" w:rsidRDefault="0030623E" w:rsidP="006D516B">
            <w:pPr>
              <w:jc w:val="both"/>
              <w:rPr>
                <w:rFonts w:ascii="Arial" w:hAnsi="Arial" w:cs="Arial"/>
              </w:rPr>
            </w:pPr>
            <w:r w:rsidRPr="005D59B9">
              <w:rPr>
                <w:rFonts w:ascii="Arial" w:hAnsi="Arial" w:cs="Arial"/>
              </w:rPr>
              <w:t>1.57 ± 0.08</w:t>
            </w:r>
          </w:p>
        </w:tc>
        <w:tc>
          <w:tcPr>
            <w:tcW w:w="1252" w:type="dxa"/>
          </w:tcPr>
          <w:p w14:paraId="644A551B" w14:textId="77777777" w:rsidR="0030623E" w:rsidRPr="005D59B9" w:rsidRDefault="0030623E" w:rsidP="006D516B">
            <w:pPr>
              <w:jc w:val="both"/>
              <w:rPr>
                <w:rFonts w:ascii="Arial" w:hAnsi="Arial" w:cs="Arial"/>
              </w:rPr>
            </w:pPr>
            <w:r w:rsidRPr="005D59B9">
              <w:rPr>
                <w:rFonts w:ascii="Arial" w:hAnsi="Arial" w:cs="Arial"/>
              </w:rPr>
              <w:t>&lt;0.001</w:t>
            </w:r>
          </w:p>
        </w:tc>
        <w:tc>
          <w:tcPr>
            <w:tcW w:w="3780" w:type="dxa"/>
            <w:gridSpan w:val="3"/>
          </w:tcPr>
          <w:p w14:paraId="12AFD197" w14:textId="77777777" w:rsidR="0030623E" w:rsidRPr="005D59B9" w:rsidRDefault="0030623E" w:rsidP="006D516B">
            <w:pPr>
              <w:jc w:val="both"/>
              <w:rPr>
                <w:rFonts w:ascii="Arial" w:hAnsi="Arial" w:cs="Arial"/>
              </w:rPr>
            </w:pPr>
            <w:r w:rsidRPr="005D59B9">
              <w:rPr>
                <w:rFonts w:ascii="Arial" w:hAnsi="Arial" w:cs="Arial"/>
              </w:rPr>
              <w:t>---</w:t>
            </w:r>
          </w:p>
        </w:tc>
      </w:tr>
      <w:tr w:rsidR="0030623E" w:rsidRPr="005D59B9" w14:paraId="2338070A" w14:textId="77777777" w:rsidTr="006D516B">
        <w:tc>
          <w:tcPr>
            <w:tcW w:w="1251" w:type="dxa"/>
          </w:tcPr>
          <w:p w14:paraId="1F827740" w14:textId="77777777" w:rsidR="0030623E" w:rsidRPr="005D59B9" w:rsidRDefault="0030623E" w:rsidP="006D516B">
            <w:pPr>
              <w:jc w:val="both"/>
              <w:rPr>
                <w:rFonts w:ascii="Arial" w:hAnsi="Arial" w:cs="Arial"/>
              </w:rPr>
            </w:pPr>
            <w:r w:rsidRPr="005D59B9">
              <w:rPr>
                <w:rFonts w:ascii="Arial" w:hAnsi="Arial" w:cs="Arial"/>
              </w:rPr>
              <w:t>ChrA+ cell/crypt (%)</w:t>
            </w:r>
          </w:p>
        </w:tc>
        <w:tc>
          <w:tcPr>
            <w:tcW w:w="1381" w:type="dxa"/>
          </w:tcPr>
          <w:p w14:paraId="6B258A85" w14:textId="77777777" w:rsidR="0030623E" w:rsidRPr="005D59B9" w:rsidRDefault="0030623E" w:rsidP="006D516B">
            <w:pPr>
              <w:jc w:val="both"/>
              <w:rPr>
                <w:rFonts w:ascii="Arial" w:hAnsi="Arial" w:cs="Arial"/>
              </w:rPr>
            </w:pPr>
            <w:r w:rsidRPr="005D59B9">
              <w:rPr>
                <w:rFonts w:ascii="Arial" w:hAnsi="Arial" w:cs="Arial"/>
              </w:rPr>
              <w:t>1.00 ± 0.18</w:t>
            </w:r>
          </w:p>
        </w:tc>
        <w:tc>
          <w:tcPr>
            <w:tcW w:w="1346" w:type="dxa"/>
          </w:tcPr>
          <w:p w14:paraId="1A3FF9F8" w14:textId="77777777" w:rsidR="0030623E" w:rsidRPr="005D59B9" w:rsidRDefault="0030623E" w:rsidP="006D516B">
            <w:pPr>
              <w:jc w:val="both"/>
              <w:rPr>
                <w:rFonts w:ascii="Arial" w:hAnsi="Arial" w:cs="Arial"/>
              </w:rPr>
            </w:pPr>
            <w:r w:rsidRPr="005D59B9">
              <w:rPr>
                <w:rFonts w:ascii="Arial" w:hAnsi="Arial" w:cs="Arial"/>
              </w:rPr>
              <w:t>3.59 ± 0.38</w:t>
            </w:r>
          </w:p>
        </w:tc>
        <w:tc>
          <w:tcPr>
            <w:tcW w:w="1252" w:type="dxa"/>
          </w:tcPr>
          <w:p w14:paraId="23655711" w14:textId="77777777" w:rsidR="0030623E" w:rsidRPr="005D59B9" w:rsidRDefault="0030623E" w:rsidP="006D516B">
            <w:pPr>
              <w:jc w:val="both"/>
              <w:rPr>
                <w:rFonts w:ascii="Arial" w:hAnsi="Arial" w:cs="Arial"/>
              </w:rPr>
            </w:pPr>
            <w:r w:rsidRPr="005D59B9">
              <w:rPr>
                <w:rFonts w:ascii="Arial" w:hAnsi="Arial" w:cs="Arial"/>
              </w:rPr>
              <w:t>&lt;0.001</w:t>
            </w:r>
          </w:p>
        </w:tc>
        <w:tc>
          <w:tcPr>
            <w:tcW w:w="1262" w:type="dxa"/>
          </w:tcPr>
          <w:p w14:paraId="01C9F4F5" w14:textId="77777777" w:rsidR="0030623E" w:rsidRPr="005D59B9" w:rsidRDefault="0030623E" w:rsidP="006D516B">
            <w:pPr>
              <w:jc w:val="both"/>
              <w:rPr>
                <w:rFonts w:ascii="Arial" w:hAnsi="Arial" w:cs="Arial"/>
              </w:rPr>
            </w:pPr>
            <w:r w:rsidRPr="005D59B9">
              <w:rPr>
                <w:rFonts w:ascii="Arial" w:hAnsi="Arial" w:cs="Arial"/>
              </w:rPr>
              <w:t>0.05 ± 0.05</w:t>
            </w:r>
          </w:p>
        </w:tc>
        <w:tc>
          <w:tcPr>
            <w:tcW w:w="1260" w:type="dxa"/>
          </w:tcPr>
          <w:p w14:paraId="3BC6FCF2" w14:textId="77777777" w:rsidR="0030623E" w:rsidRPr="005D59B9" w:rsidRDefault="0030623E" w:rsidP="006D516B">
            <w:pPr>
              <w:jc w:val="both"/>
              <w:rPr>
                <w:rFonts w:ascii="Arial" w:hAnsi="Arial" w:cs="Arial"/>
              </w:rPr>
            </w:pPr>
            <w:r w:rsidRPr="005D59B9">
              <w:rPr>
                <w:rFonts w:ascii="Arial" w:hAnsi="Arial" w:cs="Arial"/>
              </w:rPr>
              <w:t>2.38 ± 0.48</w:t>
            </w:r>
          </w:p>
        </w:tc>
        <w:tc>
          <w:tcPr>
            <w:tcW w:w="1258" w:type="dxa"/>
          </w:tcPr>
          <w:p w14:paraId="5BE2B49E" w14:textId="77777777" w:rsidR="0030623E" w:rsidRPr="005D59B9" w:rsidRDefault="0030623E" w:rsidP="006D516B">
            <w:pPr>
              <w:jc w:val="both"/>
              <w:rPr>
                <w:rFonts w:ascii="Arial" w:hAnsi="Arial" w:cs="Arial"/>
              </w:rPr>
            </w:pPr>
            <w:r w:rsidRPr="005D59B9">
              <w:rPr>
                <w:rFonts w:ascii="Arial" w:hAnsi="Arial" w:cs="Arial"/>
              </w:rPr>
              <w:t>&lt;0.001</w:t>
            </w:r>
          </w:p>
        </w:tc>
      </w:tr>
      <w:tr w:rsidR="0030623E" w:rsidRPr="005D59B9" w14:paraId="3C8734C8" w14:textId="77777777" w:rsidTr="006D516B">
        <w:tc>
          <w:tcPr>
            <w:tcW w:w="1251" w:type="dxa"/>
          </w:tcPr>
          <w:p w14:paraId="3772C4DA" w14:textId="77777777" w:rsidR="0030623E" w:rsidRPr="005D59B9" w:rsidRDefault="0030623E" w:rsidP="006D516B">
            <w:pPr>
              <w:jc w:val="both"/>
              <w:rPr>
                <w:rFonts w:ascii="Arial" w:hAnsi="Arial" w:cs="Arial"/>
              </w:rPr>
            </w:pPr>
            <w:r w:rsidRPr="005D59B9">
              <w:rPr>
                <w:rFonts w:ascii="Arial" w:hAnsi="Arial" w:cs="Arial"/>
              </w:rPr>
              <w:t>Crypt width (µm)</w:t>
            </w:r>
          </w:p>
        </w:tc>
        <w:tc>
          <w:tcPr>
            <w:tcW w:w="1381" w:type="dxa"/>
          </w:tcPr>
          <w:p w14:paraId="48F6BE34" w14:textId="77777777" w:rsidR="0030623E" w:rsidRPr="005D59B9" w:rsidRDefault="0030623E" w:rsidP="006D516B">
            <w:pPr>
              <w:jc w:val="both"/>
              <w:rPr>
                <w:rFonts w:ascii="Arial" w:hAnsi="Arial" w:cs="Arial"/>
              </w:rPr>
            </w:pPr>
            <w:r w:rsidRPr="005D59B9">
              <w:rPr>
                <w:rFonts w:ascii="Arial" w:hAnsi="Arial" w:cs="Arial"/>
              </w:rPr>
              <w:t>51.71 ± 0.84</w:t>
            </w:r>
          </w:p>
        </w:tc>
        <w:tc>
          <w:tcPr>
            <w:tcW w:w="1346" w:type="dxa"/>
          </w:tcPr>
          <w:p w14:paraId="3CEBB705" w14:textId="77777777" w:rsidR="0030623E" w:rsidRPr="005D59B9" w:rsidRDefault="0030623E" w:rsidP="006D516B">
            <w:pPr>
              <w:jc w:val="both"/>
              <w:rPr>
                <w:rFonts w:ascii="Arial" w:hAnsi="Arial" w:cs="Arial"/>
              </w:rPr>
            </w:pPr>
            <w:r w:rsidRPr="005D59B9">
              <w:rPr>
                <w:rFonts w:ascii="Arial" w:hAnsi="Arial" w:cs="Arial"/>
              </w:rPr>
              <w:t>82.45 ± 1.50</w:t>
            </w:r>
          </w:p>
        </w:tc>
        <w:tc>
          <w:tcPr>
            <w:tcW w:w="1252" w:type="dxa"/>
          </w:tcPr>
          <w:p w14:paraId="39D90466" w14:textId="77777777" w:rsidR="0030623E" w:rsidRPr="005D59B9" w:rsidRDefault="0030623E" w:rsidP="006D516B">
            <w:pPr>
              <w:jc w:val="both"/>
              <w:rPr>
                <w:rFonts w:ascii="Arial" w:hAnsi="Arial" w:cs="Arial"/>
              </w:rPr>
            </w:pPr>
            <w:r w:rsidRPr="005D59B9">
              <w:rPr>
                <w:rFonts w:ascii="Arial" w:hAnsi="Arial" w:cs="Arial"/>
              </w:rPr>
              <w:t>&lt;0.001</w:t>
            </w:r>
          </w:p>
        </w:tc>
        <w:tc>
          <w:tcPr>
            <w:tcW w:w="1262" w:type="dxa"/>
          </w:tcPr>
          <w:p w14:paraId="558A7EC4" w14:textId="77777777" w:rsidR="0030623E" w:rsidRPr="005D59B9" w:rsidRDefault="0030623E" w:rsidP="006D516B">
            <w:pPr>
              <w:jc w:val="both"/>
              <w:rPr>
                <w:rFonts w:ascii="Arial" w:hAnsi="Arial" w:cs="Arial"/>
              </w:rPr>
            </w:pPr>
            <w:r w:rsidRPr="005D59B9">
              <w:rPr>
                <w:rFonts w:ascii="Arial" w:hAnsi="Arial" w:cs="Arial"/>
              </w:rPr>
              <w:t>45.99 ± 1.30</w:t>
            </w:r>
          </w:p>
        </w:tc>
        <w:tc>
          <w:tcPr>
            <w:tcW w:w="1260" w:type="dxa"/>
          </w:tcPr>
          <w:p w14:paraId="3D2E0A82" w14:textId="77777777" w:rsidR="0030623E" w:rsidRPr="005D59B9" w:rsidRDefault="0030623E" w:rsidP="006D516B">
            <w:pPr>
              <w:jc w:val="both"/>
              <w:rPr>
                <w:rFonts w:ascii="Arial" w:hAnsi="Arial" w:cs="Arial"/>
              </w:rPr>
            </w:pPr>
            <w:r w:rsidRPr="005D59B9">
              <w:rPr>
                <w:rFonts w:ascii="Arial" w:hAnsi="Arial" w:cs="Arial"/>
              </w:rPr>
              <w:t>44.09 ± 1.80</w:t>
            </w:r>
          </w:p>
        </w:tc>
        <w:tc>
          <w:tcPr>
            <w:tcW w:w="1258" w:type="dxa"/>
          </w:tcPr>
          <w:p w14:paraId="2A55E6E2" w14:textId="77777777" w:rsidR="0030623E" w:rsidRPr="005D59B9" w:rsidRDefault="0030623E" w:rsidP="006D516B">
            <w:pPr>
              <w:jc w:val="both"/>
              <w:rPr>
                <w:rFonts w:ascii="Arial" w:hAnsi="Arial" w:cs="Arial"/>
              </w:rPr>
            </w:pPr>
            <w:r w:rsidRPr="005D59B9">
              <w:rPr>
                <w:rFonts w:ascii="Arial" w:hAnsi="Arial" w:cs="Arial"/>
              </w:rPr>
              <w:t>0.39</w:t>
            </w:r>
          </w:p>
        </w:tc>
      </w:tr>
      <w:tr w:rsidR="0030623E" w:rsidRPr="005D59B9" w14:paraId="5D7160A8" w14:textId="77777777" w:rsidTr="006D516B">
        <w:tc>
          <w:tcPr>
            <w:tcW w:w="1251" w:type="dxa"/>
          </w:tcPr>
          <w:p w14:paraId="2A00BDD7" w14:textId="77777777" w:rsidR="0030623E" w:rsidRPr="005D59B9" w:rsidRDefault="0030623E" w:rsidP="006D516B">
            <w:pPr>
              <w:jc w:val="both"/>
              <w:rPr>
                <w:rFonts w:ascii="Arial" w:hAnsi="Arial" w:cs="Arial"/>
              </w:rPr>
            </w:pPr>
            <w:r w:rsidRPr="005D59B9">
              <w:rPr>
                <w:rFonts w:ascii="Arial" w:hAnsi="Arial" w:cs="Arial"/>
              </w:rPr>
              <w:t>Crypt length (µm)</w:t>
            </w:r>
          </w:p>
        </w:tc>
        <w:tc>
          <w:tcPr>
            <w:tcW w:w="1381" w:type="dxa"/>
          </w:tcPr>
          <w:p w14:paraId="797FAB22" w14:textId="77777777" w:rsidR="0030623E" w:rsidRPr="005D59B9" w:rsidRDefault="0030623E" w:rsidP="006D516B">
            <w:pPr>
              <w:jc w:val="both"/>
              <w:rPr>
                <w:rFonts w:ascii="Arial" w:hAnsi="Arial" w:cs="Arial"/>
              </w:rPr>
            </w:pPr>
            <w:r w:rsidRPr="005D59B9">
              <w:rPr>
                <w:rFonts w:ascii="Arial" w:hAnsi="Arial" w:cs="Arial"/>
              </w:rPr>
              <w:t>80.13 ± 2.64</w:t>
            </w:r>
          </w:p>
        </w:tc>
        <w:tc>
          <w:tcPr>
            <w:tcW w:w="1346" w:type="dxa"/>
          </w:tcPr>
          <w:p w14:paraId="31D522E0" w14:textId="77777777" w:rsidR="0030623E" w:rsidRPr="005D59B9" w:rsidRDefault="0030623E" w:rsidP="006D516B">
            <w:pPr>
              <w:jc w:val="both"/>
              <w:rPr>
                <w:rFonts w:ascii="Arial" w:hAnsi="Arial" w:cs="Arial"/>
              </w:rPr>
            </w:pPr>
            <w:r w:rsidRPr="005D59B9">
              <w:rPr>
                <w:rFonts w:ascii="Arial" w:hAnsi="Arial" w:cs="Arial"/>
              </w:rPr>
              <w:t>78.54 ± 1.48</w:t>
            </w:r>
          </w:p>
        </w:tc>
        <w:tc>
          <w:tcPr>
            <w:tcW w:w="1252" w:type="dxa"/>
          </w:tcPr>
          <w:p w14:paraId="58A7B807" w14:textId="77777777" w:rsidR="0030623E" w:rsidRPr="005D59B9" w:rsidRDefault="0030623E" w:rsidP="006D516B">
            <w:pPr>
              <w:jc w:val="both"/>
              <w:rPr>
                <w:rFonts w:ascii="Arial" w:hAnsi="Arial" w:cs="Arial"/>
              </w:rPr>
            </w:pPr>
            <w:r w:rsidRPr="005D59B9">
              <w:rPr>
                <w:rFonts w:ascii="Arial" w:hAnsi="Arial" w:cs="Arial"/>
              </w:rPr>
              <w:t>0.32</w:t>
            </w:r>
          </w:p>
        </w:tc>
        <w:tc>
          <w:tcPr>
            <w:tcW w:w="1262" w:type="dxa"/>
          </w:tcPr>
          <w:p w14:paraId="354BB76A" w14:textId="77777777" w:rsidR="0030623E" w:rsidRPr="005D59B9" w:rsidRDefault="0030623E" w:rsidP="006D516B">
            <w:pPr>
              <w:jc w:val="both"/>
              <w:rPr>
                <w:rFonts w:ascii="Arial" w:hAnsi="Arial" w:cs="Arial"/>
              </w:rPr>
            </w:pPr>
            <w:r w:rsidRPr="005D59B9">
              <w:rPr>
                <w:rFonts w:ascii="Arial" w:hAnsi="Arial" w:cs="Arial"/>
              </w:rPr>
              <w:t>177.56 ± 6.26</w:t>
            </w:r>
          </w:p>
        </w:tc>
        <w:tc>
          <w:tcPr>
            <w:tcW w:w="1260" w:type="dxa"/>
          </w:tcPr>
          <w:p w14:paraId="34C8334D" w14:textId="77777777" w:rsidR="0030623E" w:rsidRPr="005D59B9" w:rsidRDefault="0030623E" w:rsidP="006D516B">
            <w:pPr>
              <w:jc w:val="both"/>
              <w:rPr>
                <w:rFonts w:ascii="Arial" w:hAnsi="Arial" w:cs="Arial"/>
              </w:rPr>
            </w:pPr>
            <w:r w:rsidRPr="005D59B9">
              <w:rPr>
                <w:rFonts w:ascii="Arial" w:hAnsi="Arial" w:cs="Arial"/>
              </w:rPr>
              <w:t>161.40 ± 2.84</w:t>
            </w:r>
          </w:p>
        </w:tc>
        <w:tc>
          <w:tcPr>
            <w:tcW w:w="1258" w:type="dxa"/>
          </w:tcPr>
          <w:p w14:paraId="7F64E9FC" w14:textId="77777777" w:rsidR="0030623E" w:rsidRPr="005D59B9" w:rsidRDefault="0030623E" w:rsidP="006D516B">
            <w:pPr>
              <w:jc w:val="both"/>
              <w:rPr>
                <w:rFonts w:ascii="Arial" w:hAnsi="Arial" w:cs="Arial"/>
              </w:rPr>
            </w:pPr>
            <w:r w:rsidRPr="005D59B9">
              <w:rPr>
                <w:rFonts w:ascii="Arial" w:hAnsi="Arial" w:cs="Arial"/>
              </w:rPr>
              <w:t>&lt;0.05</w:t>
            </w:r>
          </w:p>
        </w:tc>
      </w:tr>
      <w:tr w:rsidR="0030623E" w:rsidRPr="005D59B9" w14:paraId="115E5FEF" w14:textId="77777777" w:rsidTr="006D516B">
        <w:tc>
          <w:tcPr>
            <w:tcW w:w="1251" w:type="dxa"/>
          </w:tcPr>
          <w:p w14:paraId="6195ED76" w14:textId="77777777" w:rsidR="0030623E" w:rsidRPr="005D59B9" w:rsidRDefault="0030623E" w:rsidP="006D516B">
            <w:pPr>
              <w:jc w:val="both"/>
              <w:rPr>
                <w:rFonts w:ascii="Arial" w:hAnsi="Arial" w:cs="Arial"/>
              </w:rPr>
            </w:pPr>
            <w:r w:rsidRPr="005D59B9">
              <w:rPr>
                <w:rFonts w:ascii="Arial" w:hAnsi="Arial" w:cs="Arial"/>
              </w:rPr>
              <w:t>Crypt cell count (µm)</w:t>
            </w:r>
          </w:p>
        </w:tc>
        <w:tc>
          <w:tcPr>
            <w:tcW w:w="1381" w:type="dxa"/>
          </w:tcPr>
          <w:p w14:paraId="4FC3BF4D" w14:textId="77777777" w:rsidR="0030623E" w:rsidRPr="005D59B9" w:rsidRDefault="0030623E" w:rsidP="006D516B">
            <w:pPr>
              <w:jc w:val="both"/>
              <w:rPr>
                <w:rFonts w:ascii="Arial" w:hAnsi="Arial" w:cs="Arial"/>
              </w:rPr>
            </w:pPr>
            <w:r w:rsidRPr="005D59B9">
              <w:rPr>
                <w:rFonts w:ascii="Arial" w:hAnsi="Arial" w:cs="Arial"/>
              </w:rPr>
              <w:t>35.93 ± 0.55</w:t>
            </w:r>
          </w:p>
        </w:tc>
        <w:tc>
          <w:tcPr>
            <w:tcW w:w="1346" w:type="dxa"/>
          </w:tcPr>
          <w:p w14:paraId="238EDB58" w14:textId="77777777" w:rsidR="0030623E" w:rsidRPr="005D59B9" w:rsidRDefault="0030623E" w:rsidP="006D516B">
            <w:pPr>
              <w:jc w:val="both"/>
              <w:rPr>
                <w:rFonts w:ascii="Arial" w:hAnsi="Arial" w:cs="Arial"/>
              </w:rPr>
            </w:pPr>
            <w:r w:rsidRPr="005D59B9">
              <w:rPr>
                <w:rFonts w:ascii="Arial" w:hAnsi="Arial" w:cs="Arial"/>
              </w:rPr>
              <w:t>46.74 ± 1.05</w:t>
            </w:r>
          </w:p>
        </w:tc>
        <w:tc>
          <w:tcPr>
            <w:tcW w:w="1252" w:type="dxa"/>
          </w:tcPr>
          <w:p w14:paraId="3A8187CD" w14:textId="77777777" w:rsidR="0030623E" w:rsidRPr="005D59B9" w:rsidRDefault="0030623E" w:rsidP="006D516B">
            <w:pPr>
              <w:jc w:val="both"/>
              <w:rPr>
                <w:rFonts w:ascii="Arial" w:hAnsi="Arial" w:cs="Arial"/>
              </w:rPr>
            </w:pPr>
            <w:r w:rsidRPr="005D59B9">
              <w:rPr>
                <w:rFonts w:ascii="Arial" w:hAnsi="Arial" w:cs="Arial"/>
              </w:rPr>
              <w:t>&lt;0.001</w:t>
            </w:r>
          </w:p>
        </w:tc>
        <w:tc>
          <w:tcPr>
            <w:tcW w:w="1262" w:type="dxa"/>
          </w:tcPr>
          <w:p w14:paraId="16438C3B" w14:textId="77777777" w:rsidR="0030623E" w:rsidRPr="005D59B9" w:rsidRDefault="0030623E" w:rsidP="006D516B">
            <w:pPr>
              <w:jc w:val="both"/>
              <w:rPr>
                <w:rFonts w:ascii="Arial" w:hAnsi="Arial" w:cs="Arial"/>
              </w:rPr>
            </w:pPr>
            <w:r w:rsidRPr="005D59B9">
              <w:rPr>
                <w:rFonts w:ascii="Arial" w:hAnsi="Arial" w:cs="Arial"/>
              </w:rPr>
              <w:t>55.29 ± 1.48</w:t>
            </w:r>
          </w:p>
        </w:tc>
        <w:tc>
          <w:tcPr>
            <w:tcW w:w="1260" w:type="dxa"/>
          </w:tcPr>
          <w:p w14:paraId="38677539" w14:textId="77777777" w:rsidR="0030623E" w:rsidRPr="005D59B9" w:rsidRDefault="0030623E" w:rsidP="006D516B">
            <w:pPr>
              <w:jc w:val="both"/>
              <w:rPr>
                <w:rFonts w:ascii="Arial" w:hAnsi="Arial" w:cs="Arial"/>
              </w:rPr>
            </w:pPr>
            <w:r w:rsidRPr="005D59B9">
              <w:rPr>
                <w:rFonts w:ascii="Arial" w:hAnsi="Arial" w:cs="Arial"/>
              </w:rPr>
              <w:t xml:space="preserve">43.83 ± 1.57 </w:t>
            </w:r>
          </w:p>
        </w:tc>
        <w:tc>
          <w:tcPr>
            <w:tcW w:w="1258" w:type="dxa"/>
          </w:tcPr>
          <w:p w14:paraId="7408D19D" w14:textId="77777777" w:rsidR="0030623E" w:rsidRPr="005D59B9" w:rsidRDefault="0030623E" w:rsidP="006D516B">
            <w:pPr>
              <w:jc w:val="both"/>
              <w:rPr>
                <w:rFonts w:ascii="Arial" w:hAnsi="Arial" w:cs="Arial"/>
              </w:rPr>
            </w:pPr>
            <w:r w:rsidRPr="005D59B9">
              <w:rPr>
                <w:rFonts w:ascii="Arial" w:hAnsi="Arial" w:cs="Arial"/>
              </w:rPr>
              <w:t>&lt;0.001</w:t>
            </w:r>
          </w:p>
        </w:tc>
      </w:tr>
      <w:tr w:rsidR="0030623E" w:rsidRPr="005D59B9" w14:paraId="1F2F9964" w14:textId="77777777" w:rsidTr="006D516B">
        <w:tc>
          <w:tcPr>
            <w:tcW w:w="1251" w:type="dxa"/>
          </w:tcPr>
          <w:p w14:paraId="6C931CE0" w14:textId="77777777" w:rsidR="0030623E" w:rsidRPr="005D59B9" w:rsidRDefault="0030623E" w:rsidP="006D516B">
            <w:pPr>
              <w:jc w:val="both"/>
              <w:rPr>
                <w:rFonts w:ascii="Arial" w:hAnsi="Arial" w:cs="Arial"/>
              </w:rPr>
            </w:pPr>
            <w:r w:rsidRPr="005D59B9">
              <w:rPr>
                <w:rFonts w:ascii="Arial" w:hAnsi="Arial" w:cs="Arial"/>
              </w:rPr>
              <w:t>Lgr5+ cell/crypt (%)</w:t>
            </w:r>
          </w:p>
        </w:tc>
        <w:tc>
          <w:tcPr>
            <w:tcW w:w="1381" w:type="dxa"/>
          </w:tcPr>
          <w:p w14:paraId="62C7C166" w14:textId="77777777" w:rsidR="0030623E" w:rsidRPr="005D59B9" w:rsidRDefault="0030623E" w:rsidP="006D516B">
            <w:pPr>
              <w:jc w:val="both"/>
              <w:rPr>
                <w:rFonts w:ascii="Arial" w:hAnsi="Arial" w:cs="Arial"/>
              </w:rPr>
            </w:pPr>
            <w:r w:rsidRPr="005D59B9">
              <w:rPr>
                <w:rFonts w:ascii="Arial" w:hAnsi="Arial" w:cs="Arial"/>
              </w:rPr>
              <w:t>10.58 ± 0.55</w:t>
            </w:r>
          </w:p>
        </w:tc>
        <w:tc>
          <w:tcPr>
            <w:tcW w:w="1346" w:type="dxa"/>
          </w:tcPr>
          <w:p w14:paraId="245341FE" w14:textId="77777777" w:rsidR="0030623E" w:rsidRPr="005D59B9" w:rsidRDefault="0030623E" w:rsidP="006D516B">
            <w:pPr>
              <w:jc w:val="both"/>
              <w:rPr>
                <w:rFonts w:ascii="Arial" w:hAnsi="Arial" w:cs="Arial"/>
              </w:rPr>
            </w:pPr>
            <w:r w:rsidRPr="005D59B9">
              <w:rPr>
                <w:rFonts w:ascii="Arial" w:hAnsi="Arial" w:cs="Arial"/>
              </w:rPr>
              <w:t>26.62 ± 0.70</w:t>
            </w:r>
          </w:p>
        </w:tc>
        <w:tc>
          <w:tcPr>
            <w:tcW w:w="1252" w:type="dxa"/>
          </w:tcPr>
          <w:p w14:paraId="2917823E" w14:textId="77777777" w:rsidR="0030623E" w:rsidRPr="005D59B9" w:rsidRDefault="0030623E" w:rsidP="006D516B">
            <w:pPr>
              <w:jc w:val="both"/>
              <w:rPr>
                <w:rFonts w:ascii="Arial" w:hAnsi="Arial" w:cs="Arial"/>
              </w:rPr>
            </w:pPr>
            <w:r w:rsidRPr="005D59B9">
              <w:rPr>
                <w:rFonts w:ascii="Arial" w:hAnsi="Arial" w:cs="Arial"/>
              </w:rPr>
              <w:t>&lt;0.001</w:t>
            </w:r>
          </w:p>
        </w:tc>
        <w:tc>
          <w:tcPr>
            <w:tcW w:w="1262" w:type="dxa"/>
          </w:tcPr>
          <w:p w14:paraId="05EC5D9E" w14:textId="77777777" w:rsidR="0030623E" w:rsidRPr="005D59B9" w:rsidRDefault="0030623E" w:rsidP="006D516B">
            <w:pPr>
              <w:jc w:val="both"/>
              <w:rPr>
                <w:rFonts w:ascii="Arial" w:hAnsi="Arial" w:cs="Arial"/>
              </w:rPr>
            </w:pPr>
            <w:r w:rsidRPr="005D59B9">
              <w:rPr>
                <w:rFonts w:ascii="Arial" w:hAnsi="Arial" w:cs="Arial"/>
              </w:rPr>
              <w:t>4.25 ± 0.37</w:t>
            </w:r>
          </w:p>
        </w:tc>
        <w:tc>
          <w:tcPr>
            <w:tcW w:w="1260" w:type="dxa"/>
          </w:tcPr>
          <w:p w14:paraId="57D028C0" w14:textId="77777777" w:rsidR="0030623E" w:rsidRPr="005D59B9" w:rsidRDefault="0030623E" w:rsidP="006D516B">
            <w:pPr>
              <w:jc w:val="both"/>
              <w:rPr>
                <w:rFonts w:ascii="Arial" w:hAnsi="Arial" w:cs="Arial"/>
              </w:rPr>
            </w:pPr>
            <w:r w:rsidRPr="005D59B9">
              <w:rPr>
                <w:rFonts w:ascii="Arial" w:hAnsi="Arial" w:cs="Arial"/>
              </w:rPr>
              <w:t>6.64 ± 0.38</w:t>
            </w:r>
          </w:p>
        </w:tc>
        <w:tc>
          <w:tcPr>
            <w:tcW w:w="1258" w:type="dxa"/>
          </w:tcPr>
          <w:p w14:paraId="67B829FC" w14:textId="77777777" w:rsidR="0030623E" w:rsidRPr="005D59B9" w:rsidRDefault="0030623E" w:rsidP="006D516B">
            <w:pPr>
              <w:jc w:val="both"/>
              <w:rPr>
                <w:rFonts w:ascii="Arial" w:hAnsi="Arial" w:cs="Arial"/>
              </w:rPr>
            </w:pPr>
            <w:r w:rsidRPr="005D59B9">
              <w:rPr>
                <w:rFonts w:ascii="Arial" w:hAnsi="Arial" w:cs="Arial"/>
              </w:rPr>
              <w:t>&lt;0.001</w:t>
            </w:r>
          </w:p>
        </w:tc>
      </w:tr>
    </w:tbl>
    <w:p w14:paraId="001C59F0" w14:textId="77777777" w:rsidR="0030623E" w:rsidRPr="005D59B9" w:rsidRDefault="0030623E" w:rsidP="0030623E">
      <w:pPr>
        <w:jc w:val="both"/>
        <w:rPr>
          <w:rFonts w:ascii="Arial" w:hAnsi="Arial" w:cs="Arial"/>
          <w:lang w:val="en-US"/>
        </w:rPr>
      </w:pPr>
      <w:r w:rsidRPr="005D59B9">
        <w:rPr>
          <w:rFonts w:ascii="Arial" w:hAnsi="Arial" w:cs="Arial"/>
          <w:vertAlign w:val="superscript"/>
          <w:lang w:val="en-US"/>
        </w:rPr>
        <w:t>1</w:t>
      </w:r>
      <w:r w:rsidRPr="005D59B9">
        <w:rPr>
          <w:rFonts w:ascii="Arial" w:hAnsi="Arial" w:cs="Arial"/>
          <w:lang w:val="en-US"/>
        </w:rPr>
        <w:t>mean ± standard error of mean</w:t>
      </w:r>
    </w:p>
    <w:p w14:paraId="5AB30009" w14:textId="77777777" w:rsidR="0030623E" w:rsidRPr="005D59B9" w:rsidRDefault="0030623E" w:rsidP="0030623E">
      <w:pPr>
        <w:jc w:val="both"/>
        <w:rPr>
          <w:rFonts w:ascii="Arial" w:hAnsi="Arial" w:cs="Arial"/>
          <w:lang w:val="en-US"/>
        </w:rPr>
      </w:pPr>
      <w:r w:rsidRPr="005D59B9">
        <w:rPr>
          <w:rFonts w:ascii="Arial" w:hAnsi="Arial" w:cs="Arial"/>
          <w:vertAlign w:val="superscript"/>
          <w:lang w:val="en-US"/>
        </w:rPr>
        <w:t>2</w:t>
      </w:r>
      <w:r w:rsidRPr="005D59B9">
        <w:rPr>
          <w:rFonts w:ascii="Arial" w:hAnsi="Arial" w:cs="Arial"/>
          <w:lang w:val="en-US"/>
        </w:rPr>
        <w:t>p-value for Student's t-test using two-tailed, unpaired, and unequal variance</w:t>
      </w:r>
    </w:p>
    <w:p w14:paraId="20154DC9" w14:textId="77777777" w:rsidR="0030623E" w:rsidRDefault="0030623E" w:rsidP="0030623E">
      <w:pPr>
        <w:rPr>
          <w:rFonts w:ascii="Arial" w:hAnsi="Arial" w:cs="Arial"/>
          <w:color w:val="000000" w:themeColor="text1"/>
        </w:rPr>
      </w:pPr>
      <w:r>
        <w:rPr>
          <w:rFonts w:ascii="Arial" w:hAnsi="Arial" w:cs="Arial"/>
          <w:color w:val="000000" w:themeColor="text1"/>
        </w:rPr>
        <w:br w:type="page"/>
      </w:r>
    </w:p>
    <w:p w14:paraId="6C55EB30" w14:textId="77777777" w:rsidR="0030623E" w:rsidRDefault="0030623E" w:rsidP="0030623E">
      <w:pPr>
        <w:spacing w:line="360" w:lineRule="auto"/>
        <w:jc w:val="both"/>
        <w:rPr>
          <w:rFonts w:ascii="Arial" w:hAnsi="Arial" w:cs="Arial"/>
          <w:color w:val="000000" w:themeColor="text1"/>
        </w:rPr>
      </w:pPr>
    </w:p>
    <w:p w14:paraId="372C821B" w14:textId="77777777" w:rsidR="0030623E" w:rsidRPr="00F47506" w:rsidRDefault="0030623E" w:rsidP="0030623E">
      <w:pPr>
        <w:spacing w:line="360" w:lineRule="auto"/>
        <w:jc w:val="both"/>
        <w:rPr>
          <w:rFonts w:ascii="Arial" w:hAnsi="Arial" w:cs="Arial"/>
          <w:b/>
          <w:bCs/>
          <w:lang w:val="en-US"/>
        </w:rPr>
      </w:pPr>
      <w:r>
        <w:rPr>
          <w:rFonts w:ascii="Arial" w:hAnsi="Arial" w:cs="Arial"/>
          <w:b/>
          <w:bCs/>
          <w:color w:val="000000" w:themeColor="text1"/>
        </w:rPr>
        <w:t>Supplementary Note 3</w:t>
      </w:r>
      <w:r w:rsidRPr="00531135">
        <w:rPr>
          <w:rFonts w:ascii="Arial" w:hAnsi="Arial" w:cs="Arial"/>
          <w:b/>
          <w:bCs/>
          <w:color w:val="000000" w:themeColor="text1"/>
        </w:rPr>
        <w:t>.</w:t>
      </w:r>
      <w:r w:rsidRPr="00531135">
        <w:rPr>
          <w:rFonts w:ascii="Arial" w:hAnsi="Arial" w:cs="Arial"/>
          <w:color w:val="000000" w:themeColor="text1"/>
        </w:rPr>
        <w:t xml:space="preserve"> </w:t>
      </w:r>
      <w:r w:rsidRPr="00531135">
        <w:rPr>
          <w:rFonts w:ascii="Arial" w:hAnsi="Arial" w:cs="Arial"/>
          <w:b/>
          <w:bCs/>
          <w:lang w:val="en-US"/>
        </w:rPr>
        <w:t>Comparison of DSS administration via oral gavage and drinking water in mice</w:t>
      </w:r>
    </w:p>
    <w:p w14:paraId="41880E6A" w14:textId="77777777" w:rsidR="0030623E" w:rsidRPr="00531135" w:rsidRDefault="0030623E" w:rsidP="0030623E">
      <w:pPr>
        <w:spacing w:line="360" w:lineRule="auto"/>
        <w:jc w:val="both"/>
        <w:rPr>
          <w:rFonts w:ascii="Arial" w:hAnsi="Arial" w:cs="Arial"/>
          <w:lang w:val="en-US"/>
        </w:rPr>
      </w:pPr>
      <w:r w:rsidRPr="00531135">
        <w:rPr>
          <w:rFonts w:ascii="Arial" w:hAnsi="Arial" w:cs="Arial"/>
          <w:lang w:val="en-US"/>
        </w:rPr>
        <w:t>To establish the effectiveness of administering DSS via oral gavage in inducing epithelial damage, we first test our experimental strategy in mice where DSS administration in drinking water has been shown to induce intestinal injury in 3-7 days</w:t>
      </w:r>
      <w:r w:rsidRPr="00052140">
        <w:rPr>
          <w:rFonts w:ascii="Arial" w:hAnsi="Arial" w:cs="Arial"/>
          <w:noProof/>
          <w:vertAlign w:val="superscript"/>
          <w:lang w:val="en-US"/>
        </w:rPr>
        <w:t>53,54</w:t>
      </w:r>
      <w:r w:rsidRPr="00531135">
        <w:rPr>
          <w:rFonts w:ascii="Arial" w:hAnsi="Arial" w:cs="Arial"/>
          <w:lang w:val="en-US"/>
        </w:rPr>
        <w:t xml:space="preserve">. We gavaged mice </w:t>
      </w:r>
      <w:r w:rsidRPr="00531135">
        <w:rPr>
          <w:rFonts w:ascii="Arial" w:hAnsi="Arial" w:cs="Arial"/>
        </w:rPr>
        <w:t>(C57BL/6J)</w:t>
      </w:r>
      <w:r w:rsidRPr="00531135">
        <w:rPr>
          <w:rFonts w:ascii="Arial" w:hAnsi="Arial" w:cs="Arial"/>
          <w:lang w:val="en-US"/>
        </w:rPr>
        <w:t xml:space="preserve"> orally with 2.5% DSS for 3 days (</w:t>
      </w:r>
      <w:r>
        <w:rPr>
          <w:rFonts w:ascii="Arial" w:hAnsi="Arial" w:cs="Arial"/>
          <w:lang w:val="en-US"/>
        </w:rPr>
        <w:t>Extended Data Fig.</w:t>
      </w:r>
      <w:r w:rsidRPr="00531135">
        <w:rPr>
          <w:rFonts w:ascii="Arial" w:hAnsi="Arial" w:cs="Arial"/>
          <w:lang w:val="en-US"/>
        </w:rPr>
        <w:t xml:space="preserve"> </w:t>
      </w:r>
      <w:r>
        <w:rPr>
          <w:rFonts w:ascii="Arial" w:hAnsi="Arial" w:cs="Arial"/>
          <w:lang w:val="en-US"/>
        </w:rPr>
        <w:t>6a</w:t>
      </w:r>
      <w:r w:rsidRPr="00531135">
        <w:rPr>
          <w:rFonts w:ascii="Arial" w:hAnsi="Arial" w:cs="Arial"/>
          <w:lang w:val="en-US"/>
        </w:rPr>
        <w:t>) and observed only mild degree of epithelial damage in 30% of the distal colon (</w:t>
      </w:r>
      <w:r>
        <w:rPr>
          <w:rFonts w:ascii="Arial" w:hAnsi="Arial" w:cs="Arial"/>
          <w:lang w:val="en-US"/>
        </w:rPr>
        <w:t>Extended Data Fig.</w:t>
      </w:r>
      <w:r w:rsidRPr="00531135">
        <w:rPr>
          <w:rFonts w:ascii="Arial" w:hAnsi="Arial" w:cs="Arial"/>
          <w:lang w:val="en-US"/>
        </w:rPr>
        <w:t xml:space="preserve"> </w:t>
      </w:r>
      <w:r>
        <w:rPr>
          <w:rFonts w:ascii="Arial" w:hAnsi="Arial" w:cs="Arial"/>
          <w:lang w:val="en-US"/>
        </w:rPr>
        <w:t>6c, 6e</w:t>
      </w:r>
      <w:r w:rsidRPr="00531135">
        <w:rPr>
          <w:rFonts w:ascii="Arial" w:hAnsi="Arial" w:cs="Arial"/>
          <w:lang w:val="en-US"/>
        </w:rPr>
        <w:t>). The damage to the colonic tissue architecture was characterized by branching and shortening of crypts, variation in crypt width, expansion of crypts into muscularis mucosa, and beginning of erosion of surface epithelium. Besides, a mild level of immune infiltration was also observed in lamina propria and submucosa region in the gavaged mice (</w:t>
      </w:r>
      <w:r>
        <w:rPr>
          <w:rFonts w:ascii="Arial" w:hAnsi="Arial" w:cs="Arial"/>
          <w:lang w:val="en-US"/>
        </w:rPr>
        <w:t>Extended Data Fig.</w:t>
      </w:r>
      <w:r w:rsidRPr="00531135">
        <w:rPr>
          <w:rFonts w:ascii="Arial" w:hAnsi="Arial" w:cs="Arial"/>
          <w:lang w:val="en-US"/>
        </w:rPr>
        <w:t xml:space="preserve"> </w:t>
      </w:r>
      <w:r>
        <w:rPr>
          <w:rFonts w:ascii="Arial" w:hAnsi="Arial" w:cs="Arial"/>
          <w:lang w:val="en-US"/>
        </w:rPr>
        <w:t>6c</w:t>
      </w:r>
      <w:r w:rsidRPr="00531135">
        <w:rPr>
          <w:rFonts w:ascii="Arial" w:hAnsi="Arial" w:cs="Arial"/>
          <w:lang w:val="en-US"/>
        </w:rPr>
        <w:t>). However, sign of severe degree of epithelial damage such as crypt atrophy, tissue granulation, ulceration, and immune infiltration deep into bowel wall was not observed in any of the mice receiving DSS via oral gavage. We concluded that our oral gavaging strategy (</w:t>
      </w:r>
      <w:r>
        <w:rPr>
          <w:rFonts w:ascii="Arial" w:hAnsi="Arial" w:cs="Arial"/>
          <w:lang w:val="en-US"/>
        </w:rPr>
        <w:t>Extended Data Fig.</w:t>
      </w:r>
      <w:r w:rsidRPr="00531135">
        <w:rPr>
          <w:rFonts w:ascii="Arial" w:hAnsi="Arial" w:cs="Arial"/>
          <w:lang w:val="en-US"/>
        </w:rPr>
        <w:t xml:space="preserve"> </w:t>
      </w:r>
      <w:r>
        <w:rPr>
          <w:rFonts w:ascii="Arial" w:hAnsi="Arial" w:cs="Arial"/>
          <w:lang w:val="en-US"/>
        </w:rPr>
        <w:t>6a</w:t>
      </w:r>
      <w:r w:rsidRPr="00531135">
        <w:rPr>
          <w:rFonts w:ascii="Arial" w:hAnsi="Arial" w:cs="Arial"/>
          <w:lang w:val="en-US"/>
        </w:rPr>
        <w:t>) only caused mild level of epithelial injury similar to a previously described chronic DSS model where mice were administered 1% DSS in drinking water over 42 days in 3 cycles of weekly administration and recovery</w:t>
      </w:r>
      <w:r w:rsidRPr="00052140">
        <w:rPr>
          <w:rFonts w:ascii="Arial" w:hAnsi="Arial" w:cs="Arial"/>
          <w:noProof/>
          <w:vertAlign w:val="superscript"/>
          <w:lang w:val="en-US"/>
        </w:rPr>
        <w:t>55</w:t>
      </w:r>
      <w:r w:rsidRPr="00531135">
        <w:rPr>
          <w:rFonts w:ascii="Arial" w:hAnsi="Arial" w:cs="Arial"/>
          <w:lang w:val="en-US"/>
        </w:rPr>
        <w:t xml:space="preserve">. </w:t>
      </w:r>
    </w:p>
    <w:p w14:paraId="1B9DD2B9" w14:textId="77777777" w:rsidR="0030623E" w:rsidRPr="00531135" w:rsidRDefault="0030623E" w:rsidP="0030623E">
      <w:pPr>
        <w:spacing w:line="360" w:lineRule="auto"/>
        <w:jc w:val="both"/>
        <w:rPr>
          <w:rFonts w:ascii="Arial" w:hAnsi="Arial" w:cs="Arial"/>
          <w:lang w:val="en-US"/>
        </w:rPr>
      </w:pPr>
    </w:p>
    <w:p w14:paraId="10A9D15C" w14:textId="77777777" w:rsidR="0030623E" w:rsidRDefault="0030623E" w:rsidP="0030623E">
      <w:pPr>
        <w:spacing w:line="360" w:lineRule="auto"/>
        <w:jc w:val="both"/>
        <w:rPr>
          <w:rFonts w:ascii="Arial" w:hAnsi="Arial" w:cs="Arial"/>
          <w:lang w:val="en-US"/>
        </w:rPr>
      </w:pPr>
      <w:r w:rsidRPr="00531135">
        <w:rPr>
          <w:rFonts w:ascii="Arial" w:hAnsi="Arial" w:cs="Arial"/>
          <w:lang w:val="en-US"/>
        </w:rPr>
        <w:t>We then administered 2.5% DSS in drinking water for 7 days in mice (</w:t>
      </w:r>
      <w:r>
        <w:rPr>
          <w:rFonts w:ascii="Arial" w:hAnsi="Arial" w:cs="Arial"/>
          <w:lang w:val="en-US"/>
        </w:rPr>
        <w:t>Extended Data Fig.</w:t>
      </w:r>
      <w:r w:rsidRPr="00531135">
        <w:rPr>
          <w:rFonts w:ascii="Arial" w:hAnsi="Arial" w:cs="Arial"/>
          <w:lang w:val="en-US"/>
        </w:rPr>
        <w:t xml:space="preserve"> </w:t>
      </w:r>
      <w:r>
        <w:rPr>
          <w:rFonts w:ascii="Arial" w:hAnsi="Arial" w:cs="Arial"/>
          <w:lang w:val="en-US"/>
        </w:rPr>
        <w:t>6b</w:t>
      </w:r>
      <w:r w:rsidRPr="00531135">
        <w:rPr>
          <w:rFonts w:ascii="Arial" w:hAnsi="Arial" w:cs="Arial"/>
          <w:lang w:val="en-US"/>
        </w:rPr>
        <w:t>) and detected severe degree of epithelial damage in 80% of mid to distal colon (</w:t>
      </w:r>
      <w:r>
        <w:rPr>
          <w:rFonts w:ascii="Arial" w:hAnsi="Arial" w:cs="Arial"/>
          <w:lang w:val="en-US"/>
        </w:rPr>
        <w:t>Extended Data Fig.</w:t>
      </w:r>
      <w:r w:rsidRPr="00531135">
        <w:rPr>
          <w:rFonts w:ascii="Arial" w:hAnsi="Arial" w:cs="Arial"/>
          <w:lang w:val="en-US"/>
        </w:rPr>
        <w:t xml:space="preserve"> </w:t>
      </w:r>
      <w:r>
        <w:rPr>
          <w:rFonts w:ascii="Arial" w:hAnsi="Arial" w:cs="Arial"/>
          <w:lang w:val="en-US"/>
        </w:rPr>
        <w:t>6d</w:t>
      </w:r>
      <w:r w:rsidRPr="00531135">
        <w:rPr>
          <w:rFonts w:ascii="Arial" w:hAnsi="Arial" w:cs="Arial"/>
          <w:lang w:val="en-US"/>
        </w:rPr>
        <w:t>) similar to previously published results</w:t>
      </w:r>
      <w:r w:rsidRPr="00052140">
        <w:rPr>
          <w:rFonts w:ascii="Arial" w:hAnsi="Arial" w:cs="Arial"/>
          <w:noProof/>
          <w:vertAlign w:val="superscript"/>
          <w:lang w:val="en-US"/>
        </w:rPr>
        <w:t>59</w:t>
      </w:r>
      <w:r w:rsidRPr="00531135">
        <w:rPr>
          <w:rFonts w:ascii="Arial" w:hAnsi="Arial" w:cs="Arial"/>
          <w:lang w:val="en-US"/>
        </w:rPr>
        <w:t>. These damages can be described as alteration of lamina propria cellularity (immune infiltration), architectural damage to tissue and epithelial abnormalities. In the treated mice, there was severe degree of neutrophil infiltration present with fibrin and necrotic debris above the ulcerated mucosa. Nearly 60% of distal colonic crypts in the affected area underwent total crypt atrophy marked by flattening of mucosa and absence of crypts. The remaining 40% of the crypts exhibited signatures of severe crypt distortion such as glandular rarefaction, shortening and extensive branching of crypts, and loss of goblet cells (</w:t>
      </w:r>
      <w:r>
        <w:rPr>
          <w:rFonts w:ascii="Arial" w:hAnsi="Arial" w:cs="Arial"/>
          <w:lang w:val="en-US"/>
        </w:rPr>
        <w:t>Extended Data Fig.</w:t>
      </w:r>
      <w:r w:rsidRPr="00531135">
        <w:rPr>
          <w:rFonts w:ascii="Arial" w:hAnsi="Arial" w:cs="Arial"/>
          <w:lang w:val="en-US"/>
        </w:rPr>
        <w:t xml:space="preserve"> </w:t>
      </w:r>
      <w:r>
        <w:rPr>
          <w:rFonts w:ascii="Arial" w:hAnsi="Arial" w:cs="Arial"/>
          <w:lang w:val="en-US"/>
        </w:rPr>
        <w:t>6d</w:t>
      </w:r>
      <w:r w:rsidRPr="00531135">
        <w:rPr>
          <w:rFonts w:ascii="Arial" w:hAnsi="Arial" w:cs="Arial"/>
          <w:lang w:val="en-US"/>
        </w:rPr>
        <w:t>). In summary, while oral gavaging for 3 days caused only mild degree of epithelial damage in mice, administration of DSS in drinking water for 7 days resulted in significantly higher degree of epithelial injury (</w:t>
      </w:r>
      <w:r>
        <w:rPr>
          <w:rFonts w:ascii="Arial" w:hAnsi="Arial" w:cs="Arial"/>
          <w:lang w:val="en-US"/>
        </w:rPr>
        <w:t>Extended Data Fig.</w:t>
      </w:r>
      <w:r w:rsidRPr="00531135">
        <w:rPr>
          <w:rFonts w:ascii="Arial" w:hAnsi="Arial" w:cs="Arial"/>
          <w:lang w:val="en-US"/>
        </w:rPr>
        <w:t xml:space="preserve"> </w:t>
      </w:r>
      <w:r>
        <w:rPr>
          <w:rFonts w:ascii="Arial" w:hAnsi="Arial" w:cs="Arial"/>
          <w:lang w:val="en-US"/>
        </w:rPr>
        <w:t>6e</w:t>
      </w:r>
      <w:r w:rsidRPr="00531135">
        <w:rPr>
          <w:rFonts w:ascii="Arial" w:hAnsi="Arial" w:cs="Arial"/>
          <w:lang w:val="en-US"/>
        </w:rPr>
        <w:t xml:space="preserve">). </w:t>
      </w:r>
    </w:p>
    <w:p w14:paraId="5DD17B34" w14:textId="77777777" w:rsidR="0030623E" w:rsidRDefault="0030623E" w:rsidP="0030623E">
      <w:r>
        <w:rPr>
          <w:noProof/>
        </w:rPr>
        <w:lastRenderedPageBreak/>
        <w:drawing>
          <wp:inline distT="0" distB="0" distL="0" distR="0" wp14:anchorId="1BD5E14E" wp14:editId="773124EE">
            <wp:extent cx="5727700" cy="7618730"/>
            <wp:effectExtent l="0" t="0" r="0" b="1270"/>
            <wp:docPr id="4" name="Picture 4"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Diagram&#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5727700" cy="7618730"/>
                    </a:xfrm>
                    <a:prstGeom prst="rect">
                      <a:avLst/>
                    </a:prstGeom>
                  </pic:spPr>
                </pic:pic>
              </a:graphicData>
            </a:graphic>
          </wp:inline>
        </w:drawing>
      </w:r>
    </w:p>
    <w:p w14:paraId="4870705A" w14:textId="77777777" w:rsidR="0030623E" w:rsidRPr="005D59B9" w:rsidRDefault="0030623E" w:rsidP="0030623E">
      <w:pPr>
        <w:spacing w:line="360" w:lineRule="auto"/>
        <w:jc w:val="both"/>
        <w:rPr>
          <w:rFonts w:ascii="Arial" w:hAnsi="Arial" w:cs="Arial"/>
        </w:rPr>
      </w:pPr>
      <w:r>
        <w:rPr>
          <w:rFonts w:ascii="Arial" w:hAnsi="Arial" w:cs="Arial"/>
          <w:b/>
          <w:bCs/>
        </w:rPr>
        <w:t xml:space="preserve">Extended Data </w:t>
      </w:r>
      <w:r w:rsidRPr="005D59B9">
        <w:rPr>
          <w:rFonts w:ascii="Arial" w:hAnsi="Arial" w:cs="Arial"/>
          <w:b/>
          <w:bCs/>
        </w:rPr>
        <w:t>Fig</w:t>
      </w:r>
      <w:r>
        <w:rPr>
          <w:rFonts w:ascii="Arial" w:hAnsi="Arial" w:cs="Arial"/>
          <w:b/>
          <w:bCs/>
        </w:rPr>
        <w:t>.</w:t>
      </w:r>
      <w:r w:rsidRPr="005D59B9">
        <w:rPr>
          <w:rFonts w:ascii="Arial" w:hAnsi="Arial" w:cs="Arial"/>
          <w:b/>
          <w:bCs/>
        </w:rPr>
        <w:t xml:space="preserve"> </w:t>
      </w:r>
      <w:r>
        <w:rPr>
          <w:rFonts w:ascii="Arial" w:hAnsi="Arial" w:cs="Arial"/>
          <w:b/>
          <w:bCs/>
        </w:rPr>
        <w:t>6 |</w:t>
      </w:r>
      <w:r w:rsidRPr="005D59B9">
        <w:rPr>
          <w:rFonts w:ascii="Arial" w:hAnsi="Arial" w:cs="Arial"/>
        </w:rPr>
        <w:t xml:space="preserve"> </w:t>
      </w:r>
      <w:r>
        <w:rPr>
          <w:rFonts w:ascii="Arial" w:hAnsi="Arial" w:cs="Arial"/>
          <w:b/>
          <w:bCs/>
        </w:rPr>
        <w:t xml:space="preserve"> </w:t>
      </w:r>
      <w:r w:rsidRPr="005D59B9">
        <w:rPr>
          <w:rFonts w:ascii="Arial" w:hAnsi="Arial" w:cs="Arial"/>
          <w:b/>
          <w:bCs/>
        </w:rPr>
        <w:t>Histopathological analysis of colon from mice treated with 2.5% dextran sodium sulphate (DSS) by oral gavage and drinking water</w:t>
      </w:r>
      <w:r>
        <w:rPr>
          <w:rFonts w:ascii="Arial" w:hAnsi="Arial" w:cs="Arial"/>
          <w:b/>
          <w:bCs/>
        </w:rPr>
        <w:t>. a,</w:t>
      </w:r>
      <w:r w:rsidRPr="005D59B9">
        <w:rPr>
          <w:rFonts w:ascii="Arial" w:hAnsi="Arial" w:cs="Arial"/>
        </w:rPr>
        <w:t xml:space="preserve"> Schema illustrating the experimental design for administering 2.5% DSS via oral gavage at specific time points (green dots) for 3 days and day of tissue harvest (red dot) in C57BL/6J mice. </w:t>
      </w:r>
      <w:r>
        <w:rPr>
          <w:rFonts w:ascii="Arial" w:hAnsi="Arial" w:cs="Arial"/>
          <w:b/>
          <w:bCs/>
        </w:rPr>
        <w:t>b</w:t>
      </w:r>
      <w:r w:rsidRPr="005538B4">
        <w:rPr>
          <w:rFonts w:ascii="Arial" w:hAnsi="Arial" w:cs="Arial"/>
        </w:rPr>
        <w:t>,</w:t>
      </w:r>
      <w:r w:rsidRPr="005D59B9">
        <w:rPr>
          <w:rFonts w:ascii="Arial" w:hAnsi="Arial" w:cs="Arial"/>
        </w:rPr>
        <w:t xml:space="preserve"> Schematic representation of the experimental strategy for </w:t>
      </w:r>
      <w:r w:rsidRPr="005D59B9">
        <w:rPr>
          <w:rFonts w:ascii="Arial" w:hAnsi="Arial" w:cs="Arial"/>
        </w:rPr>
        <w:lastRenderedPageBreak/>
        <w:t xml:space="preserve">administering 2.5% DSS in drinking water (green dashed line) for 7 days and day of tissue harvest (red dot) in C57BL/6J mice. </w:t>
      </w:r>
      <w:r>
        <w:rPr>
          <w:rFonts w:ascii="Arial" w:hAnsi="Arial" w:cs="Arial"/>
          <w:b/>
          <w:bCs/>
        </w:rPr>
        <w:t>c</w:t>
      </w:r>
      <w:r w:rsidRPr="005538B4">
        <w:rPr>
          <w:rFonts w:ascii="Arial" w:hAnsi="Arial" w:cs="Arial"/>
        </w:rPr>
        <w:t>,</w:t>
      </w:r>
      <w:r w:rsidRPr="005D59B9">
        <w:rPr>
          <w:rFonts w:ascii="Arial" w:hAnsi="Arial" w:cs="Arial"/>
          <w:b/>
          <w:bCs/>
        </w:rPr>
        <w:t xml:space="preserve"> </w:t>
      </w:r>
      <w:r w:rsidRPr="005D59B9">
        <w:rPr>
          <w:rFonts w:ascii="Arial" w:hAnsi="Arial" w:cs="Arial"/>
        </w:rPr>
        <w:t xml:space="preserve">Haematoxylin and Eosin (H&amp;E) staining of 2.5% DSS-treated mouse (oral gavage for 3 days) shows areas of tissue damage in the distal colon highlighted in red (top).  Magnified images show crypt shortening, expansion and branching, and immune infiltration (top). Black arrows indicate damage. H&amp;E staining in untreated mouse showing normal crypt structures in the distal colon (bottom). </w:t>
      </w:r>
      <w:r w:rsidRPr="005538B4">
        <w:rPr>
          <w:rFonts w:ascii="Arial" w:hAnsi="Arial" w:cs="Arial"/>
          <w:b/>
          <w:bCs/>
        </w:rPr>
        <w:t>d</w:t>
      </w:r>
      <w:r>
        <w:rPr>
          <w:rFonts w:ascii="Arial" w:hAnsi="Arial" w:cs="Arial"/>
        </w:rPr>
        <w:t>,</w:t>
      </w:r>
      <w:r w:rsidRPr="005D59B9">
        <w:rPr>
          <w:rFonts w:ascii="Arial" w:hAnsi="Arial" w:cs="Arial"/>
        </w:rPr>
        <w:t xml:space="preserve"> Haematoxylin and Eosin (H&amp;E) staining of colon from mice (n=4) treated with 2.5% DSS in drinking water for 7 days shows areas of severe tissue damage in the mid to distal colon highlighted in red.  Magnified images show ulceration, crypt atrophy, tissue granulation, striking increase of neutrophil infiltration and severe crypt distortion.</w:t>
      </w:r>
      <w:r w:rsidRPr="005D59B9">
        <w:rPr>
          <w:rFonts w:ascii="Arial" w:hAnsi="Arial" w:cs="Arial"/>
          <w:b/>
          <w:bCs/>
        </w:rPr>
        <w:t xml:space="preserve"> </w:t>
      </w:r>
      <w:r w:rsidRPr="005538B4">
        <w:rPr>
          <w:rFonts w:ascii="Arial" w:hAnsi="Arial" w:cs="Arial"/>
          <w:b/>
          <w:bCs/>
        </w:rPr>
        <w:t>e</w:t>
      </w:r>
      <w:r>
        <w:rPr>
          <w:rFonts w:ascii="Arial" w:hAnsi="Arial" w:cs="Arial"/>
        </w:rPr>
        <w:t>,</w:t>
      </w:r>
      <w:r w:rsidRPr="005D59B9">
        <w:rPr>
          <w:rFonts w:ascii="Arial" w:hAnsi="Arial" w:cs="Arial"/>
        </w:rPr>
        <w:t xml:space="preserve"> A </w:t>
      </w:r>
      <w:r>
        <w:rPr>
          <w:rFonts w:ascii="Arial" w:hAnsi="Arial" w:cs="Arial"/>
        </w:rPr>
        <w:t>table</w:t>
      </w:r>
      <w:r w:rsidRPr="005D59B9">
        <w:rPr>
          <w:rFonts w:ascii="Arial" w:hAnsi="Arial" w:cs="Arial"/>
        </w:rPr>
        <w:t xml:space="preserve"> (left) showing the criteria used by pathologists to score tissue damage in the colon. Pathological scoring (right) showing significant differences in colonic tissue damage (square), neutrophil infiltration (circle) and percentage of area involved in damage (triangle) between mice treated with 2.5% DSS via oral gavage (n=3) and drinking water (n=4) (p&lt;0.05). Numbers on x-axis show numeric identifier tagged to each animal. In all cases, statistical significances were determined by using </w:t>
      </w:r>
      <w:r>
        <w:rPr>
          <w:rFonts w:ascii="Arial" w:hAnsi="Arial" w:cs="Arial"/>
        </w:rPr>
        <w:t xml:space="preserve">a </w:t>
      </w:r>
      <w:r w:rsidRPr="005D59B9">
        <w:rPr>
          <w:rFonts w:ascii="Arial" w:hAnsi="Arial" w:cs="Arial"/>
        </w:rPr>
        <w:t>two-tailed</w:t>
      </w:r>
      <w:r>
        <w:rPr>
          <w:rFonts w:ascii="Arial" w:hAnsi="Arial" w:cs="Arial"/>
        </w:rPr>
        <w:t xml:space="preserve"> Wilcoxon rank sum test. </w:t>
      </w:r>
      <w:r w:rsidRPr="005D59B9">
        <w:rPr>
          <w:rFonts w:ascii="Arial" w:hAnsi="Arial" w:cs="Arial"/>
        </w:rPr>
        <w:t xml:space="preserve"> </w:t>
      </w:r>
    </w:p>
    <w:p w14:paraId="1C930D35" w14:textId="77777777" w:rsidR="0030623E" w:rsidRDefault="0030623E" w:rsidP="0030623E"/>
    <w:p w14:paraId="506E5BEE" w14:textId="77777777" w:rsidR="0030623E" w:rsidRDefault="0030623E" w:rsidP="0030623E">
      <w:r>
        <w:rPr>
          <w:noProof/>
        </w:rPr>
        <w:lastRenderedPageBreak/>
        <w:drawing>
          <wp:inline distT="0" distB="0" distL="0" distR="0" wp14:anchorId="3362B61F" wp14:editId="6CF1A03F">
            <wp:extent cx="5727700" cy="7662545"/>
            <wp:effectExtent l="0" t="0" r="0" b="0"/>
            <wp:docPr id="8" name="Picture 8"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Diagram&#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727700" cy="7662545"/>
                    </a:xfrm>
                    <a:prstGeom prst="rect">
                      <a:avLst/>
                    </a:prstGeom>
                  </pic:spPr>
                </pic:pic>
              </a:graphicData>
            </a:graphic>
          </wp:inline>
        </w:drawing>
      </w:r>
    </w:p>
    <w:p w14:paraId="34C9A3B6" w14:textId="77777777" w:rsidR="0030623E" w:rsidRDefault="0030623E" w:rsidP="0030623E">
      <w:pPr>
        <w:spacing w:line="360" w:lineRule="auto"/>
      </w:pPr>
    </w:p>
    <w:p w14:paraId="369A4653" w14:textId="77777777" w:rsidR="0030623E" w:rsidRPr="005D59B9" w:rsidRDefault="0030623E" w:rsidP="0030623E">
      <w:pPr>
        <w:spacing w:line="360" w:lineRule="auto"/>
        <w:jc w:val="both"/>
        <w:rPr>
          <w:rFonts w:ascii="Arial" w:hAnsi="Arial" w:cs="Arial"/>
        </w:rPr>
      </w:pPr>
      <w:r w:rsidRPr="00454D79">
        <w:rPr>
          <w:rFonts w:ascii="Arial" w:hAnsi="Arial" w:cs="Arial"/>
          <w:b/>
          <w:bCs/>
        </w:rPr>
        <w:t xml:space="preserve">Extended Data Fig. </w:t>
      </w:r>
      <w:r>
        <w:rPr>
          <w:rFonts w:ascii="Arial" w:hAnsi="Arial" w:cs="Arial"/>
          <w:b/>
          <w:bCs/>
        </w:rPr>
        <w:t>7</w:t>
      </w:r>
      <w:r>
        <w:rPr>
          <w:rFonts w:ascii="Arial" w:hAnsi="Arial" w:cs="Arial"/>
        </w:rPr>
        <w:t xml:space="preserve"> | </w:t>
      </w:r>
      <w:r>
        <w:rPr>
          <w:rFonts w:ascii="Arial" w:hAnsi="Arial" w:cs="Arial"/>
          <w:b/>
          <w:bCs/>
        </w:rPr>
        <w:t>Histological evaluation of DSS-induced damage in mouse and NMR colon. a</w:t>
      </w:r>
      <w:r>
        <w:rPr>
          <w:rFonts w:ascii="Arial" w:hAnsi="Arial" w:cs="Arial"/>
        </w:rPr>
        <w:t>,</w:t>
      </w:r>
      <w:r w:rsidRPr="005D59B9">
        <w:rPr>
          <w:rFonts w:ascii="Arial" w:hAnsi="Arial" w:cs="Arial"/>
        </w:rPr>
        <w:t xml:space="preserve"> </w:t>
      </w:r>
      <w:r w:rsidRPr="00EA19C4">
        <w:rPr>
          <w:rFonts w:ascii="Arial" w:hAnsi="Arial" w:cs="Arial"/>
        </w:rPr>
        <w:t xml:space="preserve"> </w:t>
      </w:r>
      <w:r w:rsidRPr="005D59B9">
        <w:rPr>
          <w:rFonts w:ascii="Arial" w:hAnsi="Arial" w:cs="Arial"/>
        </w:rPr>
        <w:t>Haematoxylin and Eosin (H&amp;E) staining</w:t>
      </w:r>
      <w:r>
        <w:rPr>
          <w:rFonts w:ascii="Arial" w:hAnsi="Arial" w:cs="Arial"/>
        </w:rPr>
        <w:t xml:space="preserve"> of colonic tissue from</w:t>
      </w:r>
      <w:r w:rsidRPr="005D59B9">
        <w:rPr>
          <w:rFonts w:ascii="Arial" w:hAnsi="Arial" w:cs="Arial"/>
        </w:rPr>
        <w:t xml:space="preserve"> </w:t>
      </w:r>
      <w:r>
        <w:rPr>
          <w:rFonts w:ascii="Arial" w:hAnsi="Arial" w:cs="Arial"/>
        </w:rPr>
        <w:t>C57BL6/J mice treated with 0% DSS (left) and</w:t>
      </w:r>
      <w:r w:rsidRPr="005D59B9">
        <w:rPr>
          <w:rFonts w:ascii="Arial" w:hAnsi="Arial" w:cs="Arial"/>
        </w:rPr>
        <w:t xml:space="preserve"> 2.5% DSS</w:t>
      </w:r>
      <w:r>
        <w:rPr>
          <w:rFonts w:ascii="Arial" w:hAnsi="Arial" w:cs="Arial"/>
        </w:rPr>
        <w:t xml:space="preserve"> (right) via oral gavage for 3 </w:t>
      </w:r>
      <w:r>
        <w:rPr>
          <w:rFonts w:ascii="Arial" w:hAnsi="Arial" w:cs="Arial"/>
        </w:rPr>
        <w:lastRenderedPageBreak/>
        <w:t>days.</w:t>
      </w:r>
      <w:r w:rsidRPr="005D59B9">
        <w:rPr>
          <w:rFonts w:ascii="Arial" w:hAnsi="Arial" w:cs="Arial"/>
        </w:rPr>
        <w:t xml:space="preserve"> </w:t>
      </w:r>
      <w:r>
        <w:rPr>
          <w:rFonts w:ascii="Arial" w:hAnsi="Arial" w:cs="Arial"/>
        </w:rPr>
        <w:t>A</w:t>
      </w:r>
      <w:r w:rsidRPr="005D59B9">
        <w:rPr>
          <w:rFonts w:ascii="Arial" w:hAnsi="Arial" w:cs="Arial"/>
        </w:rPr>
        <w:t xml:space="preserve">reas of tissue damage in the distal colon </w:t>
      </w:r>
      <w:r>
        <w:rPr>
          <w:rFonts w:ascii="Arial" w:hAnsi="Arial" w:cs="Arial"/>
        </w:rPr>
        <w:t xml:space="preserve">are </w:t>
      </w:r>
      <w:r w:rsidRPr="005D59B9">
        <w:rPr>
          <w:rFonts w:ascii="Arial" w:hAnsi="Arial" w:cs="Arial"/>
        </w:rPr>
        <w:t>highlighted in red (</w:t>
      </w:r>
      <w:r>
        <w:rPr>
          <w:rFonts w:ascii="Arial" w:hAnsi="Arial" w:cs="Arial"/>
        </w:rPr>
        <w:t>right</w:t>
      </w:r>
      <w:r w:rsidRPr="005D59B9">
        <w:rPr>
          <w:rFonts w:ascii="Arial" w:hAnsi="Arial" w:cs="Arial"/>
        </w:rPr>
        <w:t xml:space="preserve">). </w:t>
      </w:r>
      <w:r w:rsidRPr="004B2008">
        <w:rPr>
          <w:rFonts w:ascii="Arial" w:hAnsi="Arial" w:cs="Arial"/>
          <w:b/>
          <w:bCs/>
        </w:rPr>
        <w:t>b</w:t>
      </w:r>
      <w:r>
        <w:rPr>
          <w:rFonts w:ascii="Arial" w:hAnsi="Arial" w:cs="Arial"/>
        </w:rPr>
        <w:t xml:space="preserve">, Photomicrographs showing no damage in the colon of NMRs treated with 2.5-8.75% DSS (oral gavage for 3 days). </w:t>
      </w:r>
      <w:r w:rsidRPr="004B2008">
        <w:rPr>
          <w:rFonts w:ascii="Arial" w:hAnsi="Arial" w:cs="Arial"/>
          <w:b/>
          <w:bCs/>
        </w:rPr>
        <w:t>c</w:t>
      </w:r>
      <w:r>
        <w:rPr>
          <w:rFonts w:ascii="Arial" w:hAnsi="Arial" w:cs="Arial"/>
        </w:rPr>
        <w:t xml:space="preserve">, </w:t>
      </w:r>
      <w:r w:rsidRPr="005D59B9">
        <w:rPr>
          <w:rFonts w:ascii="Arial" w:hAnsi="Arial" w:cs="Arial"/>
        </w:rPr>
        <w:t xml:space="preserve">Confocal images showing staining with NMR-specific RNAscope </w:t>
      </w:r>
      <w:r w:rsidRPr="005D59B9">
        <w:rPr>
          <w:rFonts w:ascii="Arial" w:hAnsi="Arial" w:cs="Arial"/>
          <w:i/>
        </w:rPr>
        <w:t>Lgr5</w:t>
      </w:r>
      <w:r w:rsidRPr="005D59B9">
        <w:rPr>
          <w:rFonts w:ascii="Arial" w:hAnsi="Arial" w:cs="Arial"/>
        </w:rPr>
        <w:t xml:space="preserve"> probe (red) and DAPI (grey) exhibiting the re-e</w:t>
      </w:r>
      <w:r>
        <w:rPr>
          <w:rFonts w:ascii="Arial" w:hAnsi="Arial" w:cs="Arial"/>
        </w:rPr>
        <w:t>xpression</w:t>
      </w:r>
      <w:r w:rsidRPr="005D59B9">
        <w:rPr>
          <w:rFonts w:ascii="Arial" w:hAnsi="Arial" w:cs="Arial"/>
        </w:rPr>
        <w:t xml:space="preserve"> of </w:t>
      </w:r>
      <w:r w:rsidRPr="005D59B9">
        <w:rPr>
          <w:rFonts w:ascii="Arial" w:hAnsi="Arial" w:cs="Arial"/>
          <w:i/>
          <w:iCs/>
        </w:rPr>
        <w:t>Lgr5</w:t>
      </w:r>
      <w:r>
        <w:rPr>
          <w:rFonts w:ascii="Arial" w:hAnsi="Arial" w:cs="Arial"/>
          <w:vertAlign w:val="superscript"/>
        </w:rPr>
        <w:t xml:space="preserve"> </w:t>
      </w:r>
      <w:r w:rsidRPr="005D59B9">
        <w:rPr>
          <w:rFonts w:ascii="Arial" w:hAnsi="Arial" w:cs="Arial"/>
        </w:rPr>
        <w:t xml:space="preserve"> </w:t>
      </w:r>
      <w:r>
        <w:rPr>
          <w:rFonts w:ascii="Arial" w:hAnsi="Arial" w:cs="Arial"/>
        </w:rPr>
        <w:t xml:space="preserve">in </w:t>
      </w:r>
      <w:r w:rsidRPr="005D59B9">
        <w:rPr>
          <w:rFonts w:ascii="Arial" w:hAnsi="Arial" w:cs="Arial"/>
        </w:rPr>
        <w:t xml:space="preserve">cells at </w:t>
      </w:r>
      <w:r>
        <w:rPr>
          <w:rFonts w:ascii="Arial" w:hAnsi="Arial" w:cs="Arial"/>
        </w:rPr>
        <w:t xml:space="preserve">the crypt base after </w:t>
      </w:r>
      <w:r w:rsidRPr="005D59B9">
        <w:rPr>
          <w:rFonts w:ascii="Arial" w:hAnsi="Arial" w:cs="Arial"/>
        </w:rPr>
        <w:t xml:space="preserve">day 5 of recovery in the distal colon (marked with white arrows). </w:t>
      </w:r>
      <w:r>
        <w:rPr>
          <w:rFonts w:ascii="Arial" w:hAnsi="Arial" w:cs="Arial"/>
        </w:rPr>
        <w:t>Scale bars are indicated on the images (25 µm and 1 mm).</w:t>
      </w:r>
    </w:p>
    <w:p w14:paraId="5788A363" w14:textId="77777777" w:rsidR="0030623E" w:rsidRDefault="0030623E" w:rsidP="0030623E">
      <w:r>
        <w:br w:type="page"/>
      </w:r>
    </w:p>
    <w:p w14:paraId="2FF0E083" w14:textId="77777777" w:rsidR="0030623E" w:rsidRDefault="0030623E" w:rsidP="0030623E"/>
    <w:p w14:paraId="46E1C95F" w14:textId="77777777" w:rsidR="0030623E" w:rsidRPr="004035DA" w:rsidRDefault="0030623E" w:rsidP="0030623E">
      <w:pPr>
        <w:jc w:val="both"/>
        <w:rPr>
          <w:rFonts w:ascii="Arial" w:hAnsi="Arial" w:cs="Arial"/>
          <w:b/>
          <w:bCs/>
          <w:lang w:val="en-US"/>
        </w:rPr>
      </w:pPr>
      <w:r>
        <w:rPr>
          <w:rFonts w:ascii="Arial" w:hAnsi="Arial" w:cs="Arial"/>
          <w:b/>
          <w:bCs/>
          <w:lang w:val="en-US"/>
        </w:rPr>
        <w:t>Supplementary Table 2</w:t>
      </w:r>
      <w:r w:rsidRPr="004035DA">
        <w:rPr>
          <w:rFonts w:ascii="Arial" w:hAnsi="Arial" w:cs="Arial"/>
          <w:b/>
          <w:bCs/>
          <w:lang w:val="en-US"/>
        </w:rPr>
        <w:t>. Summary of changes observed in the intestinal crypts following 2.5% DSS treatment in NMR and mouse</w:t>
      </w:r>
      <w:r>
        <w:rPr>
          <w:rFonts w:ascii="Arial" w:hAnsi="Arial" w:cs="Arial"/>
          <w:b/>
          <w:bCs/>
          <w:lang w:val="en-US"/>
        </w:rPr>
        <w:t>.</w:t>
      </w:r>
    </w:p>
    <w:tbl>
      <w:tblPr>
        <w:tblStyle w:val="TableGrid"/>
        <w:tblpPr w:leftFromText="180" w:rightFromText="180" w:vertAnchor="text" w:horzAnchor="margin" w:tblpY="47"/>
        <w:tblW w:w="8826" w:type="dxa"/>
        <w:tblLook w:val="04A0" w:firstRow="1" w:lastRow="0" w:firstColumn="1" w:lastColumn="0" w:noHBand="0" w:noVBand="1"/>
      </w:tblPr>
      <w:tblGrid>
        <w:gridCol w:w="1772"/>
        <w:gridCol w:w="1121"/>
        <w:gridCol w:w="1365"/>
        <w:gridCol w:w="1121"/>
        <w:gridCol w:w="1365"/>
        <w:gridCol w:w="1121"/>
        <w:gridCol w:w="1145"/>
      </w:tblGrid>
      <w:tr w:rsidR="0030623E" w:rsidRPr="005D59B9" w14:paraId="4417E563" w14:textId="77777777" w:rsidTr="006D516B">
        <w:trPr>
          <w:trHeight w:val="837"/>
          <w:tblHeader/>
        </w:trPr>
        <w:tc>
          <w:tcPr>
            <w:tcW w:w="1743" w:type="dxa"/>
            <w:vMerge w:val="restart"/>
          </w:tcPr>
          <w:p w14:paraId="5EF71BCC" w14:textId="77777777" w:rsidR="0030623E" w:rsidRPr="005D59B9" w:rsidRDefault="0030623E" w:rsidP="006D516B">
            <w:pPr>
              <w:jc w:val="both"/>
              <w:rPr>
                <w:rFonts w:ascii="Arial" w:hAnsi="Arial" w:cs="Arial"/>
                <w:b/>
                <w:bCs/>
              </w:rPr>
            </w:pPr>
            <w:r w:rsidRPr="005D59B9">
              <w:rPr>
                <w:rFonts w:ascii="Arial" w:hAnsi="Arial" w:cs="Arial"/>
                <w:b/>
                <w:bCs/>
              </w:rPr>
              <w:t>Parameter of comparison*</w:t>
            </w:r>
          </w:p>
        </w:tc>
        <w:tc>
          <w:tcPr>
            <w:tcW w:w="2434" w:type="dxa"/>
            <w:gridSpan w:val="2"/>
          </w:tcPr>
          <w:p w14:paraId="48F25C97" w14:textId="77777777" w:rsidR="0030623E" w:rsidRPr="005D59B9" w:rsidRDefault="0030623E" w:rsidP="006D516B">
            <w:pPr>
              <w:jc w:val="both"/>
              <w:rPr>
                <w:rFonts w:ascii="Arial" w:hAnsi="Arial" w:cs="Arial"/>
                <w:b/>
                <w:bCs/>
              </w:rPr>
            </w:pPr>
            <w:r w:rsidRPr="005D59B9">
              <w:rPr>
                <w:rFonts w:ascii="Arial" w:hAnsi="Arial" w:cs="Arial"/>
                <w:b/>
                <w:bCs/>
              </w:rPr>
              <w:t>NMR (2.5% DSS for 3 days via oral gavage)</w:t>
            </w:r>
          </w:p>
        </w:tc>
        <w:tc>
          <w:tcPr>
            <w:tcW w:w="2434" w:type="dxa"/>
            <w:gridSpan w:val="2"/>
          </w:tcPr>
          <w:p w14:paraId="14D6F3E3" w14:textId="77777777" w:rsidR="0030623E" w:rsidRPr="005D59B9" w:rsidRDefault="0030623E" w:rsidP="006D516B">
            <w:pPr>
              <w:jc w:val="both"/>
              <w:rPr>
                <w:rFonts w:ascii="Arial" w:hAnsi="Arial" w:cs="Arial"/>
                <w:b/>
                <w:bCs/>
              </w:rPr>
            </w:pPr>
            <w:r w:rsidRPr="005D59B9">
              <w:rPr>
                <w:rFonts w:ascii="Arial" w:hAnsi="Arial" w:cs="Arial"/>
                <w:b/>
                <w:bCs/>
              </w:rPr>
              <w:t>Mouse (2.5% DSS for 3 days via oral gavage)</w:t>
            </w:r>
          </w:p>
        </w:tc>
        <w:tc>
          <w:tcPr>
            <w:tcW w:w="2215" w:type="dxa"/>
            <w:gridSpan w:val="2"/>
          </w:tcPr>
          <w:p w14:paraId="1556F594" w14:textId="77777777" w:rsidR="0030623E" w:rsidRPr="005D59B9" w:rsidRDefault="0030623E" w:rsidP="006D516B">
            <w:pPr>
              <w:ind w:right="-106"/>
              <w:jc w:val="both"/>
              <w:rPr>
                <w:rFonts w:ascii="Arial" w:hAnsi="Arial" w:cs="Arial"/>
                <w:b/>
                <w:bCs/>
                <w:color w:val="000000" w:themeColor="text1"/>
              </w:rPr>
            </w:pPr>
            <w:r w:rsidRPr="005D59B9">
              <w:rPr>
                <w:rFonts w:ascii="Arial" w:hAnsi="Arial" w:cs="Arial"/>
                <w:b/>
                <w:bCs/>
                <w:color w:val="000000" w:themeColor="text1"/>
              </w:rPr>
              <w:t>Mouse (Davidson et al</w:t>
            </w:r>
            <w:r w:rsidRPr="00052140">
              <w:rPr>
                <w:rFonts w:ascii="Arial" w:hAnsi="Arial" w:cs="Arial"/>
                <w:b/>
                <w:bCs/>
                <w:noProof/>
                <w:color w:val="000000" w:themeColor="text1"/>
                <w:vertAlign w:val="superscript"/>
              </w:rPr>
              <w:t>59</w:t>
            </w:r>
            <w:r w:rsidRPr="005D59B9">
              <w:rPr>
                <w:rFonts w:ascii="Arial" w:hAnsi="Arial" w:cs="Arial"/>
                <w:b/>
                <w:bCs/>
                <w:color w:val="000000" w:themeColor="text1"/>
              </w:rPr>
              <w:t>) (2.5% DSS for 5 days via drinking water)</w:t>
            </w:r>
          </w:p>
        </w:tc>
      </w:tr>
      <w:tr w:rsidR="0030623E" w:rsidRPr="005D59B9" w14:paraId="335628EB" w14:textId="77777777" w:rsidTr="006D516B">
        <w:trPr>
          <w:trHeight w:val="427"/>
          <w:tblHeader/>
        </w:trPr>
        <w:tc>
          <w:tcPr>
            <w:tcW w:w="1743" w:type="dxa"/>
            <w:vMerge/>
          </w:tcPr>
          <w:p w14:paraId="63C7F0C3" w14:textId="77777777" w:rsidR="0030623E" w:rsidRPr="005D59B9" w:rsidRDefault="0030623E" w:rsidP="006D516B">
            <w:pPr>
              <w:jc w:val="both"/>
              <w:rPr>
                <w:rFonts w:ascii="Arial" w:hAnsi="Arial" w:cs="Arial"/>
                <w:b/>
                <w:bCs/>
              </w:rPr>
            </w:pPr>
          </w:p>
        </w:tc>
        <w:tc>
          <w:tcPr>
            <w:tcW w:w="1096" w:type="dxa"/>
          </w:tcPr>
          <w:p w14:paraId="086C54F7" w14:textId="77777777" w:rsidR="0030623E" w:rsidRPr="005D59B9" w:rsidRDefault="0030623E" w:rsidP="006D516B">
            <w:pPr>
              <w:jc w:val="both"/>
              <w:rPr>
                <w:rFonts w:ascii="Arial" w:hAnsi="Arial" w:cs="Arial"/>
                <w:b/>
                <w:bCs/>
              </w:rPr>
            </w:pPr>
            <w:r w:rsidRPr="005D59B9">
              <w:rPr>
                <w:rFonts w:ascii="Arial" w:hAnsi="Arial" w:cs="Arial"/>
                <w:b/>
                <w:bCs/>
              </w:rPr>
              <w:t>Distal colon</w:t>
            </w:r>
          </w:p>
        </w:tc>
        <w:tc>
          <w:tcPr>
            <w:tcW w:w="1338" w:type="dxa"/>
          </w:tcPr>
          <w:p w14:paraId="3F043F54" w14:textId="77777777" w:rsidR="0030623E" w:rsidRPr="005D59B9" w:rsidRDefault="0030623E" w:rsidP="006D516B">
            <w:pPr>
              <w:jc w:val="both"/>
              <w:rPr>
                <w:rFonts w:ascii="Arial" w:hAnsi="Arial" w:cs="Arial"/>
                <w:b/>
                <w:bCs/>
              </w:rPr>
            </w:pPr>
            <w:r w:rsidRPr="005D59B9">
              <w:rPr>
                <w:rFonts w:ascii="Arial" w:hAnsi="Arial" w:cs="Arial"/>
                <w:b/>
                <w:bCs/>
              </w:rPr>
              <w:t>Duodenum</w:t>
            </w:r>
          </w:p>
        </w:tc>
        <w:tc>
          <w:tcPr>
            <w:tcW w:w="1096" w:type="dxa"/>
          </w:tcPr>
          <w:p w14:paraId="20FE4AD1" w14:textId="77777777" w:rsidR="0030623E" w:rsidRPr="005D59B9" w:rsidRDefault="0030623E" w:rsidP="006D516B">
            <w:pPr>
              <w:jc w:val="both"/>
              <w:rPr>
                <w:rFonts w:ascii="Arial" w:hAnsi="Arial" w:cs="Arial"/>
                <w:b/>
                <w:bCs/>
              </w:rPr>
            </w:pPr>
            <w:r w:rsidRPr="005D59B9">
              <w:rPr>
                <w:rFonts w:ascii="Arial" w:hAnsi="Arial" w:cs="Arial"/>
                <w:b/>
                <w:bCs/>
              </w:rPr>
              <w:t>Distal colon</w:t>
            </w:r>
          </w:p>
        </w:tc>
        <w:tc>
          <w:tcPr>
            <w:tcW w:w="1338" w:type="dxa"/>
          </w:tcPr>
          <w:p w14:paraId="5688EA79" w14:textId="77777777" w:rsidR="0030623E" w:rsidRPr="005D59B9" w:rsidRDefault="0030623E" w:rsidP="006D516B">
            <w:pPr>
              <w:jc w:val="both"/>
              <w:rPr>
                <w:rFonts w:ascii="Arial" w:hAnsi="Arial" w:cs="Arial"/>
                <w:b/>
                <w:bCs/>
              </w:rPr>
            </w:pPr>
            <w:r w:rsidRPr="005D59B9">
              <w:rPr>
                <w:rFonts w:ascii="Arial" w:hAnsi="Arial" w:cs="Arial"/>
                <w:b/>
                <w:bCs/>
              </w:rPr>
              <w:t>Duodenum</w:t>
            </w:r>
          </w:p>
        </w:tc>
        <w:tc>
          <w:tcPr>
            <w:tcW w:w="1096" w:type="dxa"/>
          </w:tcPr>
          <w:p w14:paraId="5D9806C9" w14:textId="77777777" w:rsidR="0030623E" w:rsidRPr="005D59B9" w:rsidRDefault="0030623E" w:rsidP="006D516B">
            <w:pPr>
              <w:jc w:val="both"/>
              <w:rPr>
                <w:rFonts w:ascii="Arial" w:hAnsi="Arial" w:cs="Arial"/>
                <w:b/>
                <w:bCs/>
                <w:color w:val="000000" w:themeColor="text1"/>
              </w:rPr>
            </w:pPr>
            <w:r w:rsidRPr="005D59B9">
              <w:rPr>
                <w:rFonts w:ascii="Arial" w:hAnsi="Arial" w:cs="Arial"/>
                <w:b/>
                <w:bCs/>
                <w:color w:val="000000" w:themeColor="text1"/>
              </w:rPr>
              <w:t>Distal colon</w:t>
            </w:r>
          </w:p>
        </w:tc>
        <w:tc>
          <w:tcPr>
            <w:tcW w:w="1119" w:type="dxa"/>
          </w:tcPr>
          <w:p w14:paraId="2C493D43" w14:textId="77777777" w:rsidR="0030623E" w:rsidRPr="005D59B9" w:rsidRDefault="0030623E" w:rsidP="006D516B">
            <w:pPr>
              <w:jc w:val="both"/>
              <w:rPr>
                <w:rFonts w:ascii="Arial" w:hAnsi="Arial" w:cs="Arial"/>
                <w:b/>
                <w:bCs/>
                <w:color w:val="000000" w:themeColor="text1"/>
              </w:rPr>
            </w:pPr>
            <w:r w:rsidRPr="005D59B9">
              <w:rPr>
                <w:rFonts w:ascii="Arial" w:hAnsi="Arial" w:cs="Arial"/>
                <w:b/>
                <w:bCs/>
                <w:color w:val="000000" w:themeColor="text1"/>
              </w:rPr>
              <w:t>Proximal colon</w:t>
            </w:r>
          </w:p>
          <w:p w14:paraId="10C010EE" w14:textId="77777777" w:rsidR="0030623E" w:rsidRPr="005D59B9" w:rsidRDefault="0030623E" w:rsidP="006D516B">
            <w:pPr>
              <w:jc w:val="both"/>
              <w:rPr>
                <w:rFonts w:ascii="Arial" w:hAnsi="Arial" w:cs="Arial"/>
                <w:b/>
                <w:bCs/>
                <w:color w:val="000000" w:themeColor="text1"/>
              </w:rPr>
            </w:pPr>
          </w:p>
        </w:tc>
      </w:tr>
      <w:tr w:rsidR="0030623E" w:rsidRPr="005D59B9" w14:paraId="6542BF02" w14:textId="77777777" w:rsidTr="006D516B">
        <w:trPr>
          <w:trHeight w:val="877"/>
        </w:trPr>
        <w:tc>
          <w:tcPr>
            <w:tcW w:w="1743" w:type="dxa"/>
          </w:tcPr>
          <w:p w14:paraId="0B6C8A87" w14:textId="77777777" w:rsidR="0030623E" w:rsidRPr="005D59B9" w:rsidRDefault="0030623E" w:rsidP="006D516B">
            <w:pPr>
              <w:jc w:val="both"/>
              <w:rPr>
                <w:rFonts w:ascii="Arial" w:hAnsi="Arial" w:cs="Arial"/>
              </w:rPr>
            </w:pPr>
            <w:r w:rsidRPr="005D59B9">
              <w:rPr>
                <w:rFonts w:ascii="Arial" w:hAnsi="Arial" w:cs="Arial"/>
              </w:rPr>
              <w:t xml:space="preserve">Number of </w:t>
            </w:r>
            <w:r w:rsidRPr="005D59B9">
              <w:rPr>
                <w:rFonts w:ascii="Arial" w:hAnsi="Arial" w:cs="Arial"/>
                <w:i/>
                <w:iCs/>
              </w:rPr>
              <w:t>Lgr5</w:t>
            </w:r>
            <w:r w:rsidRPr="005D59B9">
              <w:rPr>
                <w:rFonts w:ascii="Arial" w:hAnsi="Arial" w:cs="Arial"/>
                <w:vertAlign w:val="superscript"/>
              </w:rPr>
              <w:t>+</w:t>
            </w:r>
            <w:r w:rsidRPr="005D59B9">
              <w:rPr>
                <w:rFonts w:ascii="Arial" w:hAnsi="Arial" w:cs="Arial"/>
              </w:rPr>
              <w:t>cells/crypt</w:t>
            </w:r>
          </w:p>
        </w:tc>
        <w:tc>
          <w:tcPr>
            <w:tcW w:w="1096" w:type="dxa"/>
          </w:tcPr>
          <w:p w14:paraId="5E0B17A3" w14:textId="77777777" w:rsidR="0030623E" w:rsidRPr="005D59B9" w:rsidRDefault="0030623E" w:rsidP="006D516B">
            <w:pPr>
              <w:jc w:val="both"/>
              <w:rPr>
                <w:rFonts w:ascii="Arial" w:hAnsi="Arial" w:cs="Arial"/>
              </w:rPr>
            </w:pPr>
            <w:r w:rsidRPr="005D59B9">
              <w:rPr>
                <w:rFonts w:ascii="Arial" w:hAnsi="Arial" w:cs="Arial"/>
              </w:rPr>
              <w:t>100% loss</w:t>
            </w:r>
          </w:p>
        </w:tc>
        <w:tc>
          <w:tcPr>
            <w:tcW w:w="1338" w:type="dxa"/>
          </w:tcPr>
          <w:p w14:paraId="6A96A3B3" w14:textId="77777777" w:rsidR="0030623E" w:rsidRPr="005D59B9" w:rsidRDefault="0030623E" w:rsidP="006D516B">
            <w:pPr>
              <w:jc w:val="both"/>
              <w:rPr>
                <w:rFonts w:ascii="Arial" w:hAnsi="Arial" w:cs="Arial"/>
              </w:rPr>
            </w:pPr>
            <w:r w:rsidRPr="005D59B9">
              <w:rPr>
                <w:rFonts w:ascii="Arial" w:hAnsi="Arial" w:cs="Arial"/>
              </w:rPr>
              <w:t>80% loss</w:t>
            </w:r>
          </w:p>
        </w:tc>
        <w:tc>
          <w:tcPr>
            <w:tcW w:w="1096" w:type="dxa"/>
          </w:tcPr>
          <w:p w14:paraId="301301EA" w14:textId="77777777" w:rsidR="0030623E" w:rsidRPr="005D59B9" w:rsidRDefault="0030623E" w:rsidP="006D516B">
            <w:pPr>
              <w:jc w:val="both"/>
              <w:rPr>
                <w:rFonts w:ascii="Arial" w:hAnsi="Arial" w:cs="Arial"/>
              </w:rPr>
            </w:pPr>
            <w:r w:rsidRPr="005D59B9">
              <w:rPr>
                <w:rFonts w:ascii="Arial" w:hAnsi="Arial" w:cs="Arial"/>
              </w:rPr>
              <w:t>No change</w:t>
            </w:r>
          </w:p>
        </w:tc>
        <w:tc>
          <w:tcPr>
            <w:tcW w:w="1338" w:type="dxa"/>
          </w:tcPr>
          <w:p w14:paraId="643D3975" w14:textId="77777777" w:rsidR="0030623E" w:rsidRPr="005D59B9" w:rsidRDefault="0030623E" w:rsidP="006D516B">
            <w:pPr>
              <w:jc w:val="both"/>
              <w:rPr>
                <w:rFonts w:ascii="Arial" w:hAnsi="Arial" w:cs="Arial"/>
              </w:rPr>
            </w:pPr>
            <w:r w:rsidRPr="005D59B9">
              <w:rPr>
                <w:rFonts w:ascii="Arial" w:hAnsi="Arial" w:cs="Arial"/>
              </w:rPr>
              <w:t>No change</w:t>
            </w:r>
          </w:p>
        </w:tc>
        <w:tc>
          <w:tcPr>
            <w:tcW w:w="1096" w:type="dxa"/>
          </w:tcPr>
          <w:p w14:paraId="1BD23A56" w14:textId="77777777" w:rsidR="0030623E" w:rsidRPr="005D59B9" w:rsidRDefault="0030623E" w:rsidP="006D516B">
            <w:pPr>
              <w:pStyle w:val="NormalWeb"/>
              <w:jc w:val="both"/>
              <w:rPr>
                <w:rFonts w:ascii="Arial" w:hAnsi="Arial" w:cs="Arial"/>
                <w:szCs w:val="30"/>
                <w:lang w:eastAsia="en-US" w:bidi="bn-IN"/>
              </w:rPr>
            </w:pPr>
            <w:r w:rsidRPr="005D59B9">
              <w:rPr>
                <w:rFonts w:ascii="Arial" w:hAnsi="Arial" w:cs="Arial"/>
                <w:szCs w:val="30"/>
                <w:lang w:eastAsia="en-US" w:bidi="bn-IN"/>
              </w:rPr>
              <w:t>100% loss</w:t>
            </w:r>
          </w:p>
          <w:p w14:paraId="6B14C03E" w14:textId="77777777" w:rsidR="0030623E" w:rsidRPr="005D59B9" w:rsidRDefault="0030623E" w:rsidP="006D516B">
            <w:pPr>
              <w:jc w:val="both"/>
              <w:rPr>
                <w:rFonts w:ascii="Arial" w:hAnsi="Arial" w:cs="Arial"/>
              </w:rPr>
            </w:pPr>
          </w:p>
        </w:tc>
        <w:tc>
          <w:tcPr>
            <w:tcW w:w="1119" w:type="dxa"/>
          </w:tcPr>
          <w:p w14:paraId="162003E9" w14:textId="77777777" w:rsidR="0030623E" w:rsidRPr="005D59B9" w:rsidRDefault="0030623E" w:rsidP="006D516B">
            <w:pPr>
              <w:jc w:val="both"/>
              <w:rPr>
                <w:rFonts w:ascii="Arial" w:hAnsi="Arial" w:cs="Arial"/>
                <w:i/>
                <w:iCs/>
              </w:rPr>
            </w:pPr>
            <w:r w:rsidRPr="005D59B9">
              <w:rPr>
                <w:rFonts w:ascii="Arial" w:hAnsi="Arial" w:cs="Arial"/>
                <w:i/>
                <w:iCs/>
              </w:rPr>
              <w:t>No change</w:t>
            </w:r>
          </w:p>
        </w:tc>
      </w:tr>
      <w:tr w:rsidR="0030623E" w:rsidRPr="005D59B9" w14:paraId="2E7E523C" w14:textId="77777777" w:rsidTr="006D516B">
        <w:trPr>
          <w:trHeight w:val="960"/>
        </w:trPr>
        <w:tc>
          <w:tcPr>
            <w:tcW w:w="1743" w:type="dxa"/>
          </w:tcPr>
          <w:p w14:paraId="4CA6A6DD" w14:textId="77777777" w:rsidR="0030623E" w:rsidRPr="005D59B9" w:rsidRDefault="0030623E" w:rsidP="006D516B">
            <w:pPr>
              <w:jc w:val="both"/>
              <w:rPr>
                <w:rFonts w:ascii="Arial" w:hAnsi="Arial" w:cs="Arial"/>
              </w:rPr>
            </w:pPr>
            <w:r w:rsidRPr="005D59B9">
              <w:rPr>
                <w:rFonts w:ascii="Arial" w:hAnsi="Arial" w:cs="Arial"/>
              </w:rPr>
              <w:t xml:space="preserve">Apoptotic index (Number of TUNEL+ cells/ 100 crypt) </w:t>
            </w:r>
          </w:p>
        </w:tc>
        <w:tc>
          <w:tcPr>
            <w:tcW w:w="1096" w:type="dxa"/>
          </w:tcPr>
          <w:p w14:paraId="305C3EC8" w14:textId="77777777" w:rsidR="0030623E" w:rsidRPr="005D59B9" w:rsidRDefault="0030623E" w:rsidP="006D516B">
            <w:pPr>
              <w:jc w:val="both"/>
              <w:rPr>
                <w:rFonts w:ascii="Arial" w:hAnsi="Arial" w:cs="Arial"/>
              </w:rPr>
            </w:pPr>
            <w:r w:rsidRPr="005D59B9">
              <w:rPr>
                <w:rFonts w:ascii="Arial" w:hAnsi="Arial" w:cs="Arial"/>
              </w:rPr>
              <w:t>6-fold increase</w:t>
            </w:r>
          </w:p>
        </w:tc>
        <w:tc>
          <w:tcPr>
            <w:tcW w:w="1338" w:type="dxa"/>
          </w:tcPr>
          <w:p w14:paraId="5DE157F8" w14:textId="77777777" w:rsidR="0030623E" w:rsidRPr="005D59B9" w:rsidRDefault="0030623E" w:rsidP="006D516B">
            <w:pPr>
              <w:jc w:val="both"/>
              <w:rPr>
                <w:rFonts w:ascii="Arial" w:hAnsi="Arial" w:cs="Arial"/>
              </w:rPr>
            </w:pPr>
            <w:r w:rsidRPr="005D59B9">
              <w:rPr>
                <w:rFonts w:ascii="Arial" w:hAnsi="Arial" w:cs="Arial"/>
              </w:rPr>
              <w:t>6-fold increase</w:t>
            </w:r>
          </w:p>
        </w:tc>
        <w:tc>
          <w:tcPr>
            <w:tcW w:w="1096" w:type="dxa"/>
          </w:tcPr>
          <w:p w14:paraId="28F8B2B7" w14:textId="77777777" w:rsidR="0030623E" w:rsidRPr="005D59B9" w:rsidRDefault="0030623E" w:rsidP="006D516B">
            <w:pPr>
              <w:jc w:val="both"/>
              <w:rPr>
                <w:rFonts w:ascii="Arial" w:hAnsi="Arial" w:cs="Arial"/>
              </w:rPr>
            </w:pPr>
            <w:r w:rsidRPr="005D59B9">
              <w:rPr>
                <w:rFonts w:ascii="Arial" w:hAnsi="Arial" w:cs="Arial"/>
              </w:rPr>
              <w:t>No change</w:t>
            </w:r>
          </w:p>
        </w:tc>
        <w:tc>
          <w:tcPr>
            <w:tcW w:w="1338" w:type="dxa"/>
          </w:tcPr>
          <w:p w14:paraId="67ECE65A" w14:textId="77777777" w:rsidR="0030623E" w:rsidRPr="005D59B9" w:rsidRDefault="0030623E" w:rsidP="006D516B">
            <w:pPr>
              <w:jc w:val="both"/>
              <w:rPr>
                <w:rFonts w:ascii="Arial" w:hAnsi="Arial" w:cs="Arial"/>
              </w:rPr>
            </w:pPr>
            <w:r w:rsidRPr="005D59B9">
              <w:rPr>
                <w:rFonts w:ascii="Arial" w:hAnsi="Arial" w:cs="Arial"/>
              </w:rPr>
              <w:t>No change</w:t>
            </w:r>
          </w:p>
        </w:tc>
        <w:tc>
          <w:tcPr>
            <w:tcW w:w="1096" w:type="dxa"/>
          </w:tcPr>
          <w:p w14:paraId="064DFCAA" w14:textId="77777777" w:rsidR="0030623E" w:rsidRPr="005D59B9" w:rsidRDefault="0030623E" w:rsidP="006D516B">
            <w:pPr>
              <w:jc w:val="both"/>
              <w:rPr>
                <w:rFonts w:ascii="Arial" w:hAnsi="Arial" w:cs="Arial"/>
                <w:i/>
                <w:iCs/>
              </w:rPr>
            </w:pPr>
            <w:r w:rsidRPr="005D59B9">
              <w:rPr>
                <w:rFonts w:ascii="Arial" w:hAnsi="Arial" w:cs="Arial"/>
              </w:rPr>
              <w:t>4-fold increase</w:t>
            </w:r>
          </w:p>
        </w:tc>
        <w:tc>
          <w:tcPr>
            <w:tcW w:w="1119" w:type="dxa"/>
          </w:tcPr>
          <w:p w14:paraId="78E2C3CC" w14:textId="77777777" w:rsidR="0030623E" w:rsidRPr="005D59B9" w:rsidRDefault="0030623E" w:rsidP="006D516B">
            <w:pPr>
              <w:jc w:val="both"/>
              <w:rPr>
                <w:rFonts w:ascii="Arial" w:hAnsi="Arial" w:cs="Arial"/>
                <w:i/>
                <w:iCs/>
              </w:rPr>
            </w:pPr>
            <w:r w:rsidRPr="005D59B9">
              <w:rPr>
                <w:rFonts w:ascii="Arial" w:hAnsi="Arial" w:cs="Arial"/>
              </w:rPr>
              <w:t>4-fold increase</w:t>
            </w:r>
          </w:p>
        </w:tc>
      </w:tr>
      <w:tr w:rsidR="0030623E" w:rsidRPr="005D59B9" w14:paraId="1C81B2EE" w14:textId="77777777" w:rsidTr="006D516B">
        <w:trPr>
          <w:trHeight w:val="960"/>
        </w:trPr>
        <w:tc>
          <w:tcPr>
            <w:tcW w:w="1743" w:type="dxa"/>
          </w:tcPr>
          <w:p w14:paraId="3F259BA4" w14:textId="77777777" w:rsidR="0030623E" w:rsidRPr="005D59B9" w:rsidRDefault="0030623E" w:rsidP="006D516B">
            <w:pPr>
              <w:jc w:val="both"/>
              <w:rPr>
                <w:rFonts w:ascii="Arial" w:hAnsi="Arial" w:cs="Arial"/>
              </w:rPr>
            </w:pPr>
            <w:r w:rsidRPr="005D59B9">
              <w:rPr>
                <w:rFonts w:ascii="Arial" w:hAnsi="Arial" w:cs="Arial"/>
              </w:rPr>
              <w:t>Apoptotic index (Number of TUNEL+ cells/ 100 crypt) at crypt base</w:t>
            </w:r>
          </w:p>
        </w:tc>
        <w:tc>
          <w:tcPr>
            <w:tcW w:w="1096" w:type="dxa"/>
          </w:tcPr>
          <w:p w14:paraId="20D0C63C" w14:textId="77777777" w:rsidR="0030623E" w:rsidRPr="005D59B9" w:rsidRDefault="0030623E" w:rsidP="006D516B">
            <w:pPr>
              <w:jc w:val="both"/>
              <w:rPr>
                <w:rFonts w:ascii="Arial" w:hAnsi="Arial" w:cs="Arial"/>
              </w:rPr>
            </w:pPr>
            <w:r w:rsidRPr="005D59B9">
              <w:rPr>
                <w:rFonts w:ascii="Arial" w:hAnsi="Arial" w:cs="Arial"/>
              </w:rPr>
              <w:t xml:space="preserve">18-fold increase </w:t>
            </w:r>
          </w:p>
        </w:tc>
        <w:tc>
          <w:tcPr>
            <w:tcW w:w="1338" w:type="dxa"/>
          </w:tcPr>
          <w:p w14:paraId="0451B59B" w14:textId="77777777" w:rsidR="0030623E" w:rsidRPr="005D59B9" w:rsidRDefault="0030623E" w:rsidP="006D516B">
            <w:pPr>
              <w:jc w:val="both"/>
              <w:rPr>
                <w:rFonts w:ascii="Arial" w:hAnsi="Arial" w:cs="Arial"/>
              </w:rPr>
            </w:pPr>
            <w:r w:rsidRPr="005D59B9">
              <w:rPr>
                <w:rFonts w:ascii="Arial" w:hAnsi="Arial" w:cs="Arial"/>
              </w:rPr>
              <w:t>6-fold increase</w:t>
            </w:r>
          </w:p>
        </w:tc>
        <w:tc>
          <w:tcPr>
            <w:tcW w:w="1096" w:type="dxa"/>
          </w:tcPr>
          <w:p w14:paraId="4DB0AB90" w14:textId="77777777" w:rsidR="0030623E" w:rsidRPr="005D59B9" w:rsidRDefault="0030623E" w:rsidP="006D516B">
            <w:pPr>
              <w:jc w:val="both"/>
              <w:rPr>
                <w:rFonts w:ascii="Arial" w:hAnsi="Arial" w:cs="Arial"/>
              </w:rPr>
            </w:pPr>
            <w:r w:rsidRPr="005D59B9">
              <w:rPr>
                <w:rFonts w:ascii="Arial" w:hAnsi="Arial" w:cs="Arial"/>
              </w:rPr>
              <w:t>No change</w:t>
            </w:r>
          </w:p>
        </w:tc>
        <w:tc>
          <w:tcPr>
            <w:tcW w:w="1338" w:type="dxa"/>
          </w:tcPr>
          <w:p w14:paraId="0DB28C41" w14:textId="77777777" w:rsidR="0030623E" w:rsidRPr="005D59B9" w:rsidRDefault="0030623E" w:rsidP="006D516B">
            <w:pPr>
              <w:jc w:val="both"/>
              <w:rPr>
                <w:rFonts w:ascii="Arial" w:hAnsi="Arial" w:cs="Arial"/>
              </w:rPr>
            </w:pPr>
            <w:r w:rsidRPr="005D59B9">
              <w:rPr>
                <w:rFonts w:ascii="Arial" w:hAnsi="Arial" w:cs="Arial"/>
              </w:rPr>
              <w:t>No change</w:t>
            </w:r>
          </w:p>
        </w:tc>
        <w:tc>
          <w:tcPr>
            <w:tcW w:w="1096" w:type="dxa"/>
          </w:tcPr>
          <w:p w14:paraId="15BB6465" w14:textId="77777777" w:rsidR="0030623E" w:rsidRPr="005D59B9" w:rsidRDefault="0030623E" w:rsidP="006D516B">
            <w:pPr>
              <w:jc w:val="both"/>
              <w:rPr>
                <w:rFonts w:ascii="Arial" w:hAnsi="Arial" w:cs="Arial"/>
                <w:i/>
                <w:iCs/>
              </w:rPr>
            </w:pPr>
            <w:r w:rsidRPr="005D59B9">
              <w:rPr>
                <w:rFonts w:ascii="Arial" w:hAnsi="Arial" w:cs="Arial"/>
                <w:i/>
                <w:iCs/>
              </w:rPr>
              <w:t>not available</w:t>
            </w:r>
          </w:p>
        </w:tc>
        <w:tc>
          <w:tcPr>
            <w:tcW w:w="1119" w:type="dxa"/>
          </w:tcPr>
          <w:p w14:paraId="510734CE" w14:textId="77777777" w:rsidR="0030623E" w:rsidRPr="005D59B9" w:rsidRDefault="0030623E" w:rsidP="006D516B">
            <w:pPr>
              <w:jc w:val="both"/>
              <w:rPr>
                <w:rFonts w:ascii="Arial" w:hAnsi="Arial" w:cs="Arial"/>
                <w:i/>
                <w:iCs/>
                <w:sz w:val="16"/>
                <w:szCs w:val="16"/>
              </w:rPr>
            </w:pPr>
            <w:r w:rsidRPr="005D59B9">
              <w:rPr>
                <w:rFonts w:ascii="Arial" w:hAnsi="Arial" w:cs="Arial"/>
                <w:i/>
                <w:iCs/>
              </w:rPr>
              <w:t>not available</w:t>
            </w:r>
          </w:p>
        </w:tc>
      </w:tr>
      <w:tr w:rsidR="0030623E" w:rsidRPr="005D59B9" w14:paraId="66ABDF2E" w14:textId="77777777" w:rsidTr="006D516B">
        <w:trPr>
          <w:trHeight w:val="681"/>
        </w:trPr>
        <w:tc>
          <w:tcPr>
            <w:tcW w:w="1743" w:type="dxa"/>
          </w:tcPr>
          <w:p w14:paraId="36BA241C" w14:textId="77777777" w:rsidR="0030623E" w:rsidRPr="005D59B9" w:rsidRDefault="0030623E" w:rsidP="006D516B">
            <w:pPr>
              <w:jc w:val="both"/>
              <w:rPr>
                <w:rFonts w:ascii="Arial" w:hAnsi="Arial" w:cs="Arial"/>
              </w:rPr>
            </w:pPr>
            <w:r w:rsidRPr="005D59B9">
              <w:rPr>
                <w:rFonts w:ascii="Arial" w:hAnsi="Arial" w:cs="Arial"/>
              </w:rPr>
              <w:t>Apoptotic index (Number of TUNEL+ cells/ 100 crypt) above crypt</w:t>
            </w:r>
          </w:p>
        </w:tc>
        <w:tc>
          <w:tcPr>
            <w:tcW w:w="1096" w:type="dxa"/>
          </w:tcPr>
          <w:p w14:paraId="1E08233C" w14:textId="77777777" w:rsidR="0030623E" w:rsidRPr="005D59B9" w:rsidRDefault="0030623E" w:rsidP="006D516B">
            <w:pPr>
              <w:jc w:val="both"/>
              <w:rPr>
                <w:rFonts w:ascii="Arial" w:hAnsi="Arial" w:cs="Arial"/>
              </w:rPr>
            </w:pPr>
            <w:r w:rsidRPr="005D59B9">
              <w:rPr>
                <w:rFonts w:ascii="Arial" w:hAnsi="Arial" w:cs="Arial"/>
              </w:rPr>
              <w:t>5-fold increase</w:t>
            </w:r>
          </w:p>
        </w:tc>
        <w:tc>
          <w:tcPr>
            <w:tcW w:w="1338" w:type="dxa"/>
          </w:tcPr>
          <w:p w14:paraId="393C7F34" w14:textId="77777777" w:rsidR="0030623E" w:rsidRPr="005D59B9" w:rsidRDefault="0030623E" w:rsidP="006D516B">
            <w:pPr>
              <w:jc w:val="both"/>
              <w:rPr>
                <w:rFonts w:ascii="Arial" w:hAnsi="Arial" w:cs="Arial"/>
              </w:rPr>
            </w:pPr>
            <w:r w:rsidRPr="005D59B9">
              <w:rPr>
                <w:rFonts w:ascii="Arial" w:hAnsi="Arial" w:cs="Arial"/>
              </w:rPr>
              <w:t>8-fold increase</w:t>
            </w:r>
          </w:p>
        </w:tc>
        <w:tc>
          <w:tcPr>
            <w:tcW w:w="1096" w:type="dxa"/>
          </w:tcPr>
          <w:p w14:paraId="60E8AF87" w14:textId="77777777" w:rsidR="0030623E" w:rsidRPr="005D59B9" w:rsidRDefault="0030623E" w:rsidP="006D516B">
            <w:pPr>
              <w:jc w:val="both"/>
              <w:rPr>
                <w:rFonts w:ascii="Arial" w:hAnsi="Arial" w:cs="Arial"/>
              </w:rPr>
            </w:pPr>
            <w:r w:rsidRPr="005D59B9">
              <w:rPr>
                <w:rFonts w:ascii="Arial" w:hAnsi="Arial" w:cs="Arial"/>
              </w:rPr>
              <w:t>No change</w:t>
            </w:r>
          </w:p>
        </w:tc>
        <w:tc>
          <w:tcPr>
            <w:tcW w:w="1338" w:type="dxa"/>
          </w:tcPr>
          <w:p w14:paraId="59A2AC60" w14:textId="77777777" w:rsidR="0030623E" w:rsidRPr="005D59B9" w:rsidRDefault="0030623E" w:rsidP="006D516B">
            <w:pPr>
              <w:jc w:val="both"/>
              <w:rPr>
                <w:rFonts w:ascii="Arial" w:hAnsi="Arial" w:cs="Arial"/>
              </w:rPr>
            </w:pPr>
            <w:r w:rsidRPr="005D59B9">
              <w:rPr>
                <w:rFonts w:ascii="Arial" w:hAnsi="Arial" w:cs="Arial"/>
              </w:rPr>
              <w:t>No change</w:t>
            </w:r>
          </w:p>
        </w:tc>
        <w:tc>
          <w:tcPr>
            <w:tcW w:w="1096" w:type="dxa"/>
          </w:tcPr>
          <w:p w14:paraId="50BBD303" w14:textId="77777777" w:rsidR="0030623E" w:rsidRPr="005D59B9" w:rsidRDefault="0030623E" w:rsidP="006D516B">
            <w:pPr>
              <w:jc w:val="both"/>
              <w:rPr>
                <w:rFonts w:ascii="Arial" w:hAnsi="Arial" w:cs="Arial"/>
              </w:rPr>
            </w:pPr>
            <w:r w:rsidRPr="005D59B9">
              <w:rPr>
                <w:rFonts w:ascii="Arial" w:hAnsi="Arial" w:cs="Arial"/>
                <w:i/>
                <w:iCs/>
              </w:rPr>
              <w:t>not available</w:t>
            </w:r>
          </w:p>
        </w:tc>
        <w:tc>
          <w:tcPr>
            <w:tcW w:w="1119" w:type="dxa"/>
          </w:tcPr>
          <w:p w14:paraId="509B08C2" w14:textId="77777777" w:rsidR="0030623E" w:rsidRPr="005D59B9" w:rsidRDefault="0030623E" w:rsidP="006D516B">
            <w:pPr>
              <w:jc w:val="both"/>
              <w:rPr>
                <w:rFonts w:ascii="Arial" w:hAnsi="Arial" w:cs="Arial"/>
              </w:rPr>
            </w:pPr>
            <w:r w:rsidRPr="005D59B9">
              <w:rPr>
                <w:rFonts w:ascii="Arial" w:hAnsi="Arial" w:cs="Arial"/>
                <w:i/>
                <w:iCs/>
              </w:rPr>
              <w:t>not available</w:t>
            </w:r>
          </w:p>
        </w:tc>
      </w:tr>
      <w:tr w:rsidR="0030623E" w:rsidRPr="005D59B9" w14:paraId="670C8BCA" w14:textId="77777777" w:rsidTr="006D516B">
        <w:trPr>
          <w:trHeight w:val="550"/>
        </w:trPr>
        <w:tc>
          <w:tcPr>
            <w:tcW w:w="1743" w:type="dxa"/>
          </w:tcPr>
          <w:p w14:paraId="6A9DC658" w14:textId="77777777" w:rsidR="0030623E" w:rsidRPr="005D59B9" w:rsidRDefault="0030623E" w:rsidP="006D516B">
            <w:pPr>
              <w:jc w:val="both"/>
              <w:rPr>
                <w:rFonts w:ascii="Arial" w:hAnsi="Arial" w:cs="Arial"/>
              </w:rPr>
            </w:pPr>
            <w:r w:rsidRPr="005D59B9">
              <w:rPr>
                <w:rFonts w:ascii="Arial" w:hAnsi="Arial" w:cs="Arial"/>
              </w:rPr>
              <w:t>%</w:t>
            </w:r>
            <w:r w:rsidRPr="005D59B9">
              <w:rPr>
                <w:rFonts w:ascii="Arial" w:hAnsi="Arial" w:cs="Arial"/>
                <w:i/>
                <w:iCs/>
              </w:rPr>
              <w:t>Lgr5</w:t>
            </w:r>
            <w:r w:rsidRPr="005D59B9">
              <w:rPr>
                <w:rFonts w:ascii="Arial" w:hAnsi="Arial" w:cs="Arial"/>
                <w:vertAlign w:val="superscript"/>
              </w:rPr>
              <w:t>+CBC</w:t>
            </w:r>
            <w:r w:rsidRPr="005D59B9">
              <w:rPr>
                <w:rFonts w:ascii="Arial" w:hAnsi="Arial" w:cs="Arial"/>
              </w:rPr>
              <w:t>Ki67</w:t>
            </w:r>
            <w:r w:rsidRPr="005D59B9">
              <w:rPr>
                <w:rFonts w:ascii="Arial" w:hAnsi="Arial" w:cs="Arial"/>
                <w:vertAlign w:val="superscript"/>
              </w:rPr>
              <w:t>+</w:t>
            </w:r>
            <w:r w:rsidRPr="005D59B9">
              <w:rPr>
                <w:rFonts w:ascii="Arial" w:hAnsi="Arial" w:cs="Arial"/>
              </w:rPr>
              <w:t xml:space="preserve"> cells</w:t>
            </w:r>
          </w:p>
        </w:tc>
        <w:tc>
          <w:tcPr>
            <w:tcW w:w="1096" w:type="dxa"/>
          </w:tcPr>
          <w:p w14:paraId="41CF079E" w14:textId="77777777" w:rsidR="0030623E" w:rsidRPr="005D59B9" w:rsidRDefault="0030623E" w:rsidP="006D516B">
            <w:pPr>
              <w:jc w:val="both"/>
              <w:rPr>
                <w:rFonts w:ascii="Arial" w:hAnsi="Arial" w:cs="Arial"/>
              </w:rPr>
            </w:pPr>
            <w:r w:rsidRPr="005D59B9">
              <w:rPr>
                <w:rFonts w:ascii="Arial" w:hAnsi="Arial" w:cs="Arial"/>
              </w:rPr>
              <w:t>N/A</w:t>
            </w:r>
          </w:p>
        </w:tc>
        <w:tc>
          <w:tcPr>
            <w:tcW w:w="1338" w:type="dxa"/>
          </w:tcPr>
          <w:p w14:paraId="3E641695" w14:textId="77777777" w:rsidR="0030623E" w:rsidRPr="005D59B9" w:rsidRDefault="0030623E" w:rsidP="006D516B">
            <w:pPr>
              <w:jc w:val="both"/>
              <w:rPr>
                <w:rFonts w:ascii="Arial" w:hAnsi="Arial" w:cs="Arial"/>
              </w:rPr>
            </w:pPr>
            <w:r w:rsidRPr="005D59B9">
              <w:rPr>
                <w:rFonts w:ascii="Arial" w:hAnsi="Arial" w:cs="Arial"/>
              </w:rPr>
              <w:t>No change</w:t>
            </w:r>
          </w:p>
        </w:tc>
        <w:tc>
          <w:tcPr>
            <w:tcW w:w="1096" w:type="dxa"/>
          </w:tcPr>
          <w:p w14:paraId="20C33855" w14:textId="77777777" w:rsidR="0030623E" w:rsidRPr="005D59B9" w:rsidRDefault="0030623E" w:rsidP="006D516B">
            <w:pPr>
              <w:jc w:val="both"/>
              <w:rPr>
                <w:rFonts w:ascii="Arial" w:hAnsi="Arial" w:cs="Arial"/>
              </w:rPr>
            </w:pPr>
            <w:r w:rsidRPr="005D59B9">
              <w:rPr>
                <w:rFonts w:ascii="Arial" w:hAnsi="Arial" w:cs="Arial"/>
              </w:rPr>
              <w:t>No change</w:t>
            </w:r>
          </w:p>
        </w:tc>
        <w:tc>
          <w:tcPr>
            <w:tcW w:w="1338" w:type="dxa"/>
          </w:tcPr>
          <w:p w14:paraId="7C54E56C" w14:textId="77777777" w:rsidR="0030623E" w:rsidRPr="005D59B9" w:rsidRDefault="0030623E" w:rsidP="006D516B">
            <w:pPr>
              <w:jc w:val="both"/>
              <w:rPr>
                <w:rFonts w:ascii="Arial" w:hAnsi="Arial" w:cs="Arial"/>
              </w:rPr>
            </w:pPr>
            <w:r w:rsidRPr="005D59B9">
              <w:rPr>
                <w:rFonts w:ascii="Arial" w:hAnsi="Arial" w:cs="Arial"/>
              </w:rPr>
              <w:t>No change</w:t>
            </w:r>
          </w:p>
        </w:tc>
        <w:tc>
          <w:tcPr>
            <w:tcW w:w="1096" w:type="dxa"/>
          </w:tcPr>
          <w:p w14:paraId="5FF26A8D" w14:textId="77777777" w:rsidR="0030623E" w:rsidRPr="005D59B9" w:rsidRDefault="0030623E" w:rsidP="006D516B">
            <w:pPr>
              <w:jc w:val="both"/>
              <w:rPr>
                <w:rFonts w:ascii="Arial" w:hAnsi="Arial" w:cs="Arial"/>
              </w:rPr>
            </w:pPr>
            <w:r w:rsidRPr="005D59B9">
              <w:rPr>
                <w:rFonts w:ascii="Arial" w:hAnsi="Arial" w:cs="Arial"/>
              </w:rPr>
              <w:t>N/A</w:t>
            </w:r>
          </w:p>
        </w:tc>
        <w:tc>
          <w:tcPr>
            <w:tcW w:w="1119" w:type="dxa"/>
          </w:tcPr>
          <w:p w14:paraId="71EE890C" w14:textId="77777777" w:rsidR="0030623E" w:rsidRPr="005D59B9" w:rsidRDefault="0030623E" w:rsidP="006D516B">
            <w:pPr>
              <w:jc w:val="both"/>
              <w:rPr>
                <w:rFonts w:ascii="Arial" w:hAnsi="Arial" w:cs="Arial"/>
              </w:rPr>
            </w:pPr>
            <w:r w:rsidRPr="005D59B9">
              <w:rPr>
                <w:rFonts w:ascii="Arial" w:hAnsi="Arial" w:cs="Arial"/>
                <w:i/>
                <w:iCs/>
              </w:rPr>
              <w:t>not available</w:t>
            </w:r>
          </w:p>
        </w:tc>
      </w:tr>
      <w:tr w:rsidR="0030623E" w:rsidRPr="005D59B9" w14:paraId="25020B67" w14:textId="77777777" w:rsidTr="006D516B">
        <w:trPr>
          <w:trHeight w:val="782"/>
        </w:trPr>
        <w:tc>
          <w:tcPr>
            <w:tcW w:w="1743" w:type="dxa"/>
          </w:tcPr>
          <w:p w14:paraId="675BBD17" w14:textId="77777777" w:rsidR="0030623E" w:rsidRPr="005D59B9" w:rsidRDefault="0030623E" w:rsidP="006D516B">
            <w:pPr>
              <w:jc w:val="both"/>
              <w:rPr>
                <w:rFonts w:ascii="Arial" w:hAnsi="Arial" w:cs="Arial"/>
              </w:rPr>
            </w:pPr>
            <w:r w:rsidRPr="005D59B9">
              <w:rPr>
                <w:rFonts w:ascii="Arial" w:hAnsi="Arial" w:cs="Arial"/>
              </w:rPr>
              <w:t>%Ki67+ cells/total cells per crypt</w:t>
            </w:r>
          </w:p>
        </w:tc>
        <w:tc>
          <w:tcPr>
            <w:tcW w:w="1096" w:type="dxa"/>
          </w:tcPr>
          <w:p w14:paraId="45720D19" w14:textId="77777777" w:rsidR="0030623E" w:rsidRPr="005D59B9" w:rsidRDefault="0030623E" w:rsidP="006D516B">
            <w:pPr>
              <w:jc w:val="both"/>
              <w:rPr>
                <w:rFonts w:ascii="Arial" w:hAnsi="Arial" w:cs="Arial"/>
              </w:rPr>
            </w:pPr>
            <w:r w:rsidRPr="005D59B9">
              <w:rPr>
                <w:rFonts w:ascii="Arial" w:hAnsi="Arial" w:cs="Arial"/>
              </w:rPr>
              <w:t>90% decrease</w:t>
            </w:r>
          </w:p>
        </w:tc>
        <w:tc>
          <w:tcPr>
            <w:tcW w:w="1338" w:type="dxa"/>
          </w:tcPr>
          <w:p w14:paraId="436D4795" w14:textId="77777777" w:rsidR="0030623E" w:rsidRPr="005D59B9" w:rsidRDefault="0030623E" w:rsidP="006D516B">
            <w:pPr>
              <w:jc w:val="both"/>
              <w:rPr>
                <w:rFonts w:ascii="Arial" w:hAnsi="Arial" w:cs="Arial"/>
              </w:rPr>
            </w:pPr>
            <w:r w:rsidRPr="005D59B9">
              <w:rPr>
                <w:rFonts w:ascii="Arial" w:hAnsi="Arial" w:cs="Arial"/>
              </w:rPr>
              <w:t>70% decrease</w:t>
            </w:r>
          </w:p>
        </w:tc>
        <w:tc>
          <w:tcPr>
            <w:tcW w:w="1096" w:type="dxa"/>
          </w:tcPr>
          <w:p w14:paraId="525FEE41" w14:textId="77777777" w:rsidR="0030623E" w:rsidRPr="005D59B9" w:rsidRDefault="0030623E" w:rsidP="006D516B">
            <w:pPr>
              <w:jc w:val="both"/>
              <w:rPr>
                <w:rFonts w:ascii="Arial" w:hAnsi="Arial" w:cs="Arial"/>
              </w:rPr>
            </w:pPr>
            <w:r w:rsidRPr="005D59B9">
              <w:rPr>
                <w:rFonts w:ascii="Arial" w:hAnsi="Arial" w:cs="Arial"/>
              </w:rPr>
              <w:t>20% decrease</w:t>
            </w:r>
          </w:p>
        </w:tc>
        <w:tc>
          <w:tcPr>
            <w:tcW w:w="1338" w:type="dxa"/>
          </w:tcPr>
          <w:p w14:paraId="45440642" w14:textId="77777777" w:rsidR="0030623E" w:rsidRPr="005D59B9" w:rsidRDefault="0030623E" w:rsidP="006D516B">
            <w:pPr>
              <w:jc w:val="both"/>
              <w:rPr>
                <w:rFonts w:ascii="Arial" w:hAnsi="Arial" w:cs="Arial"/>
              </w:rPr>
            </w:pPr>
            <w:r w:rsidRPr="005D59B9">
              <w:rPr>
                <w:rFonts w:ascii="Arial" w:hAnsi="Arial" w:cs="Arial"/>
              </w:rPr>
              <w:t>10% decrease</w:t>
            </w:r>
          </w:p>
        </w:tc>
        <w:tc>
          <w:tcPr>
            <w:tcW w:w="1096" w:type="dxa"/>
          </w:tcPr>
          <w:p w14:paraId="5DB0F93A" w14:textId="77777777" w:rsidR="0030623E" w:rsidRPr="005D59B9" w:rsidRDefault="0030623E" w:rsidP="006D516B">
            <w:pPr>
              <w:jc w:val="both"/>
              <w:rPr>
                <w:rFonts w:ascii="Arial" w:hAnsi="Arial" w:cs="Arial"/>
                <w:sz w:val="16"/>
                <w:szCs w:val="16"/>
              </w:rPr>
            </w:pPr>
            <w:r w:rsidRPr="005D59B9">
              <w:rPr>
                <w:rFonts w:ascii="Arial" w:hAnsi="Arial" w:cs="Arial"/>
                <w:i/>
                <w:iCs/>
              </w:rPr>
              <w:t>not available</w:t>
            </w:r>
          </w:p>
        </w:tc>
        <w:tc>
          <w:tcPr>
            <w:tcW w:w="1119" w:type="dxa"/>
          </w:tcPr>
          <w:p w14:paraId="69560B72" w14:textId="77777777" w:rsidR="0030623E" w:rsidRPr="005D59B9" w:rsidRDefault="0030623E" w:rsidP="006D516B">
            <w:pPr>
              <w:jc w:val="both"/>
              <w:rPr>
                <w:rFonts w:ascii="Arial" w:hAnsi="Arial" w:cs="Arial"/>
                <w:sz w:val="16"/>
                <w:szCs w:val="16"/>
              </w:rPr>
            </w:pPr>
            <w:r w:rsidRPr="005D59B9">
              <w:rPr>
                <w:rFonts w:ascii="Arial" w:hAnsi="Arial" w:cs="Arial"/>
                <w:i/>
                <w:iCs/>
              </w:rPr>
              <w:t>not available</w:t>
            </w:r>
          </w:p>
        </w:tc>
      </w:tr>
      <w:tr w:rsidR="0030623E" w:rsidRPr="005D59B9" w14:paraId="0E10627A" w14:textId="77777777" w:rsidTr="006D516B">
        <w:trPr>
          <w:trHeight w:val="722"/>
        </w:trPr>
        <w:tc>
          <w:tcPr>
            <w:tcW w:w="1743" w:type="dxa"/>
          </w:tcPr>
          <w:p w14:paraId="5A7C32FA" w14:textId="77777777" w:rsidR="0030623E" w:rsidRPr="005D59B9" w:rsidRDefault="0030623E" w:rsidP="006D516B">
            <w:pPr>
              <w:jc w:val="both"/>
              <w:rPr>
                <w:rFonts w:ascii="Arial" w:hAnsi="Arial" w:cs="Arial"/>
              </w:rPr>
            </w:pPr>
            <w:r w:rsidRPr="005D59B9">
              <w:rPr>
                <w:rFonts w:ascii="Arial" w:hAnsi="Arial" w:cs="Arial"/>
              </w:rPr>
              <w:t>% of crypt with EdU+ cells</w:t>
            </w:r>
          </w:p>
        </w:tc>
        <w:tc>
          <w:tcPr>
            <w:tcW w:w="1096" w:type="dxa"/>
          </w:tcPr>
          <w:p w14:paraId="69BC8260" w14:textId="77777777" w:rsidR="0030623E" w:rsidRPr="005D59B9" w:rsidRDefault="0030623E" w:rsidP="006D516B">
            <w:pPr>
              <w:jc w:val="both"/>
              <w:rPr>
                <w:rFonts w:ascii="Arial" w:hAnsi="Arial" w:cs="Arial"/>
              </w:rPr>
            </w:pPr>
            <w:r w:rsidRPr="005D59B9">
              <w:rPr>
                <w:rFonts w:ascii="Arial" w:hAnsi="Arial" w:cs="Arial"/>
              </w:rPr>
              <w:t>N/A</w:t>
            </w:r>
          </w:p>
        </w:tc>
        <w:tc>
          <w:tcPr>
            <w:tcW w:w="1338" w:type="dxa"/>
          </w:tcPr>
          <w:p w14:paraId="7FE289BE" w14:textId="77777777" w:rsidR="0030623E" w:rsidRPr="005D59B9" w:rsidRDefault="0030623E" w:rsidP="006D516B">
            <w:pPr>
              <w:jc w:val="both"/>
              <w:rPr>
                <w:rFonts w:ascii="Arial" w:hAnsi="Arial" w:cs="Arial"/>
              </w:rPr>
            </w:pPr>
            <w:r w:rsidRPr="005D59B9">
              <w:rPr>
                <w:rFonts w:ascii="Arial" w:hAnsi="Arial" w:cs="Arial"/>
              </w:rPr>
              <w:t>N/A</w:t>
            </w:r>
          </w:p>
        </w:tc>
        <w:tc>
          <w:tcPr>
            <w:tcW w:w="1096" w:type="dxa"/>
          </w:tcPr>
          <w:p w14:paraId="30CB3B4E" w14:textId="77777777" w:rsidR="0030623E" w:rsidRPr="005D59B9" w:rsidRDefault="0030623E" w:rsidP="006D516B">
            <w:pPr>
              <w:jc w:val="both"/>
              <w:rPr>
                <w:rFonts w:ascii="Arial" w:hAnsi="Arial" w:cs="Arial"/>
              </w:rPr>
            </w:pPr>
            <w:r w:rsidRPr="005D59B9">
              <w:rPr>
                <w:rFonts w:ascii="Arial" w:hAnsi="Arial" w:cs="Arial"/>
              </w:rPr>
              <w:t>N/A</w:t>
            </w:r>
          </w:p>
        </w:tc>
        <w:tc>
          <w:tcPr>
            <w:tcW w:w="1338" w:type="dxa"/>
          </w:tcPr>
          <w:p w14:paraId="7FAEEDC8" w14:textId="77777777" w:rsidR="0030623E" w:rsidRPr="005D59B9" w:rsidRDefault="0030623E" w:rsidP="006D516B">
            <w:pPr>
              <w:jc w:val="both"/>
              <w:rPr>
                <w:rFonts w:ascii="Arial" w:hAnsi="Arial" w:cs="Arial"/>
              </w:rPr>
            </w:pPr>
            <w:r w:rsidRPr="005D59B9">
              <w:rPr>
                <w:rFonts w:ascii="Arial" w:hAnsi="Arial" w:cs="Arial"/>
              </w:rPr>
              <w:t>N/A</w:t>
            </w:r>
          </w:p>
        </w:tc>
        <w:tc>
          <w:tcPr>
            <w:tcW w:w="1096" w:type="dxa"/>
          </w:tcPr>
          <w:p w14:paraId="74E518AD" w14:textId="77777777" w:rsidR="0030623E" w:rsidRPr="005D59B9" w:rsidRDefault="0030623E" w:rsidP="006D516B">
            <w:pPr>
              <w:jc w:val="both"/>
              <w:rPr>
                <w:rFonts w:ascii="Arial" w:hAnsi="Arial" w:cs="Arial"/>
              </w:rPr>
            </w:pPr>
            <w:r w:rsidRPr="005D59B9">
              <w:rPr>
                <w:rFonts w:ascii="Arial" w:hAnsi="Arial" w:cs="Arial"/>
              </w:rPr>
              <w:t xml:space="preserve">90% decrease </w:t>
            </w:r>
          </w:p>
        </w:tc>
        <w:tc>
          <w:tcPr>
            <w:tcW w:w="1119" w:type="dxa"/>
          </w:tcPr>
          <w:p w14:paraId="13F08AFA" w14:textId="77777777" w:rsidR="0030623E" w:rsidRPr="005D59B9" w:rsidRDefault="0030623E" w:rsidP="006D516B">
            <w:pPr>
              <w:jc w:val="both"/>
              <w:rPr>
                <w:rFonts w:ascii="Arial" w:hAnsi="Arial" w:cs="Arial"/>
                <w:sz w:val="16"/>
                <w:szCs w:val="16"/>
              </w:rPr>
            </w:pPr>
            <w:r w:rsidRPr="005D59B9">
              <w:rPr>
                <w:rFonts w:ascii="Arial" w:hAnsi="Arial" w:cs="Arial"/>
              </w:rPr>
              <w:t>35% decrease</w:t>
            </w:r>
          </w:p>
        </w:tc>
      </w:tr>
      <w:tr w:rsidR="0030623E" w:rsidRPr="005D59B9" w14:paraId="6C809460" w14:textId="77777777" w:rsidTr="006D516B">
        <w:trPr>
          <w:trHeight w:val="926"/>
        </w:trPr>
        <w:tc>
          <w:tcPr>
            <w:tcW w:w="1743" w:type="dxa"/>
          </w:tcPr>
          <w:p w14:paraId="259EAB01" w14:textId="77777777" w:rsidR="0030623E" w:rsidRPr="005D59B9" w:rsidRDefault="0030623E" w:rsidP="006D516B">
            <w:pPr>
              <w:jc w:val="both"/>
              <w:rPr>
                <w:rFonts w:ascii="Arial" w:hAnsi="Arial" w:cs="Arial"/>
              </w:rPr>
            </w:pPr>
            <w:r w:rsidRPr="005D59B9">
              <w:rPr>
                <w:rFonts w:ascii="Arial" w:hAnsi="Arial" w:cs="Arial"/>
              </w:rPr>
              <w:t xml:space="preserve">Recovery of </w:t>
            </w:r>
            <w:r w:rsidRPr="00951C1D">
              <w:rPr>
                <w:rFonts w:ascii="Arial" w:hAnsi="Arial" w:cs="Arial"/>
                <w:i/>
                <w:iCs/>
              </w:rPr>
              <w:t>Lgr5</w:t>
            </w:r>
            <w:r w:rsidRPr="005D59B9">
              <w:rPr>
                <w:rFonts w:ascii="Arial" w:hAnsi="Arial" w:cs="Arial"/>
              </w:rPr>
              <w:t>+</w:t>
            </w:r>
          </w:p>
        </w:tc>
        <w:tc>
          <w:tcPr>
            <w:tcW w:w="1096" w:type="dxa"/>
          </w:tcPr>
          <w:p w14:paraId="5313002E" w14:textId="77777777" w:rsidR="0030623E" w:rsidRPr="005D59B9" w:rsidRDefault="0030623E" w:rsidP="006D516B">
            <w:pPr>
              <w:jc w:val="both"/>
              <w:rPr>
                <w:rFonts w:ascii="Arial" w:hAnsi="Arial" w:cs="Arial"/>
              </w:rPr>
            </w:pPr>
            <w:r w:rsidRPr="005D59B9">
              <w:rPr>
                <w:rFonts w:ascii="Arial" w:hAnsi="Arial" w:cs="Arial"/>
              </w:rPr>
              <w:t>5 days</w:t>
            </w:r>
          </w:p>
        </w:tc>
        <w:tc>
          <w:tcPr>
            <w:tcW w:w="1338" w:type="dxa"/>
          </w:tcPr>
          <w:p w14:paraId="1AFAD51B" w14:textId="77777777" w:rsidR="0030623E" w:rsidRPr="005D59B9" w:rsidRDefault="0030623E" w:rsidP="006D516B">
            <w:pPr>
              <w:jc w:val="both"/>
              <w:rPr>
                <w:rFonts w:ascii="Arial" w:hAnsi="Arial" w:cs="Arial"/>
              </w:rPr>
            </w:pPr>
            <w:r w:rsidRPr="005D59B9">
              <w:rPr>
                <w:rFonts w:ascii="Arial" w:hAnsi="Arial" w:cs="Arial"/>
              </w:rPr>
              <w:t>3 days</w:t>
            </w:r>
          </w:p>
        </w:tc>
        <w:tc>
          <w:tcPr>
            <w:tcW w:w="1096" w:type="dxa"/>
          </w:tcPr>
          <w:p w14:paraId="23CE31F8" w14:textId="77777777" w:rsidR="0030623E" w:rsidRPr="005D59B9" w:rsidRDefault="0030623E" w:rsidP="006D516B">
            <w:pPr>
              <w:jc w:val="both"/>
              <w:rPr>
                <w:rFonts w:ascii="Arial" w:hAnsi="Arial" w:cs="Arial"/>
              </w:rPr>
            </w:pPr>
            <w:r w:rsidRPr="005D59B9">
              <w:rPr>
                <w:rFonts w:ascii="Arial" w:hAnsi="Arial" w:cs="Arial"/>
              </w:rPr>
              <w:t>N/A</w:t>
            </w:r>
          </w:p>
        </w:tc>
        <w:tc>
          <w:tcPr>
            <w:tcW w:w="1338" w:type="dxa"/>
          </w:tcPr>
          <w:p w14:paraId="385FC3AC" w14:textId="77777777" w:rsidR="0030623E" w:rsidRPr="005D59B9" w:rsidRDefault="0030623E" w:rsidP="006D516B">
            <w:pPr>
              <w:jc w:val="both"/>
              <w:rPr>
                <w:rFonts w:ascii="Arial" w:hAnsi="Arial" w:cs="Arial"/>
              </w:rPr>
            </w:pPr>
            <w:r w:rsidRPr="005D59B9">
              <w:rPr>
                <w:rFonts w:ascii="Arial" w:hAnsi="Arial" w:cs="Arial"/>
              </w:rPr>
              <w:t>N/A</w:t>
            </w:r>
          </w:p>
        </w:tc>
        <w:tc>
          <w:tcPr>
            <w:tcW w:w="1096" w:type="dxa"/>
          </w:tcPr>
          <w:p w14:paraId="4CE26963" w14:textId="77777777" w:rsidR="0030623E" w:rsidRPr="005D59B9" w:rsidRDefault="0030623E" w:rsidP="006D516B">
            <w:pPr>
              <w:jc w:val="both"/>
              <w:rPr>
                <w:rFonts w:ascii="Arial" w:hAnsi="Arial" w:cs="Arial"/>
              </w:rPr>
            </w:pPr>
            <w:r w:rsidRPr="005D59B9">
              <w:rPr>
                <w:rFonts w:ascii="Arial" w:hAnsi="Arial" w:cs="Arial"/>
              </w:rPr>
              <w:t>6 days</w:t>
            </w:r>
          </w:p>
        </w:tc>
        <w:tc>
          <w:tcPr>
            <w:tcW w:w="1119" w:type="dxa"/>
          </w:tcPr>
          <w:p w14:paraId="24F1D4E1" w14:textId="77777777" w:rsidR="0030623E" w:rsidRPr="005D59B9" w:rsidRDefault="0030623E" w:rsidP="006D516B">
            <w:pPr>
              <w:jc w:val="both"/>
              <w:rPr>
                <w:rFonts w:ascii="Arial" w:hAnsi="Arial" w:cs="Arial"/>
              </w:rPr>
            </w:pPr>
            <w:r w:rsidRPr="005D59B9">
              <w:rPr>
                <w:rFonts w:ascii="Arial" w:hAnsi="Arial" w:cs="Arial"/>
                <w:i/>
                <w:iCs/>
              </w:rPr>
              <w:t>not available</w:t>
            </w:r>
          </w:p>
        </w:tc>
      </w:tr>
    </w:tbl>
    <w:p w14:paraId="1BC92282" w14:textId="77777777" w:rsidR="0030623E" w:rsidRDefault="0030623E" w:rsidP="0030623E">
      <w:pPr>
        <w:jc w:val="both"/>
        <w:rPr>
          <w:rFonts w:ascii="Arial" w:hAnsi="Arial" w:cs="Arial"/>
          <w:sz w:val="22"/>
          <w:szCs w:val="28"/>
          <w:lang w:val="en-US"/>
        </w:rPr>
      </w:pPr>
      <w:r w:rsidRPr="005D59B9">
        <w:rPr>
          <w:rFonts w:ascii="Arial" w:hAnsi="Arial" w:cs="Arial"/>
          <w:sz w:val="22"/>
          <w:szCs w:val="28"/>
          <w:lang w:val="en-US"/>
        </w:rPr>
        <w:t>*all results shown for comparison between animals treated with 2.5% DSS vs untreated cont</w:t>
      </w:r>
      <w:r>
        <w:rPr>
          <w:rFonts w:ascii="Arial" w:hAnsi="Arial" w:cs="Arial"/>
          <w:sz w:val="22"/>
          <w:szCs w:val="28"/>
          <w:lang w:val="en-US"/>
        </w:rPr>
        <w:t>rol</w:t>
      </w:r>
    </w:p>
    <w:p w14:paraId="0E3DA3FB" w14:textId="77777777" w:rsidR="0030623E" w:rsidRDefault="0030623E" w:rsidP="0030623E">
      <w:pPr>
        <w:spacing w:line="360" w:lineRule="auto"/>
      </w:pPr>
    </w:p>
    <w:p w14:paraId="6DC883FC" w14:textId="77777777" w:rsidR="0030623E" w:rsidRPr="00FD22C5" w:rsidRDefault="0030623E" w:rsidP="0030623E">
      <w:pPr>
        <w:pStyle w:val="EndNoteBibliography"/>
        <w:ind w:left="720" w:hanging="720"/>
        <w:rPr>
          <w:noProof/>
        </w:rPr>
      </w:pPr>
      <w:r w:rsidRPr="00FD22C5">
        <w:rPr>
          <w:noProof/>
        </w:rPr>
        <w:t>79</w:t>
      </w:r>
      <w:r w:rsidRPr="00FD22C5">
        <w:rPr>
          <w:noProof/>
        </w:rPr>
        <w:tab/>
        <w:t xml:space="preserve">Matsuo, K., Ota, H., Akamatsu, T., Sugiyama, A. &amp; Katsuyama, T. Histochemistry of the surface mucous gel layer of the human colon. </w:t>
      </w:r>
      <w:r w:rsidRPr="00FD22C5">
        <w:rPr>
          <w:i/>
          <w:noProof/>
        </w:rPr>
        <w:t>Gut</w:t>
      </w:r>
      <w:r w:rsidRPr="00FD22C5">
        <w:rPr>
          <w:noProof/>
        </w:rPr>
        <w:t xml:space="preserve"> </w:t>
      </w:r>
      <w:r w:rsidRPr="00FD22C5">
        <w:rPr>
          <w:b/>
          <w:noProof/>
        </w:rPr>
        <w:t>40</w:t>
      </w:r>
      <w:r w:rsidRPr="00FD22C5">
        <w:rPr>
          <w:noProof/>
        </w:rPr>
        <w:t xml:space="preserve">, 782-789 (1997). </w:t>
      </w:r>
      <w:r w:rsidRPr="00C82DE8">
        <w:rPr>
          <w:noProof/>
        </w:rPr>
        <w:t>https://doi.org:10.1136/gut.40.6.782</w:t>
      </w:r>
    </w:p>
    <w:p w14:paraId="407C5667" w14:textId="77777777" w:rsidR="0030623E" w:rsidRPr="00FD22C5" w:rsidRDefault="0030623E" w:rsidP="0030623E">
      <w:pPr>
        <w:pStyle w:val="EndNoteBibliography"/>
        <w:ind w:left="720" w:hanging="720"/>
        <w:rPr>
          <w:noProof/>
        </w:rPr>
      </w:pPr>
      <w:r w:rsidRPr="00FD22C5">
        <w:rPr>
          <w:noProof/>
        </w:rPr>
        <w:lastRenderedPageBreak/>
        <w:t>80</w:t>
      </w:r>
      <w:r w:rsidRPr="00FD22C5">
        <w:rPr>
          <w:noProof/>
        </w:rPr>
        <w:tab/>
        <w:t>Lukonin, I.</w:t>
      </w:r>
      <w:r w:rsidRPr="00FD22C5">
        <w:rPr>
          <w:i/>
          <w:noProof/>
        </w:rPr>
        <w:t xml:space="preserve"> et al.</w:t>
      </w:r>
      <w:r w:rsidRPr="00FD22C5">
        <w:rPr>
          <w:noProof/>
        </w:rPr>
        <w:t xml:space="preserve"> Phenotypic landscape of intestinal organoid regeneration. </w:t>
      </w:r>
      <w:r w:rsidRPr="00FD22C5">
        <w:rPr>
          <w:i/>
          <w:noProof/>
        </w:rPr>
        <w:t>Nature</w:t>
      </w:r>
      <w:r w:rsidRPr="00FD22C5">
        <w:rPr>
          <w:noProof/>
        </w:rPr>
        <w:t xml:space="preserve"> </w:t>
      </w:r>
      <w:r w:rsidRPr="00FD22C5">
        <w:rPr>
          <w:b/>
          <w:noProof/>
        </w:rPr>
        <w:t>586</w:t>
      </w:r>
      <w:r w:rsidRPr="00FD22C5">
        <w:rPr>
          <w:noProof/>
        </w:rPr>
        <w:t xml:space="preserve">, 275-280 (2020). </w:t>
      </w:r>
      <w:r w:rsidRPr="00C82DE8">
        <w:rPr>
          <w:noProof/>
        </w:rPr>
        <w:t>https://doi.org:10.1038/s41586-020-2776-9</w:t>
      </w:r>
    </w:p>
    <w:p w14:paraId="7D0B90FF" w14:textId="77777777" w:rsidR="0030623E" w:rsidRPr="00FD22C5" w:rsidRDefault="0030623E" w:rsidP="0030623E">
      <w:pPr>
        <w:pStyle w:val="EndNoteBibliography"/>
        <w:ind w:left="720" w:hanging="720"/>
        <w:rPr>
          <w:noProof/>
        </w:rPr>
      </w:pPr>
      <w:r w:rsidRPr="00FD22C5">
        <w:rPr>
          <w:noProof/>
        </w:rPr>
        <w:t>81</w:t>
      </w:r>
      <w:r w:rsidRPr="00FD22C5">
        <w:rPr>
          <w:noProof/>
        </w:rPr>
        <w:tab/>
        <w:t>Chang, J.</w:t>
      </w:r>
      <w:r w:rsidRPr="00FD22C5">
        <w:rPr>
          <w:i/>
          <w:noProof/>
        </w:rPr>
        <w:t xml:space="preserve"> et al.</w:t>
      </w:r>
      <w:r w:rsidRPr="00FD22C5">
        <w:rPr>
          <w:noProof/>
        </w:rPr>
        <w:t xml:space="preserve"> Proteomic changes during intestinal cell maturation in vivo. </w:t>
      </w:r>
      <w:r w:rsidRPr="00FD22C5">
        <w:rPr>
          <w:i/>
          <w:noProof/>
        </w:rPr>
        <w:t>J Proteomics</w:t>
      </w:r>
      <w:r w:rsidRPr="00FD22C5">
        <w:rPr>
          <w:noProof/>
        </w:rPr>
        <w:t xml:space="preserve"> </w:t>
      </w:r>
      <w:r w:rsidRPr="00FD22C5">
        <w:rPr>
          <w:b/>
          <w:noProof/>
        </w:rPr>
        <w:t>71</w:t>
      </w:r>
      <w:r w:rsidRPr="00FD22C5">
        <w:rPr>
          <w:noProof/>
        </w:rPr>
        <w:t xml:space="preserve">, 530-546 (2008). </w:t>
      </w:r>
      <w:r w:rsidRPr="00C82DE8">
        <w:rPr>
          <w:noProof/>
        </w:rPr>
        <w:t>https://doi.org:10.1016/j.jprot.2008.08.003</w:t>
      </w:r>
    </w:p>
    <w:p w14:paraId="3FC66FD6" w14:textId="77777777" w:rsidR="0030623E" w:rsidRDefault="0030623E" w:rsidP="0030623E"/>
    <w:p w14:paraId="312AAB76" w14:textId="77777777" w:rsidR="00755780" w:rsidRDefault="00755780"/>
    <w:sectPr w:rsidR="00755780" w:rsidSect="00CC0A2E">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623E"/>
    <w:rsid w:val="0030623E"/>
    <w:rsid w:val="0075578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F8816A"/>
  <w15:chartTrackingRefBased/>
  <w15:docId w15:val="{B888F999-4FFB-4607-8201-A5D9129918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0623E"/>
    <w:pPr>
      <w:spacing w:after="0" w:line="240" w:lineRule="auto"/>
    </w:pPr>
    <w:rPr>
      <w:rFonts w:ascii="Times New Roman" w:hAnsi="Times New Roman" w:cs="Times New Roman"/>
      <w:sz w:val="24"/>
      <w:szCs w:val="24"/>
      <w:lang w:val="en-GB" w:eastAsia="en-GB"/>
    </w:rPr>
  </w:style>
  <w:style w:type="paragraph" w:styleId="Heading2">
    <w:name w:val="heading 2"/>
    <w:basedOn w:val="Normal"/>
    <w:next w:val="Normal"/>
    <w:link w:val="Heading2Char"/>
    <w:uiPriority w:val="9"/>
    <w:unhideWhenUsed/>
    <w:qFormat/>
    <w:rsid w:val="0030623E"/>
    <w:pPr>
      <w:keepNext/>
      <w:keepLines/>
      <w:spacing w:before="40"/>
      <w:outlineLvl w:val="1"/>
    </w:pPr>
    <w:rPr>
      <w:rFonts w:asciiTheme="majorHAnsi" w:eastAsiaTheme="majorEastAsia" w:hAnsiTheme="majorHAnsi" w:cstheme="majorBidi"/>
      <w:color w:val="2F5496" w:themeColor="accent1" w:themeShade="BF"/>
      <w:sz w:val="26"/>
      <w:szCs w:val="33"/>
      <w:lang w:eastAsia="en-US" w:bidi="b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30623E"/>
    <w:rPr>
      <w:rFonts w:asciiTheme="majorHAnsi" w:eastAsiaTheme="majorEastAsia" w:hAnsiTheme="majorHAnsi" w:cstheme="majorBidi"/>
      <w:color w:val="2F5496" w:themeColor="accent1" w:themeShade="BF"/>
      <w:sz w:val="26"/>
      <w:szCs w:val="33"/>
      <w:lang w:val="en-GB" w:bidi="bn-IN"/>
    </w:rPr>
  </w:style>
  <w:style w:type="paragraph" w:customStyle="1" w:styleId="EndNoteBibliography">
    <w:name w:val="EndNote Bibliography"/>
    <w:basedOn w:val="Normal"/>
    <w:link w:val="EndNoteBibliographyChar"/>
    <w:rsid w:val="0030623E"/>
  </w:style>
  <w:style w:type="character" w:customStyle="1" w:styleId="EndNoteBibliographyChar">
    <w:name w:val="EndNote Bibliography Char"/>
    <w:basedOn w:val="DefaultParagraphFont"/>
    <w:link w:val="EndNoteBibliography"/>
    <w:rsid w:val="0030623E"/>
    <w:rPr>
      <w:rFonts w:ascii="Times New Roman" w:hAnsi="Times New Roman" w:cs="Times New Roman"/>
      <w:sz w:val="24"/>
      <w:szCs w:val="24"/>
      <w:lang w:val="en-GB" w:eastAsia="en-GB"/>
    </w:rPr>
  </w:style>
  <w:style w:type="character" w:customStyle="1" w:styleId="apple-converted-space">
    <w:name w:val="apple-converted-space"/>
    <w:basedOn w:val="DefaultParagraphFont"/>
    <w:rsid w:val="0030623E"/>
  </w:style>
  <w:style w:type="character" w:customStyle="1" w:styleId="ui-provider">
    <w:name w:val="ui-provider"/>
    <w:basedOn w:val="DefaultParagraphFont"/>
    <w:rsid w:val="0030623E"/>
  </w:style>
  <w:style w:type="table" w:styleId="TableGrid">
    <w:name w:val="Table Grid"/>
    <w:basedOn w:val="TableNormal"/>
    <w:uiPriority w:val="39"/>
    <w:rsid w:val="0030623E"/>
    <w:pPr>
      <w:spacing w:after="0" w:line="240" w:lineRule="auto"/>
    </w:pPr>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30623E"/>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fontTable" Target="fontTable.xml"/><Relationship Id="rId5" Type="http://schemas.openxmlformats.org/officeDocument/2006/relationships/image" Target="media/image2.jpeg"/><Relationship Id="rId10" Type="http://schemas.openxmlformats.org/officeDocument/2006/relationships/image" Target="media/image7.jpeg"/><Relationship Id="rId4" Type="http://schemas.openxmlformats.org/officeDocument/2006/relationships/image" Target="media/image1.jpeg"/><Relationship Id="rId9" Type="http://schemas.openxmlformats.org/officeDocument/2006/relationships/image" Target="media/image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19</Pages>
  <Words>3316</Words>
  <Characters>18906</Characters>
  <Application>Microsoft Office Word</Application>
  <DocSecurity>0</DocSecurity>
  <Lines>157</Lines>
  <Paragraphs>44</Paragraphs>
  <ScaleCrop>false</ScaleCrop>
  <Company>Springer Nature</Company>
  <LinksUpToDate>false</LinksUpToDate>
  <CharactersWithSpaces>22178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2023-04-14T02:19:00Z</dcterms:created>
  <dcterms:modified xsi:type="dcterms:W3CDTF">2023-04-14T02:20:00Z</dcterms:modified>
</cp:coreProperties>
</file>