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Style w:val="10"/>
          <w:rFonts w:ascii="Times New Roman" w:hAnsi="Times New Roman" w:cs="Times New Roman"/>
          <w:b/>
          <w:bCs/>
          <w:szCs w:val="21"/>
        </w:rPr>
        <w:t>Tab S1. Physicochemical characteristics of sp-MSNs and MSNs (mean ± SD; n=3).</w:t>
      </w:r>
    </w:p>
    <w:tbl>
      <w:tblPr>
        <w:tblStyle w:val="7"/>
        <w:tblW w:w="5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70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sp-MSNs</w:t>
            </w:r>
          </w:p>
        </w:tc>
        <w:tc>
          <w:tcPr>
            <w:tcW w:w="184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MSNs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10"/>
                <w:rFonts w:ascii="Times New Roman" w:hAnsi="Times New Roman" w:cs="Times New Roman"/>
                <w:szCs w:val="21"/>
              </w:rPr>
              <w:t>Particle size</w:t>
            </w:r>
            <w:r>
              <w:rPr>
                <w:rFonts w:ascii="Times New Roman" w:hAnsi="Times New Roman" w:cs="Times New Roman"/>
                <w:szCs w:val="21"/>
              </w:rPr>
              <w:t xml:space="preserve"> (nm)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87.7 ± 0.2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92.4 ± 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PDI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0.146 ± 0.010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0.118 ± 0.118</w:t>
            </w:r>
          </w:p>
        </w:tc>
      </w:tr>
    </w:tbl>
    <w:p/>
    <w:p/>
    <w:p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Style w:val="10"/>
          <w:rFonts w:ascii="Times New Roman" w:hAnsi="Times New Roman" w:cs="Times New Roman"/>
          <w:b/>
          <w:bCs/>
          <w:szCs w:val="21"/>
        </w:rPr>
        <w:t>Tab S2. Pore structure parameters of sp-MSNs and MSNs.</w:t>
      </w:r>
    </w:p>
    <w:tbl>
      <w:tblPr>
        <w:tblStyle w:val="7"/>
        <w:tblW w:w="67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757"/>
        <w:gridCol w:w="1757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73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BET Surface Area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/g)</w:t>
            </w:r>
          </w:p>
        </w:tc>
        <w:tc>
          <w:tcPr>
            <w:tcW w:w="175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Pore Diameter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(nm)</w:t>
            </w:r>
          </w:p>
        </w:tc>
        <w:tc>
          <w:tcPr>
            <w:tcW w:w="175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Pore Volume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(cm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/g)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7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sp-MSNs</w:t>
            </w: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rial + FPEF" w:cs="Times New Roman"/>
                <w:szCs w:val="21"/>
              </w:rPr>
              <w:t>743.78</w:t>
            </w: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rial + FPEF" w:cs="Times New Roman"/>
                <w:szCs w:val="21"/>
              </w:rPr>
              <w:t>5.4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rial + FPEF" w:cs="Times New Roman"/>
                <w:szCs w:val="21"/>
              </w:rPr>
              <w:t>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473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MSNs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rial + FPEF" w:cs="Times New Roman"/>
                <w:szCs w:val="21"/>
              </w:rPr>
              <w:t>572.99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rial + FPEF" w:cs="Times New Roman"/>
                <w:szCs w:val="21"/>
              </w:rPr>
              <w:t>8.00</w:t>
            </w:r>
          </w:p>
        </w:tc>
        <w:tc>
          <w:tcPr>
            <w:tcW w:w="1757" w:type="dxa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rial + FPEF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</w:tbl>
    <w:p/>
    <w:p>
      <w:r>
        <w:rPr>
          <w:rFonts w:hint="eastAsia"/>
        </w:rPr>
        <w:drawing>
          <wp:inline distT="0" distB="0" distL="114300" distR="114300">
            <wp:extent cx="5269865" cy="2038985"/>
            <wp:effectExtent l="0" t="0" r="3175" b="3175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10"/>
          <w:rFonts w:hint="eastAsia"/>
          <w:b/>
          <w:bCs/>
          <w:szCs w:val="21"/>
        </w:rPr>
      </w:pPr>
      <w:r>
        <w:rPr>
          <w:rStyle w:val="10"/>
          <w:b/>
          <w:bCs/>
          <w:szCs w:val="21"/>
        </w:rPr>
        <w:t>Fig. S1 Transmission electron microscopy images of sp-MSNs (A) and MSNs (B).</w:t>
      </w:r>
    </w:p>
    <w:p>
      <w:pPr>
        <w:rPr>
          <w:rStyle w:val="10"/>
          <w:rFonts w:hint="eastAsia"/>
          <w:b/>
          <w:bCs/>
          <w:szCs w:val="21"/>
        </w:rPr>
      </w:pPr>
    </w:p>
    <w:p>
      <w:pPr>
        <w:rPr>
          <w:rStyle w:val="10"/>
          <w:rFonts w:hint="eastAsia" w:eastAsiaTheme="minorEastAsia"/>
          <w:b/>
          <w:bCs/>
          <w:szCs w:val="21"/>
          <w:lang w:eastAsia="zh-CN"/>
        </w:rPr>
      </w:pPr>
      <w:r>
        <w:rPr>
          <w:rStyle w:val="10"/>
          <w:rFonts w:hint="eastAsia" w:eastAsiaTheme="minorEastAsia"/>
          <w:b/>
          <w:bCs/>
          <w:szCs w:val="21"/>
          <w:lang w:eastAsia="zh-CN"/>
        </w:rPr>
        <w:drawing>
          <wp:inline distT="0" distB="0" distL="114300" distR="114300">
            <wp:extent cx="5269230" cy="4684395"/>
            <wp:effectExtent l="0" t="0" r="3810" b="9525"/>
            <wp:docPr id="4" name="图片 4" descr="F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68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10"/>
          <w:rFonts w:ascii="Times New Roman" w:hAnsi="Times New Roman" w:cs="Times New Roman"/>
          <w:b/>
          <w:bCs/>
          <w:szCs w:val="21"/>
          <w:highlight w:val="none"/>
        </w:rPr>
      </w:pPr>
      <w:r>
        <w:rPr>
          <w:rStyle w:val="10"/>
          <w:rFonts w:ascii="Times New Roman" w:hAnsi="Times New Roman" w:cs="Times New Roman"/>
          <w:b/>
          <w:bCs/>
          <w:szCs w:val="21"/>
          <w:highlight w:val="none"/>
        </w:rPr>
        <w:t>Fig. S2 The N</w:t>
      </w:r>
      <w:r>
        <w:rPr>
          <w:rStyle w:val="10"/>
          <w:rFonts w:ascii="Times New Roman" w:hAnsi="Times New Roman" w:cs="Times New Roman"/>
          <w:b/>
          <w:bCs/>
          <w:szCs w:val="21"/>
          <w:highlight w:val="none"/>
          <w:vertAlign w:val="subscript"/>
        </w:rPr>
        <w:t>2</w:t>
      </w:r>
      <w:r>
        <w:rPr>
          <w:rStyle w:val="10"/>
          <w:rFonts w:ascii="Times New Roman" w:hAnsi="Times New Roman" w:cs="Times New Roman"/>
          <w:b/>
          <w:bCs/>
          <w:szCs w:val="21"/>
          <w:highlight w:val="none"/>
        </w:rPr>
        <w:t xml:space="preserve"> adsorption/desorption isotherms of sp-MSNs (A) and MSNs (C), and the pore size distributions of sp-MSNs (B) and MSNs (D).</w:t>
      </w:r>
    </w:p>
    <w:p>
      <w:pPr>
        <w:rPr>
          <w:rStyle w:val="10"/>
          <w:rFonts w:ascii="Times New Roman" w:hAnsi="Times New Roman" w:cs="Times New Roman"/>
          <w:b/>
          <w:bCs/>
          <w:szCs w:val="21"/>
        </w:rPr>
      </w:pPr>
    </w:p>
    <w:p>
      <w:pPr>
        <w:jc w:val="center"/>
        <w:rPr>
          <w:rStyle w:val="10"/>
          <w:rFonts w:ascii="Times New Roman" w:hAnsi="Times New Roman" w:cs="Times New Roman"/>
          <w:b/>
          <w:bCs/>
          <w:szCs w:val="21"/>
        </w:rPr>
      </w:pPr>
      <w:r>
        <w:rPr>
          <w:rStyle w:val="10"/>
          <w:rFonts w:hint="eastAsia" w:ascii="Times New Roman" w:hAnsi="Times New Roman" w:cs="Times New Roman"/>
          <w:b/>
          <w:bCs/>
          <w:szCs w:val="21"/>
        </w:rPr>
        <w:drawing>
          <wp:inline distT="0" distB="0" distL="114300" distR="114300">
            <wp:extent cx="5019040" cy="2767330"/>
            <wp:effectExtent l="0" t="0" r="10160" b="6350"/>
            <wp:docPr id="11" name="图片 11" descr="F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10"/>
          <w:rFonts w:ascii="Times New Roman" w:hAnsi="Times New Roman"/>
          <w:b/>
          <w:bCs/>
          <w:szCs w:val="21"/>
        </w:rPr>
      </w:pPr>
      <w:r>
        <w:rPr>
          <w:rStyle w:val="10"/>
          <w:rFonts w:ascii="Times New Roman" w:hAnsi="Times New Roman" w:cs="Times New Roman"/>
          <w:b/>
          <w:bCs/>
          <w:szCs w:val="21"/>
        </w:rPr>
        <w:t>Fig. S</w:t>
      </w:r>
      <w:r>
        <w:rPr>
          <w:rStyle w:val="10"/>
          <w:rFonts w:hint="eastAsia" w:ascii="Times New Roman" w:hAnsi="Times New Roman" w:cs="Times New Roman"/>
          <w:b/>
          <w:bCs/>
          <w:szCs w:val="21"/>
        </w:rPr>
        <w:t>3</w:t>
      </w:r>
      <w:r>
        <w:rPr>
          <w:rStyle w:val="10"/>
          <w:rFonts w:ascii="Times New Roman" w:hAnsi="Times New Roman" w:cs="Times New Roman"/>
          <w:b/>
          <w:bCs/>
          <w:szCs w:val="21"/>
        </w:rPr>
        <w:t xml:space="preserve"> T</w:t>
      </w:r>
      <w:r>
        <w:rPr>
          <w:rStyle w:val="10"/>
          <w:rFonts w:ascii="Times New Roman" w:hAnsi="Times New Roman"/>
          <w:b/>
          <w:bCs/>
          <w:szCs w:val="21"/>
        </w:rPr>
        <w:t>he levodopa and curcumin release profiles of binary-drug loaded lf-protocells in neutral or acidic medium</w:t>
      </w:r>
      <w:r>
        <w:rPr>
          <w:rStyle w:val="10"/>
          <w:rFonts w:hint="eastAsia" w:ascii="Times New Roman" w:hAnsi="Times New Roman"/>
          <w:b/>
          <w:bCs/>
          <w:szCs w:val="21"/>
        </w:rPr>
        <w:t>.</w:t>
      </w:r>
    </w:p>
    <w:p>
      <w:pPr>
        <w:rPr>
          <w:rStyle w:val="10"/>
          <w:rFonts w:ascii="Times New Roman" w:hAnsi="Times New Roman"/>
          <w:b/>
          <w:bCs/>
          <w:szCs w:val="21"/>
        </w:rPr>
      </w:pPr>
    </w:p>
    <w:p>
      <w:pPr>
        <w:jc w:val="center"/>
        <w:rPr>
          <w:rStyle w:val="10"/>
          <w:rFonts w:hint="eastAsia" w:ascii="Times New Roman" w:hAnsi="Times New Roman" w:eastAsiaTheme="minorEastAsia"/>
          <w:b/>
          <w:bCs/>
          <w:szCs w:val="21"/>
          <w:lang w:eastAsia="zh-CN"/>
        </w:rPr>
      </w:pPr>
      <w:r>
        <w:rPr>
          <w:rStyle w:val="10"/>
          <w:rFonts w:hint="eastAsia" w:ascii="Times New Roman" w:hAnsi="Times New Roman" w:eastAsiaTheme="minorEastAsia"/>
          <w:b/>
          <w:bCs/>
          <w:szCs w:val="21"/>
          <w:lang w:eastAsia="zh-CN"/>
        </w:rPr>
        <w:drawing>
          <wp:inline distT="0" distB="0" distL="114300" distR="114300">
            <wp:extent cx="3600450" cy="4949825"/>
            <wp:effectExtent l="0" t="0" r="11430" b="3175"/>
            <wp:docPr id="7" name="图片 7" descr="F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494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b/>
          <w:bCs/>
          <w:szCs w:val="21"/>
          <w:highlight w:val="none"/>
        </w:rPr>
      </w:pPr>
      <w:r>
        <w:rPr>
          <w:rStyle w:val="10"/>
          <w:rFonts w:ascii="Times New Roman" w:hAnsi="Times New Roman" w:cs="Times New Roman"/>
          <w:b/>
          <w:bCs/>
          <w:szCs w:val="21"/>
          <w:highlight w:val="none"/>
        </w:rPr>
        <w:t xml:space="preserve">Fig. </w:t>
      </w:r>
      <w:r>
        <w:rPr>
          <w:rStyle w:val="10"/>
          <w:rFonts w:ascii="Times New Roman" w:hAnsi="Times New Roman" w:cs="Times New Roman"/>
          <w:b/>
          <w:bCs/>
          <w:highlight w:val="none"/>
        </w:rPr>
        <w:t>S</w:t>
      </w:r>
      <w:r>
        <w:rPr>
          <w:rStyle w:val="10"/>
          <w:rFonts w:hint="eastAsia" w:ascii="Times New Roman" w:hAnsi="Times New Roman" w:cs="Times New Roman"/>
          <w:b/>
          <w:bCs/>
          <w:highlight w:val="none"/>
        </w:rPr>
        <w:t>4</w:t>
      </w:r>
      <w:r>
        <w:rPr>
          <w:rStyle w:val="10"/>
          <w:rFonts w:ascii="Times New Roman" w:hAnsi="Times New Roman" w:cs="Times New Roman"/>
          <w:b/>
          <w:bCs/>
          <w:highlight w:val="none"/>
        </w:rPr>
        <w:t xml:space="preserve"> Hemolysis activity of MSNs, protocells, lf-protocells at different</w:t>
      </w:r>
      <w:r>
        <w:rPr>
          <w:rStyle w:val="10"/>
          <w:rFonts w:hint="eastAsia" w:ascii="Times New Roman" w:hAnsi="Times New Roman" w:cs="Times New Roman"/>
          <w:b/>
          <w:bCs/>
          <w:highlight w:val="none"/>
        </w:rPr>
        <w:t xml:space="preserve"> </w:t>
      </w:r>
      <w:r>
        <w:rPr>
          <w:rStyle w:val="10"/>
          <w:rFonts w:ascii="Times New Roman" w:hAnsi="Times New Roman" w:cs="Times New Roman"/>
          <w:b/>
          <w:bCs/>
          <w:highlight w:val="none"/>
        </w:rPr>
        <w:t>concentrations.</w:t>
      </w:r>
    </w:p>
    <w:p>
      <w:pPr>
        <w:rPr>
          <w:rStyle w:val="10"/>
          <w:rFonts w:ascii="Times New Roman" w:hAnsi="Times New Roman" w:cs="Times New Roman"/>
          <w:b/>
          <w:bCs/>
          <w:szCs w:val="21"/>
        </w:rPr>
      </w:pPr>
    </w:p>
    <w:p>
      <w:pPr>
        <w:jc w:val="center"/>
        <w:rPr>
          <w:rStyle w:val="10"/>
          <w:rFonts w:ascii="Times New Roman" w:hAnsi="Times New Roman" w:cs="Times New Roman"/>
          <w:b/>
          <w:bCs/>
          <w:szCs w:val="21"/>
        </w:rPr>
      </w:pPr>
    </w:p>
    <w:p>
      <w:pPr>
        <w:jc w:val="center"/>
        <w:rPr>
          <w:rStyle w:val="10"/>
          <w:rFonts w:ascii="Times New Roman" w:hAnsi="Times New Roman" w:cs="Times New Roman"/>
          <w:b/>
          <w:bCs/>
          <w:szCs w:val="21"/>
        </w:rPr>
      </w:pPr>
    </w:p>
    <w:p>
      <w:pPr>
        <w:jc w:val="center"/>
        <w:rPr>
          <w:rStyle w:val="10"/>
          <w:rFonts w:hint="eastAsia" w:ascii="Times New Roman" w:hAnsi="Times New Roman" w:cs="Times New Roman" w:eastAsiaTheme="minorEastAsia"/>
          <w:b/>
          <w:bCs/>
          <w:szCs w:val="21"/>
          <w:lang w:eastAsia="zh-CN"/>
        </w:rPr>
      </w:pPr>
      <w:r>
        <w:rPr>
          <w:rStyle w:val="10"/>
          <w:rFonts w:hint="eastAsia" w:ascii="Times New Roman" w:hAnsi="Times New Roman" w:cs="Times New Roman" w:eastAsiaTheme="minorEastAsia"/>
          <w:b/>
          <w:bCs/>
          <w:szCs w:val="21"/>
          <w:lang w:eastAsia="zh-CN"/>
        </w:rPr>
        <w:drawing>
          <wp:inline distT="0" distB="0" distL="114300" distR="114300">
            <wp:extent cx="3507740" cy="2008505"/>
            <wp:effectExtent l="0" t="0" r="12700" b="3175"/>
            <wp:docPr id="8" name="图片 8" descr="F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07740" cy="200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Style w:val="10"/>
          <w:rFonts w:hint="eastAsia"/>
          <w:b/>
          <w:bCs/>
          <w:szCs w:val="21"/>
          <w:highlight w:val="none"/>
        </w:rPr>
      </w:pPr>
      <w:bookmarkStart w:id="2" w:name="_GoBack"/>
      <w:r>
        <w:rPr>
          <w:rStyle w:val="10"/>
          <w:b/>
          <w:bCs/>
          <w:szCs w:val="21"/>
          <w:highlight w:val="none"/>
        </w:rPr>
        <w:t>Fig. S</w:t>
      </w:r>
      <w:r>
        <w:rPr>
          <w:rStyle w:val="10"/>
          <w:rFonts w:hint="eastAsia"/>
          <w:b/>
          <w:bCs/>
          <w:szCs w:val="21"/>
          <w:highlight w:val="none"/>
        </w:rPr>
        <w:t>5</w:t>
      </w:r>
      <w:r>
        <w:rPr>
          <w:rStyle w:val="10"/>
          <w:b/>
          <w:bCs/>
          <w:szCs w:val="21"/>
          <w:highlight w:val="none"/>
        </w:rPr>
        <w:t xml:space="preserve"> The cell viability of MSNs and lf-protocells at different concentrations.</w:t>
      </w:r>
    </w:p>
    <w:bookmarkEnd w:id="2"/>
    <w:p>
      <w:pPr>
        <w:rPr>
          <w:rStyle w:val="10"/>
          <w:rFonts w:hint="eastAsia"/>
          <w:b/>
          <w:bCs/>
          <w:szCs w:val="21"/>
        </w:rPr>
      </w:pPr>
    </w:p>
    <w:p>
      <w:pPr>
        <w:jc w:val="center"/>
        <w:rPr>
          <w:rStyle w:val="10"/>
          <w:rFonts w:hint="eastAsia"/>
          <w:b/>
          <w:bCs/>
          <w:szCs w:val="21"/>
        </w:rPr>
      </w:pPr>
      <w:r>
        <w:rPr>
          <w:rStyle w:val="10"/>
          <w:rFonts w:hint="eastAsia"/>
          <w:b/>
          <w:bCs/>
          <w:szCs w:val="21"/>
        </w:rPr>
        <w:drawing>
          <wp:inline distT="0" distB="0" distL="114300" distR="114300">
            <wp:extent cx="5269865" cy="1847850"/>
            <wp:effectExtent l="0" t="0" r="3175" b="11430"/>
            <wp:docPr id="6" name="图片 6" descr="F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bCs/>
          <w:szCs w:val="21"/>
        </w:rPr>
      </w:pPr>
      <w:bookmarkStart w:id="0" w:name="_Hlk14988096"/>
      <w:r>
        <w:rPr>
          <w:rFonts w:ascii="Times New Roman" w:hAnsi="Times New Roman" w:eastAsia="等线" w:cs="Times New Roman"/>
          <w:b/>
          <w:bCs/>
          <w:color w:val="000000"/>
          <w:sz w:val="22"/>
          <w:szCs w:val="21"/>
        </w:rPr>
        <w:t>Fig</w:t>
      </w:r>
      <w:r>
        <w:rPr>
          <w:rFonts w:hint="eastAsia" w:ascii="Times New Roman" w:hAnsi="Times New Roman" w:eastAsia="等线" w:cs="Times New Roman"/>
          <w:b/>
          <w:bCs/>
          <w:color w:val="000000"/>
          <w:sz w:val="22"/>
          <w:szCs w:val="21"/>
        </w:rPr>
        <w:t>.</w:t>
      </w:r>
      <w:r>
        <w:rPr>
          <w:rFonts w:ascii="Times New Roman" w:hAnsi="Times New Roman" w:eastAsia="等线" w:cs="Times New Roman"/>
          <w:b/>
          <w:bCs/>
          <w:color w:val="000000"/>
          <w:sz w:val="22"/>
          <w:szCs w:val="21"/>
        </w:rPr>
        <w:t xml:space="preserve"> S</w:t>
      </w:r>
      <w:r>
        <w:rPr>
          <w:rFonts w:hint="eastAsia" w:ascii="Times New Roman" w:hAnsi="Times New Roman" w:eastAsia="等线" w:cs="Times New Roman"/>
          <w:b/>
          <w:bCs/>
          <w:color w:val="000000"/>
          <w:sz w:val="22"/>
          <w:szCs w:val="21"/>
        </w:rPr>
        <w:t>6</w:t>
      </w:r>
      <w:r>
        <w:rPr>
          <w:rFonts w:ascii="Times New Roman" w:hAnsi="Times New Roman" w:eastAsia="等线" w:cs="Times New Roman"/>
          <w:b/>
          <w:bCs/>
          <w:color w:val="000000"/>
          <w:sz w:val="22"/>
          <w:szCs w:val="21"/>
        </w:rPr>
        <w:t xml:space="preserve"> The effects of rotenone induction on the expressions of apoptosis related proteins and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PD related proteins </w:t>
      </w:r>
      <w:r>
        <w:rPr>
          <w:rFonts w:ascii="Times New Roman" w:hAnsi="Times New Roman" w:eastAsia="等线" w:cs="Times New Roman"/>
          <w:b/>
          <w:bCs/>
          <w:color w:val="000000"/>
          <w:sz w:val="22"/>
          <w:szCs w:val="21"/>
        </w:rPr>
        <w:t xml:space="preserve">in SH-SY5Y cells </w:t>
      </w:r>
      <w:r>
        <w:rPr>
          <w:rFonts w:ascii="Times New Roman" w:hAnsi="Times New Roman" w:eastAsia="宋体" w:cs="Times New Roman"/>
          <w:b/>
          <w:bCs/>
          <w:szCs w:val="21"/>
        </w:rPr>
        <w:t>through western blot analysis.</w:t>
      </w: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Expression of apoptosis related proteins in rotenone group. (B) Expression of PD related proteins in rotenone group. </w:t>
      </w:r>
      <w:r>
        <w:rPr>
          <w:rFonts w:hint="eastAsia" w:ascii="Times New Roman" w:hAnsi="Times New Roman" w:eastAsia="宋体" w:cs="Times New Roman"/>
          <w:szCs w:val="21"/>
        </w:rPr>
        <w:t>T</w:t>
      </w:r>
      <w:r>
        <w:rPr>
          <w:rFonts w:ascii="Times New Roman" w:hAnsi="Times New Roman" w:eastAsia="宋体" w:cs="Times New Roman"/>
          <w:szCs w:val="21"/>
        </w:rPr>
        <w:t>he expression levels of Bax, C</w:t>
      </w:r>
      <w:r>
        <w:rPr>
          <w:rFonts w:hint="eastAsia" w:ascii="Times New Roman" w:hAnsi="Times New Roman" w:eastAsia="宋体" w:cs="Times New Roman"/>
          <w:szCs w:val="21"/>
        </w:rPr>
        <w:t xml:space="preserve">leaved </w:t>
      </w:r>
      <w:r>
        <w:rPr>
          <w:rFonts w:ascii="Times New Roman" w:hAnsi="Times New Roman" w:eastAsia="宋体" w:cs="Times New Roman"/>
          <w:szCs w:val="21"/>
        </w:rPr>
        <w:t>Caspase-3,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PARP</w:t>
      </w:r>
      <w:r>
        <w:rPr>
          <w:rFonts w:hint="eastAsia" w:ascii="Times New Roman" w:hAnsi="Times New Roman" w:eastAsia="宋体" w:cs="Times New Roman"/>
          <w:szCs w:val="21"/>
        </w:rPr>
        <w:t xml:space="preserve">, </w:t>
      </w:r>
      <w:r>
        <w:rPr>
          <w:rFonts w:ascii="Times New Roman" w:hAnsi="Times New Roman" w:eastAsia="等线" w:cs="Times New Roman"/>
          <w:szCs w:val="21"/>
        </w:rPr>
        <w:t>α</w:t>
      </w:r>
      <w:r>
        <w:rPr>
          <w:rFonts w:ascii="Times New Roman" w:hAnsi="Times New Roman" w:eastAsia="宋体" w:cs="Times New Roman"/>
          <w:szCs w:val="21"/>
        </w:rPr>
        <w:t>-syn</w:t>
      </w:r>
      <w:r>
        <w:rPr>
          <w:rFonts w:hint="eastAsia" w:ascii="Times New Roman" w:hAnsi="Times New Roman" w:eastAsia="宋体" w:cs="Times New Roman"/>
          <w:szCs w:val="21"/>
        </w:rPr>
        <w:t xml:space="preserve"> were</w:t>
      </w:r>
      <w:r>
        <w:rPr>
          <w:rFonts w:ascii="Times New Roman" w:hAnsi="Times New Roman" w:eastAsia="宋体" w:cs="Times New Roman"/>
          <w:szCs w:val="21"/>
        </w:rPr>
        <w:t xml:space="preserve"> increased</w:t>
      </w:r>
      <w:r>
        <w:rPr>
          <w:rFonts w:hint="eastAsia" w:ascii="Times New Roman" w:hAnsi="Times New Roman" w:eastAsia="宋体" w:cs="Times New Roman"/>
          <w:szCs w:val="21"/>
        </w:rPr>
        <w:t>,</w:t>
      </w:r>
      <w:r>
        <w:rPr>
          <w:rFonts w:ascii="Times New Roman" w:hAnsi="Times New Roman" w:eastAsia="宋体" w:cs="Times New Roman"/>
          <w:szCs w:val="21"/>
        </w:rPr>
        <w:t xml:space="preserve"> while the expression levels of Bcl-2, C</w:t>
      </w:r>
      <w:r>
        <w:rPr>
          <w:rFonts w:hint="eastAsia" w:ascii="Times New Roman" w:hAnsi="Times New Roman" w:eastAsia="宋体" w:cs="Times New Roman"/>
          <w:szCs w:val="21"/>
        </w:rPr>
        <w:t>aspase-3</w:t>
      </w:r>
      <w:r>
        <w:rPr>
          <w:rFonts w:ascii="Times New Roman" w:hAnsi="Times New Roman" w:eastAsia="宋体" w:cs="Times New Roman"/>
          <w:szCs w:val="21"/>
        </w:rPr>
        <w:t xml:space="preserve"> and </w:t>
      </w:r>
      <w:r>
        <w:rPr>
          <w:rFonts w:hint="eastAsia" w:ascii="Times New Roman" w:hAnsi="Times New Roman" w:eastAsia="宋体" w:cs="Times New Roman"/>
          <w:szCs w:val="21"/>
        </w:rPr>
        <w:t>T</w:t>
      </w:r>
      <w:r>
        <w:rPr>
          <w:rFonts w:ascii="Times New Roman" w:hAnsi="Times New Roman" w:eastAsia="宋体" w:cs="Times New Roman"/>
          <w:szCs w:val="21"/>
        </w:rPr>
        <w:t xml:space="preserve">H </w:t>
      </w:r>
      <w:r>
        <w:rPr>
          <w:rFonts w:hint="eastAsia" w:ascii="Times New Roman" w:hAnsi="Times New Roman" w:eastAsia="宋体" w:cs="Times New Roman"/>
          <w:szCs w:val="21"/>
        </w:rPr>
        <w:t>were</w:t>
      </w:r>
      <w:r>
        <w:rPr>
          <w:rFonts w:ascii="Times New Roman" w:hAnsi="Times New Roman" w:eastAsia="宋体" w:cs="Times New Roman"/>
          <w:szCs w:val="21"/>
        </w:rPr>
        <w:t xml:space="preserve"> significantly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decreased by the rotenone treatment compared with control.</w:t>
      </w:r>
    </w:p>
    <w:p>
      <w:pPr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eastAsia="宋体" w:cs="Times New Roman"/>
          <w:szCs w:val="21"/>
        </w:rPr>
      </w:pPr>
    </w:p>
    <w:p>
      <w:pPr>
        <w:jc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drawing>
          <wp:inline distT="0" distB="0" distL="114300" distR="114300">
            <wp:extent cx="3253105" cy="2347595"/>
            <wp:effectExtent l="0" t="0" r="8255" b="14605"/>
            <wp:docPr id="9" name="图片 9" descr="F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53105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10"/>
          <w:rFonts w:ascii="Times New Roman" w:hAnsi="Times New Roman"/>
          <w:b/>
          <w:bCs/>
          <w:szCs w:val="21"/>
        </w:rPr>
      </w:pPr>
      <w:r>
        <w:rPr>
          <w:rStyle w:val="10"/>
          <w:rFonts w:ascii="Times New Roman" w:hAnsi="Times New Roman"/>
          <w:b/>
          <w:bCs/>
          <w:szCs w:val="21"/>
        </w:rPr>
        <w:t>Fig. S7 Effects of drug loaded lf-protocells on Rot-induced cytotoxicity determined by MTT .</w:t>
      </w:r>
    </w:p>
    <w:p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Treatments with drug loaded lf-protocells protected against 4 μM Rot induced cellular toxicity in SH-SY5Y cells. (mean ± SD; n=3. </w:t>
      </w:r>
      <w:r>
        <w:rPr>
          <w:rStyle w:val="10"/>
          <w:rFonts w:ascii="Times New Roman" w:hAnsi="Times New Roman" w:cs="Times New Roman"/>
          <w:szCs w:val="21"/>
        </w:rPr>
        <w:t>*** P &lt; 0.001 compared with the 4μM Rot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Style w:val="10"/>
          <w:rFonts w:ascii="Times New Roman" w:hAnsi="Times New Roman" w:cs="Times New Roman"/>
          <w:szCs w:val="21"/>
        </w:rPr>
        <w:t xml:space="preserve">group. </w:t>
      </w:r>
      <w:r>
        <w:rPr>
          <w:rFonts w:ascii="Times New Roman" w:hAnsi="Times New Roman" w:eastAsia="宋体" w:cs="Times New Roman"/>
          <w:szCs w:val="21"/>
        </w:rPr>
        <w:t xml:space="preserve">** P &lt; 0.01 compared with the 4μM Rot group. # P &lt; 0.05 compared between two groups.) Cells were exposed for 24 h and cell viability was determined by MTT assay. </w:t>
      </w:r>
      <w:r>
        <w:rPr>
          <w:rFonts w:hint="eastAsia" w:ascii="Times New Roman" w:hAnsi="Times New Roman" w:eastAsia="宋体" w:cs="Times New Roman"/>
          <w:szCs w:val="21"/>
        </w:rPr>
        <w:t>Rot: rotenone; C: curcumin; L: levodopa; L/C: levodopa and curcumin; Lf-Pro: lf-protocells.</w:t>
      </w:r>
    </w:p>
    <w:p>
      <w:pPr>
        <w:rPr>
          <w:rStyle w:val="10"/>
          <w:rFonts w:ascii="Times New Roman" w:hAnsi="Times New Roman"/>
          <w:b/>
          <w:bCs/>
          <w:szCs w:val="21"/>
        </w:rPr>
      </w:pPr>
    </w:p>
    <w:p>
      <w:pPr>
        <w:jc w:val="center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drawing>
          <wp:inline distT="0" distB="0" distL="114300" distR="114300">
            <wp:extent cx="4525010" cy="2172970"/>
            <wp:effectExtent l="0" t="0" r="1270" b="6350"/>
            <wp:docPr id="10" name="图片 10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25010" cy="217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Style w:val="10"/>
          <w:rFonts w:ascii="Times New Roman" w:hAnsi="Times New Roman" w:cs="Times New Roman"/>
          <w:b/>
          <w:bCs/>
          <w:szCs w:val="21"/>
        </w:rPr>
      </w:pPr>
      <w:bookmarkStart w:id="1" w:name="_Hlk14988107"/>
      <w:r>
        <w:rPr>
          <w:rStyle w:val="10"/>
          <w:rFonts w:ascii="Times New Roman" w:hAnsi="Times New Roman" w:cs="Times New Roman"/>
          <w:b/>
          <w:bCs/>
          <w:szCs w:val="21"/>
        </w:rPr>
        <w:t>Fig. S</w:t>
      </w:r>
      <w:r>
        <w:rPr>
          <w:rStyle w:val="10"/>
          <w:rFonts w:hint="eastAsia" w:ascii="Times New Roman" w:hAnsi="Times New Roman" w:cs="Times New Roman"/>
          <w:b/>
          <w:bCs/>
          <w:szCs w:val="21"/>
        </w:rPr>
        <w:t>8</w:t>
      </w:r>
      <w:r>
        <w:rPr>
          <w:rStyle w:val="10"/>
          <w:rFonts w:ascii="Times New Roman" w:hAnsi="Times New Roman" w:cs="Times New Roman"/>
          <w:b/>
          <w:bCs/>
          <w:szCs w:val="21"/>
        </w:rPr>
        <w:t xml:space="preserve"> Ultra High Resolution Microscope images of bEnd.3 cells incubated with RBITC/Calcein-protocells or RBITC/Calcein-lf-protocells after 4 h incubation at 37 </w:t>
      </w:r>
      <w:r>
        <w:rPr>
          <w:rStyle w:val="10"/>
          <w:rFonts w:hint="eastAsia" w:ascii="宋体" w:hAnsi="宋体" w:eastAsia="宋体" w:cs="宋体"/>
          <w:b/>
          <w:bCs/>
          <w:szCs w:val="21"/>
        </w:rPr>
        <w:t>℃</w:t>
      </w:r>
      <w:r>
        <w:rPr>
          <w:rStyle w:val="10"/>
          <w:rFonts w:ascii="Times New Roman" w:hAnsi="Times New Roman" w:cs="Times New Roman"/>
          <w:b/>
          <w:bCs/>
          <w:szCs w:val="21"/>
        </w:rPr>
        <w:t>.</w:t>
      </w:r>
    </w:p>
    <w:bookmarkEnd w:id="1"/>
    <w:p>
      <w:pPr>
        <w:jc w:val="left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eastAsia="宋体" w:cs="Times New Roman"/>
          <w:szCs w:val="21"/>
        </w:rPr>
      </w:pPr>
    </w:p>
    <w:bookmarkEnd w:id="0"/>
    <w:p>
      <w:pPr>
        <w:jc w:val="center"/>
        <w:rPr>
          <w:rStyle w:val="10"/>
          <w:rFonts w:hint="eastAsia"/>
          <w:b/>
          <w:bCs/>
          <w:szCs w:val="21"/>
        </w:rPr>
      </w:pPr>
    </w:p>
    <w:p>
      <w:pPr>
        <w:jc w:val="center"/>
        <w:rPr>
          <w:rStyle w:val="10"/>
          <w:rFonts w:ascii="Times New Roman" w:hAnsi="Times New Roman" w:cs="Times New Roman"/>
          <w:b/>
          <w:bCs/>
          <w:szCs w:val="21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+ FPEF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3EE1AF"/>
    <w:multiLevelType w:val="singleLevel"/>
    <w:tmpl w:val="9E3EE1AF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C5E12"/>
    <w:rsid w:val="0002170E"/>
    <w:rsid w:val="00095B49"/>
    <w:rsid w:val="00140B26"/>
    <w:rsid w:val="001B07D9"/>
    <w:rsid w:val="001C7F29"/>
    <w:rsid w:val="003F407A"/>
    <w:rsid w:val="004305C0"/>
    <w:rsid w:val="007067C3"/>
    <w:rsid w:val="00957DF6"/>
    <w:rsid w:val="00B23A05"/>
    <w:rsid w:val="00BE77F2"/>
    <w:rsid w:val="00CF050D"/>
    <w:rsid w:val="00D14B9B"/>
    <w:rsid w:val="00ED4E9B"/>
    <w:rsid w:val="01CF0034"/>
    <w:rsid w:val="0D7742A3"/>
    <w:rsid w:val="1D883915"/>
    <w:rsid w:val="1FF1551C"/>
    <w:rsid w:val="254407A9"/>
    <w:rsid w:val="47501A11"/>
    <w:rsid w:val="50BC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link w:val="15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fontstyle01"/>
    <w:basedOn w:val="8"/>
    <w:qFormat/>
    <w:uiPriority w:val="0"/>
    <w:rPr>
      <w:rFonts w:hint="default" w:ascii="TimesNewRomanPSMT" w:hAnsi="TimesNewRomanPSMT"/>
      <w:color w:val="000000"/>
      <w:sz w:val="22"/>
      <w:szCs w:val="22"/>
    </w:rPr>
  </w:style>
  <w:style w:type="character" w:customStyle="1" w:styleId="11">
    <w:name w:val="页眉 字符"/>
    <w:basedOn w:val="8"/>
    <w:link w:val="5"/>
    <w:uiPriority w:val="0"/>
    <w:rPr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3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b/>
      <w:bCs/>
      <w:kern w:val="2"/>
      <w:sz w:val="21"/>
      <w:szCs w:val="24"/>
    </w:rPr>
  </w:style>
  <w:style w:type="character" w:customStyle="1" w:styleId="15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306</Words>
  <Characters>1749</Characters>
  <Lines>14</Lines>
  <Paragraphs>4</Paragraphs>
  <TotalTime>60</TotalTime>
  <ScaleCrop>false</ScaleCrop>
  <LinksUpToDate>false</LinksUpToDate>
  <CharactersWithSpaces>2051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2020-03-30T02:58:00Z</dcterms:created>
  <dc:creator>文凯 </dc:creator>
  <cp:lastModifiedBy>文凯 </cp:lastModifiedBy>
  <dcterms:modified xsi:type="dcterms:W3CDTF">2020-04-24T13:51:42Z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