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02C4C" w14:textId="77777777" w:rsidR="00E17221" w:rsidRPr="001B4E96" w:rsidRDefault="00E17221" w:rsidP="00E17221">
      <w:pPr>
        <w:spacing w:line="360" w:lineRule="auto"/>
        <w:jc w:val="both"/>
        <w:rPr>
          <w:rFonts w:ascii="Times New Roman" w:hAnsi="Times New Roman" w:cs="Times New Roman"/>
          <w:sz w:val="20"/>
          <w:szCs w:val="20"/>
        </w:rPr>
      </w:pPr>
      <w:r w:rsidRPr="001B4E96">
        <w:rPr>
          <w:rFonts w:ascii="Times New Roman" w:hAnsi="Times New Roman" w:cs="Times New Roman"/>
          <w:b/>
          <w:bCs/>
          <w:sz w:val="20"/>
          <w:szCs w:val="20"/>
        </w:rPr>
        <w:t>Fig. S1</w:t>
      </w:r>
      <w:r w:rsidRPr="001B4E96">
        <w:rPr>
          <w:rFonts w:ascii="Times New Roman" w:hAnsi="Times New Roman" w:cs="Times New Roman"/>
          <w:sz w:val="20"/>
          <w:szCs w:val="20"/>
        </w:rPr>
        <w:t xml:space="preserve"> Gel electrophoresis and DNA sequencing chromatogram (a) gel electrophoresis result under UV light using a gel documentation system: Left Lane: 2-log DNA ladder and right lane: the PCR amplification fragment of rbcL, (b) DNA sequencing chromatogram of rbcL gene</w:t>
      </w:r>
    </w:p>
    <w:p w14:paraId="7860510C" w14:textId="77777777" w:rsidR="00E17221" w:rsidRPr="001B4E96" w:rsidRDefault="00E17221" w:rsidP="00E17221">
      <w:pPr>
        <w:pStyle w:val="PIPSDMEL"/>
        <w:rPr>
          <w:sz w:val="20"/>
          <w:szCs w:val="18"/>
        </w:rPr>
      </w:pPr>
      <w:r w:rsidRPr="001B4E96">
        <w:rPr>
          <w:b/>
          <w:bCs/>
          <w:sz w:val="20"/>
          <w:szCs w:val="18"/>
        </w:rPr>
        <w:t>Fig. S2</w:t>
      </w:r>
      <w:r w:rsidRPr="001B4E96">
        <w:rPr>
          <w:sz w:val="20"/>
          <w:szCs w:val="18"/>
        </w:rPr>
        <w:t xml:space="preserve"> Schematic representation of extraction of </w:t>
      </w:r>
      <w:r w:rsidRPr="001B4E96">
        <w:rPr>
          <w:i/>
          <w:iCs/>
          <w:sz w:val="20"/>
          <w:szCs w:val="18"/>
        </w:rPr>
        <w:t>Piper longum</w:t>
      </w:r>
      <w:r w:rsidRPr="001B4E96">
        <w:rPr>
          <w:sz w:val="20"/>
          <w:szCs w:val="18"/>
        </w:rPr>
        <w:t xml:space="preserve"> fruits</w:t>
      </w:r>
    </w:p>
    <w:p w14:paraId="221239B7" w14:textId="77777777" w:rsidR="00E17221" w:rsidRPr="001B4E96" w:rsidRDefault="00E17221" w:rsidP="00E17221">
      <w:pPr>
        <w:jc w:val="both"/>
        <w:rPr>
          <w:rFonts w:ascii="Times New Roman" w:hAnsi="Times New Roman" w:cs="Times New Roman"/>
          <w:sz w:val="20"/>
          <w:szCs w:val="20"/>
        </w:rPr>
      </w:pPr>
      <w:r w:rsidRPr="001B4E96">
        <w:rPr>
          <w:rFonts w:ascii="Times New Roman" w:hAnsi="Times New Roman" w:cs="Times New Roman"/>
          <w:b/>
          <w:bCs/>
          <w:sz w:val="20"/>
          <w:szCs w:val="20"/>
        </w:rPr>
        <w:t>Fig. S3</w:t>
      </w:r>
      <w:r w:rsidRPr="001B4E96">
        <w:rPr>
          <w:rFonts w:ascii="Times New Roman" w:hAnsi="Times New Roman" w:cs="Times New Roman"/>
          <w:sz w:val="20"/>
          <w:szCs w:val="20"/>
        </w:rPr>
        <w:t xml:space="preserve"> GC-HS analysis for residual ethanol content (a) GC-HS-chromatogram of absolute ethanol with the retention time of 2.04 min and the inset image showing the calibration plot, (b) chromatogram of ethanol in the dried extract (PLFEE)</w:t>
      </w:r>
    </w:p>
    <w:p w14:paraId="303CDACD" w14:textId="77777777" w:rsidR="00E17221" w:rsidRPr="001B4E96" w:rsidRDefault="00E17221" w:rsidP="00E17221">
      <w:pPr>
        <w:spacing w:line="360" w:lineRule="auto"/>
        <w:jc w:val="both"/>
        <w:rPr>
          <w:rFonts w:ascii="Times New Roman" w:hAnsi="Times New Roman" w:cs="Times New Roman"/>
          <w:sz w:val="20"/>
          <w:szCs w:val="20"/>
        </w:rPr>
      </w:pPr>
      <w:r w:rsidRPr="001B4E96">
        <w:rPr>
          <w:rFonts w:ascii="Times New Roman" w:hAnsi="Times New Roman" w:cs="Times New Roman"/>
          <w:b/>
          <w:bCs/>
          <w:sz w:val="20"/>
          <w:szCs w:val="20"/>
        </w:rPr>
        <w:t>Fig. S4</w:t>
      </w:r>
      <w:r w:rsidRPr="001B4E96">
        <w:rPr>
          <w:rFonts w:ascii="Times New Roman" w:hAnsi="Times New Roman" w:cs="Times New Roman"/>
          <w:sz w:val="20"/>
          <w:szCs w:val="20"/>
        </w:rPr>
        <w:t xml:space="preserve"> </w:t>
      </w:r>
      <w:bookmarkStart w:id="0" w:name="_Hlk117808166"/>
      <w:r w:rsidRPr="001B4E96">
        <w:rPr>
          <w:rFonts w:ascii="Times New Roman" w:hAnsi="Times New Roman" w:cs="Times New Roman"/>
          <w:sz w:val="20"/>
          <w:szCs w:val="20"/>
        </w:rPr>
        <w:t>HPLC chromatograms and absorption spectra of</w:t>
      </w:r>
      <w:bookmarkEnd w:id="0"/>
      <w:r w:rsidRPr="001B4E96">
        <w:rPr>
          <w:rFonts w:ascii="Times New Roman" w:hAnsi="Times New Roman" w:cs="Times New Roman"/>
          <w:sz w:val="20"/>
          <w:szCs w:val="20"/>
        </w:rPr>
        <w:t xml:space="preserve"> PIP and PPLGN each of 28 µg/mL in mobile phase methanol and water (80:20 v/v) (a) Chromatogram of PIP (Rt = 7.087 ± 0.053 min) at wavelength 342 nm, (b) Chromatogram of PLGN (Rt = 6.413 ±</w:t>
      </w:r>
      <w:r w:rsidRPr="001B4E96">
        <w:rPr>
          <w:sz w:val="18"/>
          <w:szCs w:val="18"/>
        </w:rPr>
        <w:t xml:space="preserve"> </w:t>
      </w:r>
      <w:r w:rsidRPr="001B4E96">
        <w:rPr>
          <w:rFonts w:ascii="Times New Roman" w:hAnsi="Times New Roman" w:cs="Times New Roman"/>
          <w:sz w:val="20"/>
          <w:szCs w:val="20"/>
        </w:rPr>
        <w:t>0.014 min) at wavelength 340 nm, (c) spectrum of PIP showing the maximum absorbance at 342 nm, and (d) spectrum of PLGN showing the absorption maxima at 340 nm</w:t>
      </w:r>
    </w:p>
    <w:p w14:paraId="29A2C297" w14:textId="77777777" w:rsidR="00E17221" w:rsidRPr="001B4E96" w:rsidRDefault="00E17221" w:rsidP="00E17221">
      <w:pPr>
        <w:spacing w:line="360" w:lineRule="auto"/>
        <w:jc w:val="both"/>
        <w:rPr>
          <w:rFonts w:ascii="Times New Roman" w:hAnsi="Times New Roman" w:cs="Times New Roman"/>
          <w:sz w:val="20"/>
          <w:szCs w:val="20"/>
        </w:rPr>
      </w:pPr>
      <w:r w:rsidRPr="001B4E96">
        <w:rPr>
          <w:rFonts w:ascii="Times New Roman" w:hAnsi="Times New Roman" w:cs="Times New Roman"/>
          <w:b/>
          <w:bCs/>
          <w:sz w:val="20"/>
          <w:szCs w:val="20"/>
        </w:rPr>
        <w:t>Fig. S5</w:t>
      </w:r>
      <w:r w:rsidRPr="001B4E96">
        <w:rPr>
          <w:rFonts w:ascii="Times New Roman" w:hAnsi="Times New Roman" w:cs="Times New Roman"/>
          <w:sz w:val="20"/>
          <w:szCs w:val="20"/>
        </w:rPr>
        <w:t xml:space="preserve"> Two-dimensional (2-D) and three-dimensional (3-D) chromatograms of PIP and PLGN (a) 2-D contour chromatogram of PIP (b) 3-D chromatogram of PIP, (c) 2-D contour chromatogram of PLGN, and (d) 3-D chromatogram of PLGN</w:t>
      </w:r>
    </w:p>
    <w:p w14:paraId="640FE5B5" w14:textId="77777777" w:rsidR="00E17221" w:rsidRPr="001B4E96" w:rsidRDefault="00E17221" w:rsidP="00E17221">
      <w:pPr>
        <w:spacing w:line="360" w:lineRule="auto"/>
        <w:jc w:val="both"/>
        <w:rPr>
          <w:rFonts w:ascii="Times New Roman" w:hAnsi="Times New Roman" w:cs="Times New Roman"/>
        </w:rPr>
      </w:pPr>
      <w:r w:rsidRPr="001B4E96">
        <w:rPr>
          <w:rFonts w:ascii="Times New Roman" w:hAnsi="Times New Roman" w:cs="Times New Roman"/>
          <w:b/>
          <w:bCs/>
          <w:sz w:val="20"/>
          <w:szCs w:val="20"/>
        </w:rPr>
        <w:t>Fig. S6</w:t>
      </w:r>
      <w:r w:rsidRPr="001B4E96">
        <w:rPr>
          <w:rFonts w:ascii="Times New Roman" w:hAnsi="Times New Roman" w:cs="Times New Roman"/>
          <w:sz w:val="20"/>
          <w:szCs w:val="20"/>
        </w:rPr>
        <w:t xml:space="preserve"> HPLC-based calibration curves (a) calibration curve of PIP measured at wavelength 342 nm and (b) calibration curve of PLGN measured at wavelength 340 nm</w:t>
      </w:r>
    </w:p>
    <w:p w14:paraId="50EC3C33" w14:textId="77777777" w:rsidR="00E17221" w:rsidRPr="001B4E96" w:rsidRDefault="00E17221" w:rsidP="00E17221">
      <w:pPr>
        <w:spacing w:line="360" w:lineRule="auto"/>
        <w:jc w:val="both"/>
        <w:rPr>
          <w:rFonts w:ascii="Times New Roman" w:hAnsi="Times New Roman" w:cs="Times New Roman"/>
          <w:sz w:val="20"/>
          <w:szCs w:val="20"/>
        </w:rPr>
      </w:pPr>
      <w:bookmarkStart w:id="1" w:name="_Hlk84116965"/>
      <w:r w:rsidRPr="001B4E96">
        <w:rPr>
          <w:rFonts w:ascii="Times New Roman" w:hAnsi="Times New Roman" w:cs="Times New Roman"/>
          <w:b/>
          <w:bCs/>
          <w:sz w:val="20"/>
          <w:szCs w:val="20"/>
        </w:rPr>
        <w:t>Fig. S7</w:t>
      </w:r>
      <w:r w:rsidRPr="001B4E96">
        <w:rPr>
          <w:rFonts w:ascii="Times New Roman" w:hAnsi="Times New Roman" w:cs="Times New Roman"/>
          <w:sz w:val="20"/>
          <w:szCs w:val="20"/>
        </w:rPr>
        <w:t xml:space="preserve"> Purity curve </w:t>
      </w:r>
      <w:bookmarkEnd w:id="1"/>
      <w:r w:rsidRPr="001B4E96">
        <w:rPr>
          <w:rFonts w:ascii="Times New Roman" w:hAnsi="Times New Roman" w:cs="Times New Roman"/>
          <w:sz w:val="20"/>
          <w:szCs w:val="20"/>
        </w:rPr>
        <w:t xml:space="preserve">of PIP and PLGN (a) purity curve of PIP and (b) purity curve of PLGN </w:t>
      </w:r>
    </w:p>
    <w:p w14:paraId="11CE5C81" w14:textId="77777777" w:rsidR="00E17221" w:rsidRPr="001B4E96" w:rsidRDefault="00E17221" w:rsidP="00E17221">
      <w:pPr>
        <w:spacing w:line="360" w:lineRule="auto"/>
        <w:jc w:val="both"/>
        <w:rPr>
          <w:rFonts w:ascii="Times New Roman" w:hAnsi="Times New Roman" w:cs="Times New Roman"/>
          <w:sz w:val="20"/>
          <w:szCs w:val="20"/>
        </w:rPr>
      </w:pPr>
      <w:r w:rsidRPr="001B4E96">
        <w:rPr>
          <w:rFonts w:ascii="Times New Roman" w:hAnsi="Times New Roman" w:cs="Times New Roman"/>
          <w:b/>
          <w:bCs/>
          <w:sz w:val="20"/>
          <w:szCs w:val="20"/>
        </w:rPr>
        <w:t>Fig. S8</w:t>
      </w:r>
      <w:r w:rsidRPr="001B4E96">
        <w:rPr>
          <w:rFonts w:ascii="Times New Roman" w:hAnsi="Times New Roman" w:cs="Times New Roman"/>
          <w:sz w:val="20"/>
          <w:szCs w:val="20"/>
        </w:rPr>
        <w:t xml:space="preserve"> HPLC results of PLFEE 1mg/mL and 50µg/mL in mobile phase methanol and water (80:20 v/v) (a)</w:t>
      </w:r>
      <w:r w:rsidRPr="001B4E96">
        <w:rPr>
          <w:sz w:val="20"/>
          <w:szCs w:val="20"/>
        </w:rPr>
        <w:t xml:space="preserve"> </w:t>
      </w:r>
      <w:r w:rsidRPr="001B4E96">
        <w:rPr>
          <w:rFonts w:ascii="Times New Roman" w:hAnsi="Times New Roman" w:cs="Times New Roman"/>
          <w:sz w:val="20"/>
          <w:szCs w:val="20"/>
        </w:rPr>
        <w:t>Chromatograms of PIP (Rt = 7.087 ± 0.023 min) and PPLGN (Rt = 6.340 ± 0.046 min) in 1 mg/mL of PLFEE at wavelength 340 nm (b) Chromatogram of PIP (Rt = 7.087 ± 0.023 min) at wavelength 342 nm and chromatogram of PLGN (Rt = 6.333 ±</w:t>
      </w:r>
      <w:r w:rsidRPr="001B4E96">
        <w:rPr>
          <w:sz w:val="18"/>
          <w:szCs w:val="18"/>
        </w:rPr>
        <w:t xml:space="preserve"> </w:t>
      </w:r>
      <w:r w:rsidRPr="001B4E96">
        <w:rPr>
          <w:rFonts w:ascii="Times New Roman" w:hAnsi="Times New Roman" w:cs="Times New Roman"/>
          <w:sz w:val="20"/>
          <w:szCs w:val="20"/>
        </w:rPr>
        <w:t>0.027 min) at wavelength 342 nm, (c) spectrum of PLGN in 1 mg/mL of PLFEE showing the maximum absorbance at 340 nm, (d) spectrum of PIP in  50 µg/mL of PLFEE showing the absorption maxima at 342 nm, (e) 2-D contour chromatogram of PIP and PLGN in 1 mg/mL of PLFEE (f) 2-D contour chromatogram of PIP and PLGN in 50 µg/mL of PLFEE, (g) 3-D chromatogram of PIP and PLGN in 1 mg/mL of PLFEE, and  (h) 3-D chromatogram of  PIP and PLGN in 50 µg/mL of PLFEE</w:t>
      </w:r>
    </w:p>
    <w:p w14:paraId="34BF6A86" w14:textId="77777777" w:rsidR="00E17221" w:rsidRPr="001B4E96" w:rsidRDefault="00E17221" w:rsidP="00E17221">
      <w:pPr>
        <w:pStyle w:val="PIPSDMEL"/>
        <w:rPr>
          <w:sz w:val="20"/>
          <w:szCs w:val="18"/>
        </w:rPr>
      </w:pPr>
      <w:r w:rsidRPr="001B4E96">
        <w:rPr>
          <w:b/>
          <w:bCs/>
          <w:sz w:val="20"/>
          <w:szCs w:val="18"/>
        </w:rPr>
        <w:t>Fig. S9</w:t>
      </w:r>
      <w:r w:rsidRPr="001B4E96">
        <w:rPr>
          <w:sz w:val="20"/>
          <w:szCs w:val="18"/>
        </w:rPr>
        <w:t xml:space="preserve"> Chemical structure and micellar solubilization properties of Soluplus</w:t>
      </w:r>
      <w:r w:rsidRPr="001B4E96">
        <w:rPr>
          <w:sz w:val="20"/>
          <w:szCs w:val="18"/>
          <w:vertAlign w:val="superscript"/>
        </w:rPr>
        <w:t xml:space="preserve">® </w:t>
      </w:r>
      <w:r w:rsidRPr="001B4E96">
        <w:rPr>
          <w:sz w:val="20"/>
          <w:szCs w:val="18"/>
        </w:rPr>
        <w:t>and Tween</w:t>
      </w:r>
      <w:r w:rsidRPr="001B4E96">
        <w:rPr>
          <w:sz w:val="20"/>
          <w:szCs w:val="18"/>
          <w:vertAlign w:val="superscript"/>
        </w:rPr>
        <w:t xml:space="preserve">® </w:t>
      </w:r>
      <w:r w:rsidRPr="001B4E96">
        <w:rPr>
          <w:sz w:val="20"/>
          <w:szCs w:val="18"/>
        </w:rPr>
        <w:t>80 (a) The chemical structure and schematic illustration of the micellar solubilization of hydrophobic candidates by Soluplus</w:t>
      </w:r>
      <w:r w:rsidRPr="001B4E96">
        <w:rPr>
          <w:sz w:val="20"/>
          <w:szCs w:val="18"/>
          <w:vertAlign w:val="superscript"/>
        </w:rPr>
        <w:t>®</w:t>
      </w:r>
      <w:r w:rsidRPr="001B4E96">
        <w:rPr>
          <w:sz w:val="20"/>
          <w:szCs w:val="18"/>
        </w:rPr>
        <w:t xml:space="preserve"> (b) The chemical structure and schematic illustration of the micellar solubilization of hydrophobic candidates by Tween</w:t>
      </w:r>
      <w:r w:rsidRPr="001B4E96">
        <w:rPr>
          <w:sz w:val="20"/>
          <w:szCs w:val="18"/>
          <w:vertAlign w:val="superscript"/>
        </w:rPr>
        <w:t>®</w:t>
      </w:r>
      <w:r w:rsidRPr="001B4E96">
        <w:rPr>
          <w:sz w:val="20"/>
          <w:szCs w:val="18"/>
        </w:rPr>
        <w:t>80</w:t>
      </w:r>
    </w:p>
    <w:p w14:paraId="2E667038" w14:textId="77777777" w:rsidR="00E17221" w:rsidRPr="001B4E96" w:rsidRDefault="00E17221" w:rsidP="00E17221">
      <w:pPr>
        <w:pStyle w:val="PIPSDMEL"/>
        <w:rPr>
          <w:rFonts w:eastAsiaTheme="minorEastAsia"/>
          <w:sz w:val="20"/>
          <w:szCs w:val="18"/>
        </w:rPr>
      </w:pPr>
      <w:r w:rsidRPr="001B4E96">
        <w:rPr>
          <w:rFonts w:eastAsiaTheme="minorEastAsia"/>
          <w:b/>
          <w:bCs/>
          <w:sz w:val="20"/>
          <w:szCs w:val="18"/>
        </w:rPr>
        <w:t>Fig. S10</w:t>
      </w:r>
      <w:r w:rsidRPr="001B4E96">
        <w:rPr>
          <w:rFonts w:eastAsiaTheme="minorEastAsia"/>
          <w:sz w:val="20"/>
          <w:szCs w:val="18"/>
        </w:rPr>
        <w:t xml:space="preserve"> Diagnostic plots and perturbation plot (a) normal plot of residuals, (b) Box-Cox plot, (c) predicted vs. actual plot, (d) residual vs. predicted plot, (e) residual vs. run, (f) residual vs. factor plot, and (g) perturbation plot for saturation solubility of PIP</w:t>
      </w:r>
    </w:p>
    <w:p w14:paraId="2AEBF082" w14:textId="77777777" w:rsidR="00E17221" w:rsidRPr="001B4E96" w:rsidRDefault="00E17221" w:rsidP="00E17221">
      <w:pPr>
        <w:pStyle w:val="PIPSDMEL"/>
        <w:rPr>
          <w:sz w:val="20"/>
          <w:szCs w:val="18"/>
        </w:rPr>
      </w:pPr>
      <w:r w:rsidRPr="001B4E96">
        <w:rPr>
          <w:b/>
          <w:bCs/>
          <w:sz w:val="20"/>
          <w:szCs w:val="18"/>
        </w:rPr>
        <w:t>Fig. S11</w:t>
      </w:r>
      <w:r w:rsidRPr="001B4E96">
        <w:rPr>
          <w:sz w:val="20"/>
          <w:szCs w:val="18"/>
        </w:rPr>
        <w:t xml:space="preserve"> The hypothesized diagram of the micelles of OSD during dissolution</w:t>
      </w:r>
    </w:p>
    <w:p w14:paraId="38766EBD" w14:textId="77777777" w:rsidR="00E17221" w:rsidRPr="001B4E96" w:rsidRDefault="00E17221" w:rsidP="00E17221">
      <w:pPr>
        <w:jc w:val="both"/>
        <w:rPr>
          <w:rFonts w:ascii="Times New Roman" w:hAnsi="Times New Roman" w:cs="Times New Roman"/>
          <w:sz w:val="20"/>
          <w:szCs w:val="20"/>
        </w:rPr>
      </w:pPr>
      <w:r w:rsidRPr="001B4E96">
        <w:rPr>
          <w:rFonts w:ascii="Times New Roman" w:hAnsi="Times New Roman" w:cs="Times New Roman"/>
          <w:b/>
          <w:bCs/>
          <w:sz w:val="20"/>
          <w:szCs w:val="20"/>
        </w:rPr>
        <w:lastRenderedPageBreak/>
        <w:t>Fig. S12</w:t>
      </w:r>
      <w:r w:rsidRPr="001B4E96">
        <w:rPr>
          <w:rFonts w:ascii="Times New Roman" w:hAnsi="Times New Roman" w:cs="Times New Roman"/>
          <w:sz w:val="20"/>
          <w:szCs w:val="20"/>
        </w:rPr>
        <w:t xml:space="preserve"> Long-term stability study of SD up to 12 months at an interval of 3 months (a) XRD, (b) DSC, (c) TGA, and (d) ATR-FTIR</w:t>
      </w:r>
    </w:p>
    <w:p w14:paraId="32831563" w14:textId="77777777" w:rsidR="00E17221" w:rsidRPr="001B4E96" w:rsidRDefault="00E17221" w:rsidP="00E17221">
      <w:pPr>
        <w:jc w:val="both"/>
        <w:rPr>
          <w:rFonts w:ascii="Times New Roman" w:hAnsi="Times New Roman" w:cs="Times New Roman"/>
          <w:sz w:val="20"/>
          <w:szCs w:val="20"/>
        </w:rPr>
      </w:pPr>
      <w:r w:rsidRPr="001B4E96">
        <w:rPr>
          <w:rFonts w:ascii="Times New Roman" w:hAnsi="Times New Roman" w:cs="Times New Roman"/>
          <w:b/>
          <w:bCs/>
          <w:sz w:val="20"/>
          <w:szCs w:val="20"/>
        </w:rPr>
        <w:t>Fig. S13</w:t>
      </w:r>
      <w:r w:rsidRPr="001B4E96">
        <w:rPr>
          <w:rFonts w:ascii="Times New Roman" w:hAnsi="Times New Roman" w:cs="Times New Roman"/>
          <w:sz w:val="20"/>
          <w:szCs w:val="20"/>
        </w:rPr>
        <w:t xml:space="preserve"> Accelerated and intermediate stability study of SD up to 6 months at an interval of 3 months (a) XRD, (b) DSC, (c) TGA, and (d) ATR-FTIR</w:t>
      </w:r>
    </w:p>
    <w:p w14:paraId="69D850CD" w14:textId="77777777" w:rsidR="00E17221" w:rsidRPr="001B4E96" w:rsidRDefault="00E17221" w:rsidP="00E17221">
      <w:pPr>
        <w:spacing w:line="360" w:lineRule="auto"/>
        <w:jc w:val="both"/>
        <w:rPr>
          <w:rFonts w:ascii="Times New Roman" w:hAnsi="Times New Roman" w:cs="Times New Roman"/>
          <w:sz w:val="20"/>
          <w:szCs w:val="20"/>
        </w:rPr>
      </w:pPr>
      <w:r w:rsidRPr="001B4E96">
        <w:rPr>
          <w:rFonts w:ascii="Times New Roman" w:hAnsi="Times New Roman" w:cs="Times New Roman"/>
          <w:b/>
          <w:bCs/>
          <w:sz w:val="20"/>
          <w:szCs w:val="20"/>
        </w:rPr>
        <w:t>Fig. S14</w:t>
      </w:r>
      <w:r w:rsidRPr="001B4E96">
        <w:rPr>
          <w:rFonts w:ascii="Times New Roman" w:hAnsi="Times New Roman" w:cs="Times New Roman"/>
          <w:sz w:val="20"/>
          <w:szCs w:val="20"/>
        </w:rPr>
        <w:t xml:space="preserve"> Chromatograms of PIP (1.6</w:t>
      </w:r>
      <w:r w:rsidRPr="001B4E96">
        <w:rPr>
          <w:sz w:val="18"/>
          <w:szCs w:val="18"/>
        </w:rPr>
        <w:t xml:space="preserve"> </w:t>
      </w:r>
      <w:r w:rsidRPr="001B4E96">
        <w:rPr>
          <w:rFonts w:ascii="Times New Roman" w:hAnsi="Times New Roman" w:cs="Times New Roman"/>
          <w:sz w:val="20"/>
          <w:szCs w:val="20"/>
        </w:rPr>
        <w:t>μg/mL) and p-DMAB (1 μg/mL) in mobile phase methanol and water (80:20 v/v) (a) Chromatogram of PIP (Rt = 7.02 ± 0.062 min) and p-DMAB (Rt = 4.113 ± 0.026 min) at wavelength 342 nm, (b) DAD absorption spectrum of PIP having λmax = 342 nm (c) DAD absorption spectrum of p-DMAB having λmax = 346 nm, (d) 2-D contour chromatogram of PIP and p-DMAB, and (e) 3-D chromatogram of PIP and p-DMAB</w:t>
      </w:r>
    </w:p>
    <w:p w14:paraId="2AA0C082" w14:textId="77777777" w:rsidR="00E17221" w:rsidRPr="001B4E96" w:rsidRDefault="00E17221" w:rsidP="00E17221">
      <w:pPr>
        <w:pStyle w:val="PIPSDMEL"/>
        <w:rPr>
          <w:sz w:val="20"/>
          <w:szCs w:val="18"/>
        </w:rPr>
      </w:pPr>
      <w:r w:rsidRPr="001B4E96">
        <w:rPr>
          <w:rFonts w:cs="Times New Roman"/>
          <w:b/>
          <w:bCs/>
          <w:sz w:val="20"/>
          <w:szCs w:val="20"/>
        </w:rPr>
        <w:t>Fig. S15</w:t>
      </w:r>
      <w:r w:rsidRPr="001B4E96">
        <w:rPr>
          <w:rFonts w:cs="Times New Roman"/>
          <w:sz w:val="20"/>
          <w:szCs w:val="20"/>
        </w:rPr>
        <w:t xml:space="preserve"> Calibration curve and selectivity results (a) calibration curve of PIP in plasma at wavelength 342 nm with p-DMAB as IS, (b) </w:t>
      </w:r>
      <w:r w:rsidRPr="001B4E96">
        <w:rPr>
          <w:sz w:val="20"/>
          <w:szCs w:val="18"/>
        </w:rPr>
        <w:t xml:space="preserve">HPLC chromatograms of blank rat plasma, (c) plasma spiked with p-DMAB (0.354 </w:t>
      </w:r>
      <w:r w:rsidRPr="001B4E96">
        <w:rPr>
          <w:rFonts w:cs="Times New Roman"/>
          <w:sz w:val="20"/>
          <w:szCs w:val="18"/>
        </w:rPr>
        <w:t>μ</w:t>
      </w:r>
      <w:r w:rsidRPr="001B4E96">
        <w:rPr>
          <w:sz w:val="20"/>
          <w:szCs w:val="18"/>
        </w:rPr>
        <w:t xml:space="preserve">g/mL), (d) plasma spiked with PIP (25.6 </w:t>
      </w:r>
      <w:r w:rsidRPr="001B4E96">
        <w:rPr>
          <w:rFonts w:cs="Times New Roman"/>
          <w:sz w:val="20"/>
          <w:szCs w:val="18"/>
        </w:rPr>
        <w:t>μ</w:t>
      </w:r>
      <w:r w:rsidRPr="001B4E96">
        <w:rPr>
          <w:sz w:val="20"/>
          <w:szCs w:val="18"/>
        </w:rPr>
        <w:t xml:space="preserve">g/mL), (e) plasma spiked with p-DMAB (1 </w:t>
      </w:r>
      <w:r w:rsidRPr="001B4E96">
        <w:rPr>
          <w:rFonts w:cs="Times New Roman"/>
          <w:sz w:val="20"/>
          <w:szCs w:val="18"/>
        </w:rPr>
        <w:t>μ</w:t>
      </w:r>
      <w:r w:rsidRPr="001B4E96">
        <w:rPr>
          <w:sz w:val="20"/>
          <w:szCs w:val="18"/>
        </w:rPr>
        <w:t xml:space="preserve">g/mL) and PIP (25.6 </w:t>
      </w:r>
      <w:r w:rsidRPr="001B4E96">
        <w:rPr>
          <w:rFonts w:cs="Times New Roman"/>
          <w:sz w:val="20"/>
          <w:szCs w:val="18"/>
        </w:rPr>
        <w:t>μ</w:t>
      </w:r>
      <w:r w:rsidRPr="001B4E96">
        <w:rPr>
          <w:sz w:val="20"/>
          <w:szCs w:val="18"/>
        </w:rPr>
        <w:t xml:space="preserve">g/mL), and (f) extracted plasma sample after oral administration of optimized solid dispersion (OSD) with the p-DMAB (1 </w:t>
      </w:r>
      <w:r w:rsidRPr="001B4E96">
        <w:rPr>
          <w:rFonts w:cs="Times New Roman"/>
          <w:sz w:val="20"/>
          <w:szCs w:val="18"/>
        </w:rPr>
        <w:t>μ</w:t>
      </w:r>
      <w:r w:rsidRPr="001B4E96">
        <w:rPr>
          <w:sz w:val="20"/>
          <w:szCs w:val="18"/>
        </w:rPr>
        <w:t>g/mL) as IS</w:t>
      </w:r>
    </w:p>
    <w:p w14:paraId="7406149D" w14:textId="77777777" w:rsidR="00E17221" w:rsidRPr="001B4E96" w:rsidRDefault="00E17221" w:rsidP="00E17221">
      <w:pPr>
        <w:pStyle w:val="PIPSDMEL"/>
        <w:rPr>
          <w:sz w:val="20"/>
          <w:szCs w:val="18"/>
        </w:rPr>
      </w:pPr>
      <w:r w:rsidRPr="001B4E96">
        <w:rPr>
          <w:b/>
          <w:bCs/>
          <w:sz w:val="20"/>
          <w:szCs w:val="18"/>
        </w:rPr>
        <w:t>Fig. S16</w:t>
      </w:r>
      <w:r w:rsidRPr="001B4E96">
        <w:rPr>
          <w:sz w:val="20"/>
          <w:szCs w:val="18"/>
        </w:rPr>
        <w:t xml:space="preserve"> </w:t>
      </w:r>
      <w:bookmarkStart w:id="2" w:name="_Hlk127795491"/>
      <w:r w:rsidRPr="001B4E96">
        <w:rPr>
          <w:sz w:val="20"/>
          <w:szCs w:val="18"/>
        </w:rPr>
        <w:t>Histopathology study of heart, kidney, liver, lungs, and spleen of (a) Vehicle control C57BL/6 group and (b) PLFEE (550 mg/kg) treated C57BL/6 group at 10X magnification for acute oral toxicity assessment. BM: branching myocytes; G: glomerulus; CV: central vein; B: bronchioles: RP: red pulp; and WP: white pulp</w:t>
      </w:r>
    </w:p>
    <w:bookmarkEnd w:id="2"/>
    <w:p w14:paraId="2851BFA0" w14:textId="77777777" w:rsidR="00E17221" w:rsidRPr="001B4E96" w:rsidRDefault="00E17221" w:rsidP="00E17221">
      <w:pPr>
        <w:pStyle w:val="PIPSDMEL"/>
        <w:rPr>
          <w:sz w:val="20"/>
          <w:szCs w:val="18"/>
        </w:rPr>
      </w:pPr>
      <w:r w:rsidRPr="001B4E96">
        <w:rPr>
          <w:b/>
          <w:bCs/>
          <w:sz w:val="20"/>
          <w:szCs w:val="18"/>
        </w:rPr>
        <w:t>Fig. S17</w:t>
      </w:r>
      <w:r w:rsidRPr="001B4E96">
        <w:rPr>
          <w:sz w:val="20"/>
          <w:szCs w:val="18"/>
        </w:rPr>
        <w:t xml:space="preserve"> Histopathology study of skin and melanoma tumor: histology of (a) normal skin, (b) skin over melanoma tumor, (c) tumor control, (d) tumor of DTIC treated, (e) tumor of PLFEE treated, (f) tumor of SD treated, (g) tumor of DTIC + PLFEE treated, and (h) tumor of DTIC + SD treated group. NR: necrotic region; LTC: live tumor cell</w:t>
      </w:r>
    </w:p>
    <w:p w14:paraId="2D4223A9" w14:textId="77777777" w:rsidR="00E1715D" w:rsidRDefault="00E17221"/>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221"/>
    <w:rsid w:val="001942F0"/>
    <w:rsid w:val="002C0857"/>
    <w:rsid w:val="003F01F8"/>
    <w:rsid w:val="00884728"/>
    <w:rsid w:val="008E2845"/>
    <w:rsid w:val="00D00B5E"/>
    <w:rsid w:val="00E17221"/>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8875"/>
  <w15:chartTrackingRefBased/>
  <w15:docId w15:val="{80E1F498-FF43-4CBF-A832-7D41E915B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17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PSDMEL">
    <w:name w:val="PIP SD MEL"/>
    <w:basedOn w:val="Normal"/>
    <w:link w:val="PIPSDMELChar"/>
    <w:qFormat/>
    <w:rsid w:val="00E17221"/>
    <w:pPr>
      <w:spacing w:after="240" w:line="360" w:lineRule="auto"/>
      <w:jc w:val="both"/>
    </w:pPr>
    <w:rPr>
      <w:rFonts w:ascii="Times New Roman" w:hAnsi="Times New Roman"/>
      <w:sz w:val="24"/>
    </w:rPr>
  </w:style>
  <w:style w:type="character" w:customStyle="1" w:styleId="PIPSDMELChar">
    <w:name w:val="PIP SD MEL Char"/>
    <w:basedOn w:val="DefaultParagraphFont"/>
    <w:link w:val="PIPSDMEL"/>
    <w:rsid w:val="00E1722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705</Words>
  <Characters>4023</Characters>
  <Application>Microsoft Office Word</Application>
  <DocSecurity>0</DocSecurity>
  <Lines>33</Lines>
  <Paragraphs>9</Paragraphs>
  <ScaleCrop>false</ScaleCrop>
  <Company>Springer Nature</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2023-04-03T12:12:00Z</dcterms:created>
  <dcterms:modified xsi:type="dcterms:W3CDTF">2023-04-03T12:13:00Z</dcterms:modified>
</cp:coreProperties>
</file>