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89422" w14:textId="70B9A305" w:rsidR="0082629E" w:rsidRDefault="0082629E" w:rsidP="00B9440A">
      <w:pPr>
        <w:pStyle w:val="SMHeading"/>
        <w:rPr>
          <w:noProof/>
        </w:rPr>
      </w:pPr>
      <w:r>
        <w:rPr>
          <w:noProof/>
        </w:rPr>
        <w:t>SUPPLEMENTARY FIGURES S1-S3</w:t>
      </w:r>
      <w:bookmarkStart w:id="0" w:name="_GoBack"/>
      <w:bookmarkEnd w:id="0"/>
    </w:p>
    <w:p w14:paraId="43C7F8C5" w14:textId="0952E785" w:rsidR="00E2390C" w:rsidRDefault="00E2390C" w:rsidP="00B9440A">
      <w:pPr>
        <w:pStyle w:val="SMHeading"/>
      </w:pPr>
      <w:r>
        <w:rPr>
          <w:noProof/>
        </w:rPr>
        <w:drawing>
          <wp:inline distT="0" distB="0" distL="0" distR="0" wp14:anchorId="56EEB5CA" wp14:editId="2625451B">
            <wp:extent cx="5819140" cy="6788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 figure 1 updated 24-Jan-2023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2" b="9414"/>
                    <a:stretch/>
                  </pic:blipFill>
                  <pic:spPr bwMode="auto">
                    <a:xfrm>
                      <a:off x="0" y="0"/>
                      <a:ext cx="5819140" cy="678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8A3E32" w14:textId="77777777" w:rsidR="00E2390C" w:rsidRDefault="00E2390C" w:rsidP="00B9440A">
      <w:pPr>
        <w:pStyle w:val="SMHeading"/>
      </w:pPr>
    </w:p>
    <w:p w14:paraId="15A9E287" w14:textId="03AB1997" w:rsidR="00E2390C" w:rsidRPr="00E2390C" w:rsidRDefault="007411A1" w:rsidP="00E2390C">
      <w:pPr>
        <w:spacing w:line="360" w:lineRule="auto"/>
        <w:rPr>
          <w:b/>
          <w:szCs w:val="24"/>
        </w:rPr>
      </w:pPr>
      <w:r w:rsidRPr="00E2390C">
        <w:rPr>
          <w:b/>
          <w:szCs w:val="24"/>
        </w:rPr>
        <w:t>Fig. S1.</w:t>
      </w:r>
      <w:r w:rsidR="00E2390C" w:rsidRPr="00E2390C">
        <w:rPr>
          <w:szCs w:val="24"/>
        </w:rPr>
        <w:t xml:space="preserve"> </w:t>
      </w:r>
      <w:r w:rsidR="00E2390C" w:rsidRPr="00E2390C">
        <w:rPr>
          <w:b/>
          <w:szCs w:val="24"/>
        </w:rPr>
        <w:t>PARP1 is downregulated in senescence and implicated in cell fate decision upon oxidative stress</w:t>
      </w:r>
    </w:p>
    <w:p w14:paraId="316405AC" w14:textId="77777777" w:rsidR="00E2390C" w:rsidRPr="00E2390C" w:rsidRDefault="00E2390C" w:rsidP="00E2390C">
      <w:pPr>
        <w:spacing w:line="360" w:lineRule="auto"/>
        <w:jc w:val="both"/>
        <w:rPr>
          <w:szCs w:val="24"/>
        </w:rPr>
      </w:pPr>
      <w:r w:rsidRPr="00E2390C">
        <w:rPr>
          <w:b/>
          <w:szCs w:val="24"/>
        </w:rPr>
        <w:lastRenderedPageBreak/>
        <w:t>a</w:t>
      </w:r>
      <w:r w:rsidRPr="00E2390C">
        <w:rPr>
          <w:szCs w:val="24"/>
        </w:rPr>
        <w:t xml:space="preserve">, The heatmap represents expression levels of genes implicated in oxidative stress induced cell death in multiple types of senescence. </w:t>
      </w:r>
      <w:r w:rsidRPr="00E2390C">
        <w:rPr>
          <w:b/>
          <w:szCs w:val="24"/>
        </w:rPr>
        <w:t>b-c</w:t>
      </w:r>
      <w:r w:rsidRPr="00E2390C">
        <w:rPr>
          <w:szCs w:val="24"/>
        </w:rPr>
        <w:t xml:space="preserve">, IMR90 human fibroblasts were irradiated for senescence induction or sham treated. 7 days later, cells were analyzed using </w:t>
      </w:r>
      <w:r w:rsidRPr="00E2390C">
        <w:rPr>
          <w:b/>
          <w:szCs w:val="24"/>
        </w:rPr>
        <w:t>b</w:t>
      </w:r>
      <w:r w:rsidRPr="00E2390C">
        <w:rPr>
          <w:szCs w:val="24"/>
        </w:rPr>
        <w:t xml:space="preserve">, qRT-PCR or </w:t>
      </w:r>
      <w:r w:rsidRPr="00E2390C">
        <w:rPr>
          <w:b/>
          <w:szCs w:val="24"/>
        </w:rPr>
        <w:t>c</w:t>
      </w:r>
      <w:r w:rsidRPr="00E2390C">
        <w:rPr>
          <w:szCs w:val="24"/>
        </w:rPr>
        <w:t xml:space="preserve">, western blot for the expression of PAPR1 relative to housekeeping; n=3. </w:t>
      </w:r>
      <w:r w:rsidRPr="00E2390C">
        <w:rPr>
          <w:b/>
          <w:szCs w:val="24"/>
        </w:rPr>
        <w:t>d-e</w:t>
      </w:r>
      <w:r w:rsidRPr="00E2390C">
        <w:rPr>
          <w:szCs w:val="24"/>
        </w:rPr>
        <w:t>, Senescent (irradiated), and proliferating IMR-90 cells were treated with H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>O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 xml:space="preserve"> (1mM). </w:t>
      </w:r>
      <w:r w:rsidRPr="00E2390C">
        <w:rPr>
          <w:b/>
          <w:szCs w:val="24"/>
        </w:rPr>
        <w:t>d</w:t>
      </w:r>
      <w:r w:rsidRPr="00E2390C">
        <w:rPr>
          <w:szCs w:val="24"/>
        </w:rPr>
        <w:t>, Cells were stained for PAR polymers after 15 min H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>O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 xml:space="preserve"> exposure. Quantification was performed on images taken from multiple microscopic fields of view. Scale bar; 150µm. </w:t>
      </w:r>
      <w:r w:rsidRPr="00E2390C">
        <w:rPr>
          <w:b/>
          <w:szCs w:val="24"/>
        </w:rPr>
        <w:t>e</w:t>
      </w:r>
      <w:r w:rsidRPr="00E2390C">
        <w:rPr>
          <w:szCs w:val="24"/>
        </w:rPr>
        <w:t>, cell survival was measured by using an MTS assay 24 hours after 1h H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>O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 xml:space="preserve"> treatment; n=3. </w:t>
      </w:r>
      <w:r w:rsidRPr="00E2390C">
        <w:rPr>
          <w:b/>
          <w:szCs w:val="24"/>
        </w:rPr>
        <w:t>f-g</w:t>
      </w:r>
      <w:r w:rsidRPr="00E2390C">
        <w:rPr>
          <w:szCs w:val="24"/>
        </w:rPr>
        <w:t>, IMR90 cells were incubated with the indicated PARP inhibitor or vehicle for 2 hours, or transfected with siRNA against PARP1, PARP2, or control, followed by H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>O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 xml:space="preserve"> treatment. Cell survival was measured using MTS assay 24 hours after 1 hour H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>O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 xml:space="preserve"> treatment; n=3. </w:t>
      </w:r>
      <w:r w:rsidRPr="00E2390C">
        <w:rPr>
          <w:b/>
          <w:szCs w:val="24"/>
        </w:rPr>
        <w:t>h</w:t>
      </w:r>
      <w:r w:rsidRPr="00E2390C">
        <w:rPr>
          <w:szCs w:val="24"/>
        </w:rPr>
        <w:t xml:space="preserve">, expression levels of PARP1 and PARP2 in siRNA transfected cells; n=3. </w:t>
      </w:r>
      <w:r w:rsidRPr="00E2390C">
        <w:rPr>
          <w:b/>
          <w:szCs w:val="24"/>
        </w:rPr>
        <w:t>i</w:t>
      </w:r>
      <w:r w:rsidRPr="00E2390C">
        <w:rPr>
          <w:szCs w:val="24"/>
        </w:rPr>
        <w:t>, IMR90 cells were treated with H2O2 then incubated with 5mM NAD+. 24h later, cell survival was measured using MTS assay; n=3. j, Gamma H2AX staining for cells treated with PJ34 followed by H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>O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 xml:space="preserve"> or sham 10 days after the treatment; n=253 from 3 independent experiments. </w:t>
      </w:r>
      <w:r w:rsidRPr="00E2390C">
        <w:rPr>
          <w:b/>
          <w:szCs w:val="24"/>
        </w:rPr>
        <w:t>k-l</w:t>
      </w:r>
      <w:r w:rsidRPr="00E2390C">
        <w:rPr>
          <w:szCs w:val="24"/>
        </w:rPr>
        <w:t>, cells transfected with siRNA PARP1 were treated with H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>O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 xml:space="preserve"> or sham. 10 days after the treatment, cells were re-plated and </w:t>
      </w:r>
      <w:r w:rsidRPr="00E2390C">
        <w:rPr>
          <w:b/>
          <w:szCs w:val="24"/>
        </w:rPr>
        <w:t>k</w:t>
      </w:r>
      <w:r w:rsidRPr="00E2390C">
        <w:rPr>
          <w:szCs w:val="24"/>
        </w:rPr>
        <w:t xml:space="preserve">, incubated with EdU for 24h hours and stained (n=3, Scale bar; 150µm) or </w:t>
      </w:r>
      <w:r w:rsidRPr="00E2390C">
        <w:rPr>
          <w:b/>
          <w:szCs w:val="24"/>
        </w:rPr>
        <w:t>l</w:t>
      </w:r>
      <w:r w:rsidRPr="00E2390C">
        <w:rPr>
          <w:szCs w:val="24"/>
        </w:rPr>
        <w:t xml:space="preserve">, stained for SA-β-gal (n=3, Scale bar; 150µm). </w:t>
      </w:r>
    </w:p>
    <w:p w14:paraId="653A6CE7" w14:textId="77777777" w:rsidR="00E2390C" w:rsidRPr="00E2390C" w:rsidRDefault="00E2390C" w:rsidP="00E2390C">
      <w:pPr>
        <w:spacing w:line="360" w:lineRule="auto"/>
        <w:jc w:val="both"/>
        <w:rPr>
          <w:b/>
          <w:szCs w:val="24"/>
        </w:rPr>
      </w:pPr>
      <w:r w:rsidRPr="00E2390C">
        <w:rPr>
          <w:szCs w:val="24"/>
        </w:rPr>
        <w:t xml:space="preserve">Unpaired two-tailed t-test, data are means ±SD (b, c, e, f, g, h, i, j, k). One-way ANOVA data are means ±SD (d). *p&lt;0.05, **p&lt;0.01, ***p&lt;0.001, ****p&lt;0.0001. Dox, doxorubicin. IR, irradiated, Onco, Oncogene-induced. Rep, replicative. </w:t>
      </w:r>
    </w:p>
    <w:p w14:paraId="6D50BBEF" w14:textId="45BA2F26" w:rsidR="00015F74" w:rsidRPr="00355362" w:rsidRDefault="00E2390C" w:rsidP="00B9440A">
      <w:pPr>
        <w:pStyle w:val="SMHeading"/>
      </w:pPr>
      <w:r>
        <w:rPr>
          <w:noProof/>
        </w:rPr>
        <w:lastRenderedPageBreak/>
        <w:drawing>
          <wp:inline distT="0" distB="0" distL="0" distR="0" wp14:anchorId="12AF9B80" wp14:editId="62358588">
            <wp:extent cx="5819140" cy="4591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py of supfig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0" b="36343"/>
                    <a:stretch/>
                  </pic:blipFill>
                  <pic:spPr bwMode="auto">
                    <a:xfrm>
                      <a:off x="0" y="0"/>
                      <a:ext cx="5819140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E6A6B" w14:textId="77777777" w:rsidR="00E2390C" w:rsidRDefault="00E2390C" w:rsidP="00E2390C">
      <w:pPr>
        <w:spacing w:line="360" w:lineRule="auto"/>
        <w:rPr>
          <w:b/>
          <w:szCs w:val="24"/>
        </w:rPr>
      </w:pPr>
    </w:p>
    <w:p w14:paraId="2A4090EA" w14:textId="625FC827" w:rsidR="00E2390C" w:rsidRPr="00E2390C" w:rsidRDefault="00112C5B" w:rsidP="00E2390C">
      <w:pPr>
        <w:spacing w:line="360" w:lineRule="auto"/>
        <w:rPr>
          <w:b/>
          <w:szCs w:val="24"/>
        </w:rPr>
      </w:pPr>
      <w:r w:rsidRPr="00E2390C">
        <w:rPr>
          <w:b/>
          <w:szCs w:val="24"/>
        </w:rPr>
        <w:t>Fig. S2</w:t>
      </w:r>
      <w:r w:rsidR="008218C4" w:rsidRPr="00E2390C">
        <w:rPr>
          <w:b/>
          <w:szCs w:val="24"/>
        </w:rPr>
        <w:t>.</w:t>
      </w:r>
      <w:r w:rsidR="00E2390C" w:rsidRPr="00E2390C">
        <w:rPr>
          <w:szCs w:val="24"/>
        </w:rPr>
        <w:t xml:space="preserve"> </w:t>
      </w:r>
      <w:r w:rsidR="00E2390C" w:rsidRPr="00E2390C">
        <w:rPr>
          <w:b/>
          <w:szCs w:val="24"/>
        </w:rPr>
        <w:t>Calcium signaling is implicated in the decision between senescence and death</w:t>
      </w:r>
    </w:p>
    <w:p w14:paraId="0A041B28" w14:textId="77777777" w:rsidR="00E2390C" w:rsidRPr="00E2390C" w:rsidRDefault="00E2390C" w:rsidP="00E2390C">
      <w:pPr>
        <w:spacing w:line="360" w:lineRule="auto"/>
        <w:jc w:val="both"/>
        <w:rPr>
          <w:szCs w:val="24"/>
        </w:rPr>
      </w:pPr>
      <w:r w:rsidRPr="00E2390C">
        <w:rPr>
          <w:b/>
          <w:szCs w:val="24"/>
        </w:rPr>
        <w:t>a-b</w:t>
      </w:r>
      <w:r w:rsidRPr="00E2390C">
        <w:rPr>
          <w:szCs w:val="24"/>
        </w:rPr>
        <w:t>, IMR-90 human fibroblast cells treated with BAPTA-am followed by H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>O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 xml:space="preserve"> or sham were re-plated 10 days after the treatment for further analysis. </w:t>
      </w:r>
      <w:r w:rsidRPr="00E2390C">
        <w:rPr>
          <w:b/>
          <w:szCs w:val="24"/>
        </w:rPr>
        <w:t>a</w:t>
      </w:r>
      <w:r w:rsidRPr="00E2390C">
        <w:rPr>
          <w:szCs w:val="24"/>
        </w:rPr>
        <w:t xml:space="preserve">, cells were analyzed using qRT-PCR for the expression of senescence-associated mRNAs relative to housekeeping (tubulin); n=3. </w:t>
      </w:r>
      <w:r w:rsidRPr="00E2390C">
        <w:rPr>
          <w:b/>
          <w:szCs w:val="24"/>
        </w:rPr>
        <w:t>b</w:t>
      </w:r>
      <w:r w:rsidRPr="00E2390C">
        <w:rPr>
          <w:szCs w:val="24"/>
        </w:rPr>
        <w:t>, Gamma H2AX staining for detecting persistent DNA damage foci; n=185. IMR-90 cells were treated with different H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>O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 xml:space="preserve"> concentrations and stained for </w:t>
      </w:r>
      <w:r w:rsidRPr="00E2390C">
        <w:rPr>
          <w:b/>
          <w:szCs w:val="24"/>
        </w:rPr>
        <w:t>c</w:t>
      </w:r>
      <w:r w:rsidRPr="00E2390C">
        <w:rPr>
          <w:szCs w:val="24"/>
        </w:rPr>
        <w:t xml:space="preserve">, incubated with EdU for 24h hours, and stained (n=3, Scale bar; 150µm) or </w:t>
      </w:r>
      <w:r w:rsidRPr="00E2390C">
        <w:rPr>
          <w:b/>
          <w:szCs w:val="24"/>
        </w:rPr>
        <w:t>d,</w:t>
      </w:r>
      <w:r w:rsidRPr="00E2390C">
        <w:rPr>
          <w:szCs w:val="24"/>
        </w:rPr>
        <w:t xml:space="preserve"> SA-β-gal (n=3, Scale bar; 150µm), 10 days after treatment; n=3. </w:t>
      </w:r>
      <w:r w:rsidRPr="00E2390C">
        <w:rPr>
          <w:b/>
          <w:szCs w:val="24"/>
        </w:rPr>
        <w:t>e</w:t>
      </w:r>
      <w:r w:rsidRPr="00E2390C">
        <w:rPr>
          <w:szCs w:val="24"/>
        </w:rPr>
        <w:t>, MTS viability measurement after the treatment with the indicated concentrations of H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>O</w:t>
      </w:r>
      <w:r w:rsidRPr="00E2390C">
        <w:rPr>
          <w:szCs w:val="24"/>
          <w:vertAlign w:val="subscript"/>
        </w:rPr>
        <w:t>2</w:t>
      </w:r>
      <w:r w:rsidRPr="00E2390C">
        <w:rPr>
          <w:szCs w:val="24"/>
        </w:rPr>
        <w:t xml:space="preserve"> in cells pre-treated with the Ca</w:t>
      </w:r>
      <w:r w:rsidRPr="00E2390C">
        <w:rPr>
          <w:szCs w:val="24"/>
          <w:vertAlign w:val="superscript"/>
        </w:rPr>
        <w:t>2+</w:t>
      </w:r>
      <w:r w:rsidRPr="00E2390C">
        <w:rPr>
          <w:szCs w:val="24"/>
        </w:rPr>
        <w:t xml:space="preserve"> ionophore calcimycine (10uM) or sham; n=3. </w:t>
      </w:r>
    </w:p>
    <w:p w14:paraId="5A927F35" w14:textId="77777777" w:rsidR="00E2390C" w:rsidRPr="00E2390C" w:rsidRDefault="00E2390C" w:rsidP="00E2390C">
      <w:pPr>
        <w:spacing w:line="360" w:lineRule="auto"/>
        <w:jc w:val="both"/>
        <w:rPr>
          <w:b/>
          <w:szCs w:val="24"/>
        </w:rPr>
      </w:pPr>
      <w:r w:rsidRPr="00E2390C">
        <w:rPr>
          <w:szCs w:val="24"/>
        </w:rPr>
        <w:t>Unpaired two-tailed t-test, data are means ±SD (b). One-way ANOVA data are means ±SD (c, d, and e). *p&lt;0.05, **p&lt;0.01, ***p&lt;0.001, ****p&lt;0.0001. Ba, Bapta-am.</w:t>
      </w:r>
    </w:p>
    <w:p w14:paraId="3567FF95" w14:textId="78D32BE3" w:rsidR="00112C5B" w:rsidRPr="00355362" w:rsidRDefault="00112C5B" w:rsidP="00B9440A">
      <w:pPr>
        <w:pStyle w:val="SMHeading"/>
      </w:pPr>
    </w:p>
    <w:p w14:paraId="1C1468E9" w14:textId="694433B9" w:rsidR="00E2390C" w:rsidRDefault="00E2390C" w:rsidP="00477182">
      <w:pPr>
        <w:pStyle w:val="SMcaption"/>
      </w:pPr>
      <w:r>
        <w:rPr>
          <w:noProof/>
        </w:rPr>
        <w:drawing>
          <wp:inline distT="0" distB="0" distL="0" distR="0" wp14:anchorId="78812AAD" wp14:editId="0A5F3253">
            <wp:extent cx="5819140" cy="19748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py of supfig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003"/>
                    <a:stretch/>
                  </pic:blipFill>
                  <pic:spPr bwMode="auto">
                    <a:xfrm>
                      <a:off x="0" y="0"/>
                      <a:ext cx="5819140" cy="197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3CE6A3" w14:textId="77777777" w:rsidR="00E2390C" w:rsidRDefault="00E2390C" w:rsidP="00E2390C">
      <w:pPr>
        <w:spacing w:line="360" w:lineRule="auto"/>
        <w:rPr>
          <w:b/>
          <w:szCs w:val="24"/>
        </w:rPr>
      </w:pPr>
    </w:p>
    <w:p w14:paraId="618CB168" w14:textId="77777777" w:rsidR="00E2390C" w:rsidRDefault="00E2390C" w:rsidP="00E2390C">
      <w:pPr>
        <w:spacing w:line="360" w:lineRule="auto"/>
        <w:rPr>
          <w:b/>
          <w:szCs w:val="24"/>
        </w:rPr>
      </w:pPr>
    </w:p>
    <w:p w14:paraId="29025580" w14:textId="6394E11B" w:rsidR="00E2390C" w:rsidRPr="00E2390C" w:rsidRDefault="00112C5B" w:rsidP="00E2390C">
      <w:pPr>
        <w:spacing w:line="360" w:lineRule="auto"/>
        <w:rPr>
          <w:b/>
          <w:szCs w:val="24"/>
        </w:rPr>
      </w:pPr>
      <w:r w:rsidRPr="00E2390C">
        <w:rPr>
          <w:b/>
          <w:szCs w:val="24"/>
        </w:rPr>
        <w:t>Fig. S</w:t>
      </w:r>
      <w:r w:rsidR="00355362" w:rsidRPr="00E2390C">
        <w:rPr>
          <w:b/>
          <w:szCs w:val="24"/>
        </w:rPr>
        <w:t>3</w:t>
      </w:r>
      <w:r w:rsidR="008218C4" w:rsidRPr="00E2390C">
        <w:rPr>
          <w:b/>
          <w:szCs w:val="24"/>
        </w:rPr>
        <w:t>.</w:t>
      </w:r>
      <w:r w:rsidR="00E2390C" w:rsidRPr="00E2390C">
        <w:rPr>
          <w:b/>
          <w:szCs w:val="24"/>
        </w:rPr>
        <w:t xml:space="preserve"> HKII overexpression decreases mitochondrial Ca</w:t>
      </w:r>
      <w:r w:rsidR="00E2390C" w:rsidRPr="00E2390C">
        <w:rPr>
          <w:b/>
          <w:szCs w:val="24"/>
          <w:vertAlign w:val="superscript"/>
        </w:rPr>
        <w:t xml:space="preserve">2+ </w:t>
      </w:r>
      <w:r w:rsidR="00E2390C" w:rsidRPr="00E2390C">
        <w:rPr>
          <w:b/>
          <w:szCs w:val="24"/>
        </w:rPr>
        <w:t>basal levels</w:t>
      </w:r>
    </w:p>
    <w:p w14:paraId="5996D136" w14:textId="77777777" w:rsidR="00E2390C" w:rsidRPr="00E2390C" w:rsidRDefault="00E2390C" w:rsidP="00E2390C">
      <w:pPr>
        <w:spacing w:line="360" w:lineRule="auto"/>
        <w:rPr>
          <w:szCs w:val="24"/>
        </w:rPr>
      </w:pPr>
      <w:r w:rsidRPr="00E2390C">
        <w:rPr>
          <w:szCs w:val="24"/>
        </w:rPr>
        <w:t>bar diagram comparing the mean of mitochondrial Ca</w:t>
      </w:r>
      <w:r w:rsidRPr="00E2390C">
        <w:rPr>
          <w:szCs w:val="24"/>
          <w:vertAlign w:val="superscript"/>
        </w:rPr>
        <w:t xml:space="preserve">2+ </w:t>
      </w:r>
      <w:r w:rsidRPr="00E2390C">
        <w:rPr>
          <w:szCs w:val="24"/>
        </w:rPr>
        <w:t>basal levels, calculated as signal mass per second; n = 153 for Control and 203 for HKII overexpressing cells (IMR-90).</w:t>
      </w:r>
    </w:p>
    <w:p w14:paraId="09E4F84F" w14:textId="77777777" w:rsidR="00E2390C" w:rsidRPr="00E2390C" w:rsidRDefault="00E2390C" w:rsidP="00E2390C">
      <w:pPr>
        <w:spacing w:line="360" w:lineRule="auto"/>
        <w:rPr>
          <w:b/>
          <w:szCs w:val="24"/>
        </w:rPr>
      </w:pPr>
      <w:r w:rsidRPr="00E2390C">
        <w:rPr>
          <w:szCs w:val="24"/>
        </w:rPr>
        <w:t>Unpaired two-tailed t-test, data are means ±SD. **p&lt;0.01.</w:t>
      </w:r>
    </w:p>
    <w:p w14:paraId="6F49D981" w14:textId="47B5FBCD" w:rsidR="00112C5B" w:rsidRPr="00355362" w:rsidRDefault="00112C5B" w:rsidP="00B9440A">
      <w:pPr>
        <w:pStyle w:val="SMHeading"/>
      </w:pPr>
    </w:p>
    <w:p w14:paraId="08DC9151" w14:textId="77777777" w:rsidR="00C50C6D" w:rsidRDefault="00C50C6D" w:rsidP="00477182">
      <w:pPr>
        <w:pStyle w:val="SMcaption"/>
      </w:pPr>
    </w:p>
    <w:p w14:paraId="10BF7DE9" w14:textId="77777777" w:rsidR="00B9440A" w:rsidRPr="00015F74" w:rsidRDefault="00B9440A" w:rsidP="00B9440A">
      <w:pPr>
        <w:pStyle w:val="SMcaption"/>
      </w:pPr>
    </w:p>
    <w:sectPr w:rsidR="00B9440A" w:rsidRPr="00015F74" w:rsidSect="00E853D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2DC3E" w14:textId="77777777" w:rsidR="00C42044" w:rsidRDefault="00C42044">
      <w:r>
        <w:separator/>
      </w:r>
    </w:p>
  </w:endnote>
  <w:endnote w:type="continuationSeparator" w:id="0">
    <w:p w14:paraId="2DB68B23" w14:textId="77777777" w:rsidR="00C42044" w:rsidRDefault="00C4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8EA3E" w14:textId="3899F514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629E">
      <w:rPr>
        <w:noProof/>
      </w:rPr>
      <w:t>1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C9954" w14:textId="77777777" w:rsidR="00C42044" w:rsidRDefault="00C42044">
      <w:r>
        <w:separator/>
      </w:r>
    </w:p>
  </w:footnote>
  <w:footnote w:type="continuationSeparator" w:id="0">
    <w:p w14:paraId="109CD092" w14:textId="77777777" w:rsidR="00C42044" w:rsidRDefault="00C42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oNotTrackMoves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0F"/>
    <w:rsid w:val="00015F74"/>
    <w:rsid w:val="00031282"/>
    <w:rsid w:val="00054136"/>
    <w:rsid w:val="00065EBD"/>
    <w:rsid w:val="00083B44"/>
    <w:rsid w:val="000850DC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6563A"/>
    <w:rsid w:val="001A1BDE"/>
    <w:rsid w:val="001B06DB"/>
    <w:rsid w:val="001F0876"/>
    <w:rsid w:val="001F167C"/>
    <w:rsid w:val="001F5E91"/>
    <w:rsid w:val="002077B9"/>
    <w:rsid w:val="00243238"/>
    <w:rsid w:val="00262D72"/>
    <w:rsid w:val="00294FBB"/>
    <w:rsid w:val="002B5804"/>
    <w:rsid w:val="002C030F"/>
    <w:rsid w:val="003227A1"/>
    <w:rsid w:val="00331D75"/>
    <w:rsid w:val="00355362"/>
    <w:rsid w:val="00363E44"/>
    <w:rsid w:val="00395E86"/>
    <w:rsid w:val="003A2FD8"/>
    <w:rsid w:val="003B40E6"/>
    <w:rsid w:val="003E74FB"/>
    <w:rsid w:val="003F6E14"/>
    <w:rsid w:val="00402F48"/>
    <w:rsid w:val="00403D2C"/>
    <w:rsid w:val="00405336"/>
    <w:rsid w:val="004571D5"/>
    <w:rsid w:val="00461D81"/>
    <w:rsid w:val="0046356B"/>
    <w:rsid w:val="00477182"/>
    <w:rsid w:val="004779CB"/>
    <w:rsid w:val="00491E47"/>
    <w:rsid w:val="004E42D8"/>
    <w:rsid w:val="004E7BA2"/>
    <w:rsid w:val="004F7EDF"/>
    <w:rsid w:val="005001AC"/>
    <w:rsid w:val="00525289"/>
    <w:rsid w:val="00527D71"/>
    <w:rsid w:val="005520A8"/>
    <w:rsid w:val="005607DD"/>
    <w:rsid w:val="005902AD"/>
    <w:rsid w:val="005A558C"/>
    <w:rsid w:val="005C1377"/>
    <w:rsid w:val="005E28F8"/>
    <w:rsid w:val="005E43AA"/>
    <w:rsid w:val="005E6513"/>
    <w:rsid w:val="00630499"/>
    <w:rsid w:val="006357F6"/>
    <w:rsid w:val="00651114"/>
    <w:rsid w:val="00664560"/>
    <w:rsid w:val="00670299"/>
    <w:rsid w:val="00691985"/>
    <w:rsid w:val="006A1B64"/>
    <w:rsid w:val="006A4AE1"/>
    <w:rsid w:val="006B024D"/>
    <w:rsid w:val="006B268C"/>
    <w:rsid w:val="007108F5"/>
    <w:rsid w:val="00713E5B"/>
    <w:rsid w:val="007402FC"/>
    <w:rsid w:val="007411A1"/>
    <w:rsid w:val="00784E98"/>
    <w:rsid w:val="00793072"/>
    <w:rsid w:val="007C5F1F"/>
    <w:rsid w:val="007F33C1"/>
    <w:rsid w:val="00807D35"/>
    <w:rsid w:val="008218C4"/>
    <w:rsid w:val="0082629E"/>
    <w:rsid w:val="0083457E"/>
    <w:rsid w:val="00867A98"/>
    <w:rsid w:val="00870867"/>
    <w:rsid w:val="00885C9B"/>
    <w:rsid w:val="008D0D35"/>
    <w:rsid w:val="008D5D2A"/>
    <w:rsid w:val="00914B63"/>
    <w:rsid w:val="0092651C"/>
    <w:rsid w:val="009354F3"/>
    <w:rsid w:val="009447DC"/>
    <w:rsid w:val="00961BA5"/>
    <w:rsid w:val="009743A9"/>
    <w:rsid w:val="009A5287"/>
    <w:rsid w:val="009B2AC5"/>
    <w:rsid w:val="009B7984"/>
    <w:rsid w:val="009F4BED"/>
    <w:rsid w:val="009F7D93"/>
    <w:rsid w:val="00A3403B"/>
    <w:rsid w:val="00A51A12"/>
    <w:rsid w:val="00A627D4"/>
    <w:rsid w:val="00A64A1C"/>
    <w:rsid w:val="00A74DA2"/>
    <w:rsid w:val="00AB399E"/>
    <w:rsid w:val="00AC59D0"/>
    <w:rsid w:val="00AD16B1"/>
    <w:rsid w:val="00AD499C"/>
    <w:rsid w:val="00B0071D"/>
    <w:rsid w:val="00B27BA9"/>
    <w:rsid w:val="00B3186E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C04CC1"/>
    <w:rsid w:val="00C4096C"/>
    <w:rsid w:val="00C42044"/>
    <w:rsid w:val="00C50C6D"/>
    <w:rsid w:val="00C600D9"/>
    <w:rsid w:val="00C63E81"/>
    <w:rsid w:val="00C92B22"/>
    <w:rsid w:val="00CC1384"/>
    <w:rsid w:val="00CD3720"/>
    <w:rsid w:val="00CF1848"/>
    <w:rsid w:val="00CF5C2F"/>
    <w:rsid w:val="00D039FD"/>
    <w:rsid w:val="00D04BCF"/>
    <w:rsid w:val="00D143D9"/>
    <w:rsid w:val="00D1544C"/>
    <w:rsid w:val="00D32950"/>
    <w:rsid w:val="00D5511B"/>
    <w:rsid w:val="00D766F1"/>
    <w:rsid w:val="00DA7151"/>
    <w:rsid w:val="00E146A7"/>
    <w:rsid w:val="00E2390C"/>
    <w:rsid w:val="00E257C8"/>
    <w:rsid w:val="00E41512"/>
    <w:rsid w:val="00E4519A"/>
    <w:rsid w:val="00E853D5"/>
    <w:rsid w:val="00E97215"/>
    <w:rsid w:val="00E9773B"/>
    <w:rsid w:val="00EA6F42"/>
    <w:rsid w:val="00EC13A3"/>
    <w:rsid w:val="00EC6E9D"/>
    <w:rsid w:val="00EC7C85"/>
    <w:rsid w:val="00F125EE"/>
    <w:rsid w:val="00F12E98"/>
    <w:rsid w:val="00F22029"/>
    <w:rsid w:val="00F4427B"/>
    <w:rsid w:val="00F515FB"/>
    <w:rsid w:val="00F630EA"/>
    <w:rsid w:val="00F7007E"/>
    <w:rsid w:val="00F73193"/>
    <w:rsid w:val="00F74F95"/>
    <w:rsid w:val="00F80705"/>
    <w:rsid w:val="00F84BD9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3227A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3225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Marco Demaria</cp:lastModifiedBy>
  <cp:revision>2</cp:revision>
  <cp:lastPrinted>2018-01-11T19:53:00Z</cp:lastPrinted>
  <dcterms:created xsi:type="dcterms:W3CDTF">2023-03-09T08:27:00Z</dcterms:created>
  <dcterms:modified xsi:type="dcterms:W3CDTF">2023-03-09T08:27:00Z</dcterms:modified>
</cp:coreProperties>
</file>